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131875" w:rsidRPr="00131875" w:rsidRDefault="00131875" w:rsidP="00131875">
      <w:pPr>
        <w:spacing w:after="0" w:line="320" w:lineRule="exact"/>
        <w:jc w:val="both"/>
        <w:rPr>
          <w:rFonts w:ascii="Arial Narrow" w:eastAsia="Times New Roman" w:hAnsi="Arial Narrow" w:cs="Arial"/>
          <w:b/>
          <w:bCs/>
          <w:sz w:val="24"/>
          <w:szCs w:val="24"/>
          <w:lang w:val="en-GB"/>
        </w:rPr>
      </w:pPr>
      <w:r w:rsidRPr="00131875">
        <w:rPr>
          <w:rFonts w:ascii="Arial Narrow" w:eastAsia="Times New Roman" w:hAnsi="Arial Narrow" w:cs="Arial"/>
          <w:b/>
          <w:bCs/>
          <w:sz w:val="24"/>
          <w:szCs w:val="24"/>
          <w:lang w:val="en-GB"/>
        </w:rPr>
        <w:t>NATIONAL ASSEMBLY</w:t>
      </w:r>
    </w:p>
    <w:p w:rsidR="00131875" w:rsidRPr="00131875" w:rsidRDefault="00131875" w:rsidP="00131875">
      <w:pPr>
        <w:spacing w:after="0" w:line="320" w:lineRule="exact"/>
        <w:jc w:val="both"/>
        <w:rPr>
          <w:rFonts w:ascii="Arial Narrow" w:eastAsia="Times New Roman" w:hAnsi="Arial Narrow" w:cs="Arial"/>
          <w:b/>
          <w:bCs/>
          <w:sz w:val="24"/>
          <w:szCs w:val="24"/>
          <w:lang w:val="en-GB"/>
        </w:rPr>
      </w:pPr>
    </w:p>
    <w:p w:rsidR="00C75F24" w:rsidRPr="00C75F24" w:rsidRDefault="00C75F24" w:rsidP="00C75F24">
      <w:pPr>
        <w:spacing w:after="0" w:line="320" w:lineRule="exact"/>
        <w:jc w:val="both"/>
        <w:rPr>
          <w:rFonts w:ascii="Arial Narrow" w:eastAsia="Times New Roman" w:hAnsi="Arial Narrow" w:cs="Arial"/>
          <w:b/>
          <w:bCs/>
          <w:sz w:val="24"/>
          <w:szCs w:val="24"/>
          <w:lang w:val="en-GB"/>
        </w:rPr>
      </w:pPr>
      <w:r w:rsidRPr="00C75F24">
        <w:rPr>
          <w:rFonts w:ascii="Arial Narrow" w:eastAsia="Times New Roman" w:hAnsi="Arial Narrow" w:cs="Arial"/>
          <w:b/>
          <w:bCs/>
          <w:sz w:val="24"/>
          <w:szCs w:val="24"/>
          <w:lang w:val="en-GB"/>
        </w:rPr>
        <w:t>NATIONAL ASSEMBLY</w:t>
      </w:r>
    </w:p>
    <w:p w:rsidR="00C75F24" w:rsidRPr="00C75F24" w:rsidRDefault="00C75F24" w:rsidP="00C75F24">
      <w:pPr>
        <w:spacing w:after="0" w:line="320" w:lineRule="exact"/>
        <w:jc w:val="both"/>
        <w:rPr>
          <w:rFonts w:ascii="Arial Narrow" w:eastAsia="Times New Roman" w:hAnsi="Arial Narrow" w:cs="Arial"/>
          <w:b/>
          <w:bCs/>
          <w:sz w:val="24"/>
          <w:szCs w:val="24"/>
          <w:lang w:val="en-GB"/>
        </w:rPr>
      </w:pPr>
    </w:p>
    <w:p w:rsidR="00C75F24" w:rsidRPr="00C75F24" w:rsidRDefault="00C75F24" w:rsidP="00C75F24">
      <w:pPr>
        <w:spacing w:after="0" w:line="320" w:lineRule="exact"/>
        <w:jc w:val="both"/>
        <w:rPr>
          <w:rFonts w:ascii="Arial Narrow" w:eastAsia="Times New Roman" w:hAnsi="Arial Narrow" w:cs="Arial"/>
          <w:b/>
          <w:bCs/>
          <w:sz w:val="24"/>
          <w:szCs w:val="24"/>
          <w:lang w:val="en-GB"/>
        </w:rPr>
      </w:pPr>
      <w:r w:rsidRPr="00C75F24">
        <w:rPr>
          <w:rFonts w:ascii="Arial Narrow" w:eastAsia="Times New Roman" w:hAnsi="Arial Narrow" w:cs="Arial"/>
          <w:b/>
          <w:bCs/>
          <w:sz w:val="24"/>
          <w:szCs w:val="24"/>
          <w:lang w:val="en-GB"/>
        </w:rPr>
        <w:t>QUESTION FOR WRITTEN REPLY</w:t>
      </w:r>
    </w:p>
    <w:p w:rsidR="00C75F24" w:rsidRPr="00C75F24" w:rsidRDefault="00C75F24" w:rsidP="00C75F24">
      <w:pPr>
        <w:spacing w:after="0" w:line="320" w:lineRule="exact"/>
        <w:jc w:val="both"/>
        <w:rPr>
          <w:rFonts w:ascii="Arial Narrow" w:eastAsia="Times New Roman" w:hAnsi="Arial Narrow" w:cs="Arial"/>
          <w:b/>
          <w:bCs/>
          <w:sz w:val="24"/>
          <w:szCs w:val="24"/>
          <w:lang w:val="en-GB"/>
        </w:rPr>
      </w:pPr>
    </w:p>
    <w:p w:rsidR="00C75F24" w:rsidRPr="00C75F24" w:rsidRDefault="00FE7AE1" w:rsidP="00C75F24">
      <w:pPr>
        <w:keepNext/>
        <w:spacing w:after="0" w:line="320" w:lineRule="exact"/>
        <w:jc w:val="both"/>
        <w:outlineLvl w:val="0"/>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QUESTION NO. 2221</w:t>
      </w:r>
    </w:p>
    <w:p w:rsidR="00C75F24" w:rsidRPr="00C75F24" w:rsidRDefault="00C75F24" w:rsidP="00C75F24">
      <w:pPr>
        <w:spacing w:after="0" w:line="240" w:lineRule="auto"/>
        <w:rPr>
          <w:rFonts w:ascii="Arial Narrow" w:eastAsia="Times New Roman" w:hAnsi="Arial Narrow"/>
          <w:sz w:val="24"/>
          <w:szCs w:val="24"/>
          <w:lang w:val="en-GB"/>
        </w:rPr>
      </w:pPr>
    </w:p>
    <w:p w:rsidR="00C75F24" w:rsidRPr="00C75F24" w:rsidRDefault="00C75F24" w:rsidP="00C75F24">
      <w:pPr>
        <w:spacing w:after="0" w:line="320" w:lineRule="exact"/>
        <w:jc w:val="both"/>
        <w:rPr>
          <w:rFonts w:ascii="Arial Narrow" w:eastAsia="Times New Roman" w:hAnsi="Arial Narrow" w:cs="Arial"/>
          <w:b/>
          <w:bCs/>
          <w:sz w:val="24"/>
          <w:szCs w:val="24"/>
          <w:lang w:val="en-GB"/>
        </w:rPr>
      </w:pPr>
      <w:r w:rsidRPr="00C75F24">
        <w:rPr>
          <w:rFonts w:ascii="Arial Narrow" w:eastAsia="Times New Roman" w:hAnsi="Arial Narrow" w:cs="Arial"/>
          <w:b/>
          <w:bCs/>
          <w:sz w:val="24"/>
          <w:szCs w:val="24"/>
          <w:lang w:val="en-GB"/>
        </w:rPr>
        <w:t>DATE OF PUBLICATION: Friday, 2 June 2023</w:t>
      </w:r>
    </w:p>
    <w:p w:rsidR="00C75F24" w:rsidRPr="00C75F24" w:rsidRDefault="00C75F24" w:rsidP="00C75F24">
      <w:pPr>
        <w:spacing w:after="0" w:line="320" w:lineRule="exact"/>
        <w:jc w:val="both"/>
        <w:rPr>
          <w:rFonts w:ascii="Arial Narrow" w:eastAsia="Times New Roman" w:hAnsi="Arial Narrow" w:cs="Arial"/>
          <w:b/>
          <w:bCs/>
          <w:sz w:val="24"/>
          <w:szCs w:val="24"/>
          <w:lang w:val="en-GB"/>
        </w:rPr>
      </w:pPr>
    </w:p>
    <w:p w:rsidR="00C75F24" w:rsidRPr="00C75F24" w:rsidRDefault="00C75F24" w:rsidP="00C75F24">
      <w:pPr>
        <w:keepNext/>
        <w:spacing w:after="0" w:line="320" w:lineRule="exact"/>
        <w:jc w:val="both"/>
        <w:outlineLvl w:val="1"/>
        <w:rPr>
          <w:rFonts w:ascii="Arial Narrow" w:eastAsia="Times New Roman" w:hAnsi="Arial Narrow" w:cs="Arial"/>
          <w:b/>
          <w:bCs/>
          <w:sz w:val="24"/>
          <w:szCs w:val="24"/>
          <w:lang w:val="en-GB"/>
        </w:rPr>
      </w:pPr>
      <w:r w:rsidRPr="00C75F24">
        <w:rPr>
          <w:rFonts w:ascii="Arial Narrow" w:eastAsia="Times New Roman" w:hAnsi="Arial Narrow" w:cs="Arial"/>
          <w:b/>
          <w:bCs/>
          <w:sz w:val="24"/>
          <w:szCs w:val="24"/>
          <w:lang w:val="en-GB"/>
        </w:rPr>
        <w:t>INTERNAL QUESTION PAPER 21 – 2023</w:t>
      </w:r>
    </w:p>
    <w:p w:rsidR="00C75F24" w:rsidRPr="00C75F24" w:rsidRDefault="00C75F24" w:rsidP="00C75F24">
      <w:pPr>
        <w:spacing w:after="0" w:line="240" w:lineRule="auto"/>
        <w:rPr>
          <w:rFonts w:ascii="Arial Narrow" w:eastAsia="Times New Roman" w:hAnsi="Arial Narrow"/>
          <w:sz w:val="24"/>
          <w:szCs w:val="24"/>
          <w:lang w:val="en-GB"/>
        </w:rPr>
      </w:pPr>
    </w:p>
    <w:p w:rsidR="00C75F24" w:rsidRPr="00C75F24" w:rsidRDefault="00FE7AE1" w:rsidP="00C75F24">
      <w:pPr>
        <w:spacing w:before="100" w:beforeAutospacing="1" w:after="100" w:afterAutospacing="1" w:line="320" w:lineRule="atLeast"/>
        <w:ind w:left="709" w:hanging="709"/>
        <w:jc w:val="both"/>
        <w:rPr>
          <w:rFonts w:ascii="Arial" w:hAnsi="Arial" w:cs="Arial"/>
          <w:b/>
          <w:sz w:val="24"/>
          <w:szCs w:val="24"/>
        </w:rPr>
      </w:pPr>
      <w:r>
        <w:rPr>
          <w:rFonts w:ascii="Arial" w:hAnsi="Arial" w:cs="Arial"/>
          <w:b/>
          <w:bCs/>
          <w:sz w:val="24"/>
          <w:szCs w:val="24"/>
        </w:rPr>
        <w:t>2221</w:t>
      </w:r>
      <w:r w:rsidR="00C75F24" w:rsidRPr="00C75F24">
        <w:rPr>
          <w:rFonts w:ascii="Arial" w:hAnsi="Arial" w:cs="Arial"/>
          <w:b/>
          <w:bCs/>
          <w:sz w:val="24"/>
          <w:szCs w:val="24"/>
        </w:rPr>
        <w:t xml:space="preserve">. Mr A C Roos (DA) </w:t>
      </w:r>
      <w:r w:rsidR="00C75F24" w:rsidRPr="00C75F24">
        <w:rPr>
          <w:rFonts w:ascii="Arial" w:hAnsi="Arial" w:cs="Arial"/>
          <w:b/>
          <w:sz w:val="24"/>
          <w:szCs w:val="24"/>
        </w:rPr>
        <w:t>to ask the Minister of Home Affairs</w:t>
      </w:r>
      <w:r w:rsidR="00C75F24">
        <w:rPr>
          <w:rFonts w:ascii="Arial" w:hAnsi="Arial" w:cs="Arial"/>
          <w:b/>
          <w:sz w:val="24"/>
          <w:szCs w:val="24"/>
        </w:rPr>
        <w:t>:</w:t>
      </w:r>
      <w:r w:rsidR="00C75F24" w:rsidRPr="00C75F24">
        <w:rPr>
          <w:rFonts w:ascii="Arial" w:hAnsi="Arial" w:cs="Arial"/>
          <w:b/>
          <w:sz w:val="24"/>
          <w:szCs w:val="24"/>
        </w:rPr>
        <w:t xml:space="preserve"> </w:t>
      </w:r>
    </w:p>
    <w:p w:rsidR="00FE7AE1" w:rsidRPr="00FE7AE1" w:rsidRDefault="00FE7AE1" w:rsidP="00FE7AE1">
      <w:pPr>
        <w:spacing w:before="100" w:beforeAutospacing="1" w:after="100" w:afterAutospacing="1" w:line="320" w:lineRule="atLeast"/>
        <w:jc w:val="both"/>
        <w:outlineLvl w:val="0"/>
        <w:rPr>
          <w:rFonts w:ascii="Arial" w:hAnsi="Arial" w:cs="Arial"/>
          <w:sz w:val="24"/>
          <w:szCs w:val="24"/>
        </w:rPr>
      </w:pPr>
      <w:r w:rsidRPr="00FE7AE1">
        <w:rPr>
          <w:rFonts w:ascii="Arial" w:hAnsi="Arial" w:cs="Arial"/>
          <w:sz w:val="24"/>
          <w:szCs w:val="24"/>
        </w:rPr>
        <w:t>With reference to the contingent liabilities of his department that were R2</w:t>
      </w:r>
      <w:proofErr w:type="gramStart"/>
      <w:r w:rsidRPr="00FE7AE1">
        <w:rPr>
          <w:rFonts w:ascii="Arial" w:hAnsi="Arial" w:cs="Arial"/>
          <w:sz w:val="24"/>
          <w:szCs w:val="24"/>
        </w:rPr>
        <w:t>,189</w:t>
      </w:r>
      <w:proofErr w:type="gramEnd"/>
      <w:r w:rsidRPr="00FE7AE1">
        <w:rPr>
          <w:rFonts w:ascii="Arial" w:hAnsi="Arial" w:cs="Arial"/>
          <w:sz w:val="24"/>
          <w:szCs w:val="24"/>
        </w:rPr>
        <w:t xml:space="preserve"> billion as at 31 March 2020 and the 13 extra lawyers who were employed later in 2020 to deal with the specified cases, what (a) were the total contingent liabilities at (i) 31 March 2021, (ii) 31 March 2022 and (iii) 31 March 2023 and (b) was the total cost of the lawyers hired to deal with contingent liabilities in the period 1 April 2020 to 31 March 2023?</w:t>
      </w:r>
      <w:r w:rsidRPr="00FE7AE1">
        <w:rPr>
          <w:rFonts w:ascii="Arial" w:hAnsi="Arial" w:cs="Arial"/>
          <w:sz w:val="24"/>
          <w:szCs w:val="24"/>
        </w:rPr>
        <w:tab/>
      </w:r>
      <w:r w:rsidRPr="00FE7AE1">
        <w:rPr>
          <w:rFonts w:ascii="Arial" w:hAnsi="Arial" w:cs="Arial"/>
          <w:sz w:val="24"/>
          <w:szCs w:val="24"/>
        </w:rPr>
        <w:tab/>
      </w:r>
      <w:r w:rsidRPr="00FE7AE1">
        <w:rPr>
          <w:rFonts w:ascii="Arial" w:hAnsi="Arial" w:cs="Arial"/>
          <w:sz w:val="24"/>
          <w:szCs w:val="24"/>
        </w:rPr>
        <w:tab/>
      </w:r>
      <w:r w:rsidRPr="00FE7AE1">
        <w:rPr>
          <w:rFonts w:ascii="Arial" w:hAnsi="Arial" w:cs="Arial"/>
          <w:sz w:val="24"/>
          <w:szCs w:val="24"/>
        </w:rPr>
        <w:tab/>
      </w:r>
      <w:r w:rsidRPr="00FE7AE1">
        <w:rPr>
          <w:rFonts w:ascii="Arial" w:hAnsi="Arial" w:cs="Arial"/>
          <w:sz w:val="24"/>
          <w:szCs w:val="24"/>
        </w:rPr>
        <w:tab/>
      </w:r>
      <w:r w:rsidRPr="00FE7AE1">
        <w:rPr>
          <w:rFonts w:ascii="Arial" w:hAnsi="Arial" w:cs="Arial"/>
          <w:sz w:val="24"/>
          <w:szCs w:val="24"/>
        </w:rPr>
        <w:tab/>
      </w:r>
      <w:r w:rsidRPr="00FE7AE1">
        <w:rPr>
          <w:rFonts w:ascii="Arial" w:hAnsi="Arial" w:cs="Arial"/>
          <w:sz w:val="24"/>
          <w:szCs w:val="24"/>
        </w:rPr>
        <w:tab/>
      </w:r>
      <w:r w:rsidRPr="00FE7AE1">
        <w:rPr>
          <w:rFonts w:ascii="Arial" w:hAnsi="Arial" w:cs="Arial"/>
          <w:sz w:val="24"/>
          <w:szCs w:val="24"/>
        </w:rPr>
        <w:tab/>
      </w:r>
      <w:r w:rsidRPr="00FE7AE1">
        <w:rPr>
          <w:rFonts w:ascii="Arial" w:hAnsi="Arial" w:cs="Arial"/>
          <w:sz w:val="24"/>
          <w:szCs w:val="24"/>
        </w:rPr>
        <w:tab/>
      </w:r>
      <w:r w:rsidRPr="00FE7AE1">
        <w:rPr>
          <w:rFonts w:ascii="Arial" w:hAnsi="Arial" w:cs="Arial"/>
          <w:sz w:val="24"/>
          <w:szCs w:val="24"/>
        </w:rPr>
        <w:tab/>
        <w:t>NW2518E</w:t>
      </w:r>
    </w:p>
    <w:p w:rsidR="00C75F24" w:rsidRDefault="00C75F24" w:rsidP="00C75F24">
      <w:pPr>
        <w:spacing w:before="100" w:beforeAutospacing="1" w:after="100" w:afterAutospacing="1" w:line="320" w:lineRule="atLeast"/>
        <w:jc w:val="both"/>
        <w:outlineLvl w:val="0"/>
        <w:rPr>
          <w:rFonts w:ascii="Arial" w:eastAsia="Times New Roman" w:hAnsi="Arial" w:cs="Arial"/>
          <w:b/>
          <w:sz w:val="24"/>
          <w:szCs w:val="24"/>
          <w:lang w:val="en-GB"/>
        </w:rPr>
      </w:pPr>
    </w:p>
    <w:p w:rsidR="00C75F24" w:rsidRPr="00C75F24" w:rsidRDefault="00C75F24" w:rsidP="00C75F24">
      <w:pPr>
        <w:spacing w:before="100" w:beforeAutospacing="1" w:after="100" w:afterAutospacing="1" w:line="320" w:lineRule="atLeast"/>
        <w:jc w:val="both"/>
        <w:outlineLvl w:val="0"/>
        <w:rPr>
          <w:rFonts w:ascii="Arial" w:eastAsia="Times New Roman" w:hAnsi="Arial" w:cs="Arial"/>
          <w:sz w:val="24"/>
          <w:szCs w:val="24"/>
          <w:lang w:val="en-GB"/>
        </w:rPr>
      </w:pPr>
      <w:r>
        <w:rPr>
          <w:rFonts w:ascii="Arial" w:eastAsia="Times New Roman" w:hAnsi="Arial" w:cs="Arial"/>
          <w:b/>
          <w:sz w:val="24"/>
          <w:szCs w:val="24"/>
          <w:lang w:val="en-GB"/>
        </w:rPr>
        <w:t xml:space="preserve">REPLY: </w:t>
      </w:r>
    </w:p>
    <w:p w:rsidR="00FE7AE1" w:rsidRDefault="00FE7AE1" w:rsidP="00FE7AE1">
      <w:pPr>
        <w:spacing w:before="100" w:beforeAutospacing="1" w:after="100" w:afterAutospacing="1" w:line="320" w:lineRule="atLeast"/>
        <w:ind w:left="709" w:hanging="709"/>
        <w:contextualSpacing/>
        <w:jc w:val="both"/>
        <w:outlineLvl w:val="0"/>
        <w:rPr>
          <w:rFonts w:ascii="Arial" w:eastAsia="Times New Roman" w:hAnsi="Arial" w:cs="Arial"/>
          <w:sz w:val="24"/>
          <w:szCs w:val="24"/>
        </w:rPr>
      </w:pPr>
      <w:r w:rsidRPr="00FE7AE1">
        <w:rPr>
          <w:rFonts w:ascii="Arial" w:eastAsia="Times New Roman" w:hAnsi="Arial" w:cs="Arial"/>
          <w:sz w:val="24"/>
          <w:szCs w:val="24"/>
        </w:rPr>
        <w:t xml:space="preserve">(a)(i) </w:t>
      </w:r>
      <w:r w:rsidRPr="00FE7AE1">
        <w:rPr>
          <w:rFonts w:ascii="Arial" w:eastAsia="Times New Roman" w:hAnsi="Arial" w:cs="Arial"/>
          <w:b/>
          <w:sz w:val="24"/>
          <w:szCs w:val="24"/>
        </w:rPr>
        <w:t>31 March 2021</w:t>
      </w:r>
      <w:r w:rsidRPr="00FE7AE1">
        <w:rPr>
          <w:rFonts w:ascii="Arial" w:eastAsia="Times New Roman" w:hAnsi="Arial" w:cs="Arial"/>
          <w:sz w:val="24"/>
          <w:szCs w:val="24"/>
        </w:rPr>
        <w:t xml:space="preserve">: As per the Departmental Annual Report 2021/22, the total contingent liabilities reported was: </w:t>
      </w:r>
      <w:r w:rsidRPr="00FE7AE1">
        <w:rPr>
          <w:rFonts w:ascii="Arial" w:eastAsia="Times New Roman" w:hAnsi="Arial" w:cs="Arial"/>
          <w:b/>
          <w:sz w:val="24"/>
          <w:szCs w:val="24"/>
        </w:rPr>
        <w:t>R2</w:t>
      </w:r>
      <w:proofErr w:type="gramStart"/>
      <w:r w:rsidRPr="00FE7AE1">
        <w:rPr>
          <w:rFonts w:ascii="Arial" w:eastAsia="Times New Roman" w:hAnsi="Arial" w:cs="Arial"/>
          <w:b/>
          <w:sz w:val="24"/>
          <w:szCs w:val="24"/>
        </w:rPr>
        <w:t>,358,451,000.00</w:t>
      </w:r>
      <w:proofErr w:type="gramEnd"/>
      <w:r w:rsidRPr="00FE7AE1">
        <w:rPr>
          <w:rFonts w:ascii="Arial" w:eastAsia="Times New Roman" w:hAnsi="Arial" w:cs="Arial"/>
          <w:sz w:val="24"/>
          <w:szCs w:val="24"/>
        </w:rPr>
        <w:t xml:space="preserve"> of which R2,152,423,000.00 was for legal claims; </w:t>
      </w:r>
    </w:p>
    <w:p w:rsidR="00FE7AE1" w:rsidRDefault="00FE7AE1" w:rsidP="00FE7AE1">
      <w:pPr>
        <w:spacing w:before="100" w:beforeAutospacing="1" w:after="100" w:afterAutospacing="1" w:line="320" w:lineRule="atLeast"/>
        <w:ind w:left="709" w:hanging="709"/>
        <w:contextualSpacing/>
        <w:jc w:val="both"/>
        <w:outlineLvl w:val="0"/>
        <w:rPr>
          <w:rFonts w:ascii="Arial" w:eastAsia="Times New Roman" w:hAnsi="Arial" w:cs="Arial"/>
          <w:sz w:val="24"/>
          <w:szCs w:val="24"/>
        </w:rPr>
      </w:pPr>
    </w:p>
    <w:p w:rsidR="00FE7AE1" w:rsidRDefault="00FE7AE1" w:rsidP="00FE7AE1">
      <w:pPr>
        <w:spacing w:before="100" w:beforeAutospacing="1" w:after="100" w:afterAutospacing="1" w:line="320" w:lineRule="atLeast"/>
        <w:ind w:left="709" w:hanging="709"/>
        <w:contextualSpacing/>
        <w:jc w:val="both"/>
        <w:outlineLvl w:val="0"/>
        <w:rPr>
          <w:rFonts w:ascii="Arial" w:eastAsia="Times New Roman" w:hAnsi="Arial" w:cs="Arial"/>
          <w:sz w:val="24"/>
          <w:szCs w:val="24"/>
        </w:rPr>
      </w:pPr>
      <w:r w:rsidRPr="00FE7AE1">
        <w:rPr>
          <w:rFonts w:ascii="Arial" w:eastAsia="Times New Roman" w:hAnsi="Arial" w:cs="Arial"/>
          <w:sz w:val="24"/>
          <w:szCs w:val="24"/>
        </w:rPr>
        <w:t xml:space="preserve">(a)(ii) </w:t>
      </w:r>
      <w:r w:rsidRPr="00FE7AE1">
        <w:rPr>
          <w:rFonts w:ascii="Arial" w:eastAsia="Times New Roman" w:hAnsi="Arial" w:cs="Arial"/>
          <w:b/>
          <w:sz w:val="24"/>
          <w:szCs w:val="24"/>
        </w:rPr>
        <w:t>31 March 2022:</w:t>
      </w:r>
      <w:r w:rsidRPr="00FE7AE1">
        <w:rPr>
          <w:rFonts w:ascii="Arial" w:eastAsia="Times New Roman" w:hAnsi="Arial" w:cs="Arial"/>
          <w:sz w:val="24"/>
          <w:szCs w:val="24"/>
        </w:rPr>
        <w:t xml:space="preserve"> As per the Departmental Annual Report 2022/23, the total contingent liabilities reported was:</w:t>
      </w:r>
      <w:r w:rsidRPr="00FE7AE1">
        <w:rPr>
          <w:rFonts w:ascii="Arial" w:eastAsia="Times New Roman" w:hAnsi="Arial" w:cs="Arial"/>
          <w:b/>
          <w:sz w:val="24"/>
          <w:szCs w:val="24"/>
        </w:rPr>
        <w:t xml:space="preserve"> R2, 338,966,000.00</w:t>
      </w:r>
      <w:r w:rsidRPr="00FE7AE1">
        <w:rPr>
          <w:rFonts w:ascii="Arial" w:eastAsia="Times New Roman" w:hAnsi="Arial" w:cs="Arial"/>
          <w:sz w:val="24"/>
          <w:szCs w:val="24"/>
        </w:rPr>
        <w:t xml:space="preserve"> of which R2</w:t>
      </w:r>
      <w:proofErr w:type="gramStart"/>
      <w:r w:rsidRPr="00FE7AE1">
        <w:rPr>
          <w:rFonts w:ascii="Arial" w:eastAsia="Times New Roman" w:hAnsi="Arial" w:cs="Arial"/>
          <w:sz w:val="24"/>
          <w:szCs w:val="24"/>
        </w:rPr>
        <w:t>,107,068,000.00</w:t>
      </w:r>
      <w:proofErr w:type="gramEnd"/>
      <w:r w:rsidRPr="00FE7AE1">
        <w:rPr>
          <w:rFonts w:ascii="Arial" w:eastAsia="Times New Roman" w:hAnsi="Arial" w:cs="Arial"/>
          <w:sz w:val="24"/>
          <w:szCs w:val="24"/>
        </w:rPr>
        <w:t xml:space="preserve"> was for legal claims; </w:t>
      </w:r>
    </w:p>
    <w:p w:rsidR="00FE7AE1" w:rsidRPr="00FE7AE1" w:rsidRDefault="00FE7AE1" w:rsidP="00FE7AE1">
      <w:pPr>
        <w:spacing w:before="100" w:beforeAutospacing="1" w:after="100" w:afterAutospacing="1" w:line="320" w:lineRule="atLeast"/>
        <w:ind w:left="709" w:hanging="709"/>
        <w:contextualSpacing/>
        <w:jc w:val="both"/>
        <w:outlineLvl w:val="0"/>
        <w:rPr>
          <w:rFonts w:ascii="Arial" w:eastAsia="Times New Roman" w:hAnsi="Arial" w:cs="Arial"/>
          <w:sz w:val="24"/>
          <w:szCs w:val="24"/>
        </w:rPr>
      </w:pPr>
    </w:p>
    <w:p w:rsidR="00FE7AE1" w:rsidRDefault="00FE7AE1" w:rsidP="00FE7AE1">
      <w:pPr>
        <w:spacing w:before="100" w:beforeAutospacing="1" w:after="100" w:afterAutospacing="1" w:line="320" w:lineRule="atLeast"/>
        <w:ind w:left="709" w:hanging="709"/>
        <w:contextualSpacing/>
        <w:jc w:val="both"/>
        <w:outlineLvl w:val="0"/>
        <w:rPr>
          <w:rFonts w:ascii="Arial" w:eastAsia="Times New Roman" w:hAnsi="Arial" w:cs="Arial"/>
          <w:sz w:val="24"/>
          <w:szCs w:val="24"/>
        </w:rPr>
      </w:pPr>
      <w:r w:rsidRPr="00FE7AE1">
        <w:rPr>
          <w:rFonts w:ascii="Arial" w:eastAsia="Times New Roman" w:hAnsi="Arial" w:cs="Arial"/>
          <w:sz w:val="24"/>
          <w:szCs w:val="24"/>
        </w:rPr>
        <w:t xml:space="preserve">(a)(iii) </w:t>
      </w:r>
      <w:r w:rsidRPr="00FE7AE1">
        <w:rPr>
          <w:rFonts w:ascii="Arial" w:eastAsia="Times New Roman" w:hAnsi="Arial" w:cs="Arial"/>
          <w:b/>
          <w:sz w:val="24"/>
          <w:szCs w:val="24"/>
        </w:rPr>
        <w:t>31 March 2023</w:t>
      </w:r>
      <w:r w:rsidRPr="00FE7AE1">
        <w:rPr>
          <w:rFonts w:ascii="Arial" w:eastAsia="Times New Roman" w:hAnsi="Arial" w:cs="Arial"/>
          <w:sz w:val="24"/>
          <w:szCs w:val="24"/>
        </w:rPr>
        <w:t>: As per unaudited Annual Financial Statements (AFS) submitted as at 31</w:t>
      </w:r>
      <w:r w:rsidRPr="00FE7AE1">
        <w:rPr>
          <w:rFonts w:ascii="Arial" w:eastAsia="Times New Roman" w:hAnsi="Arial" w:cs="Arial"/>
          <w:sz w:val="24"/>
          <w:szCs w:val="24"/>
          <w:vertAlign w:val="superscript"/>
        </w:rPr>
        <w:t>st</w:t>
      </w:r>
      <w:r w:rsidRPr="00FE7AE1">
        <w:rPr>
          <w:rFonts w:ascii="Arial" w:eastAsia="Times New Roman" w:hAnsi="Arial" w:cs="Arial"/>
          <w:sz w:val="24"/>
          <w:szCs w:val="24"/>
        </w:rPr>
        <w:t xml:space="preserve"> May 2023, the Department has re-stated its assessment of its contingent liabilities following receipt of a commissioned technical report advising the Department on how to disclose its contingent liabilities on legal matters. The Department has therefore re-assessed its disclosed contingent liability amount to </w:t>
      </w:r>
      <w:r w:rsidRPr="00FE7AE1">
        <w:rPr>
          <w:rFonts w:ascii="Arial" w:eastAsia="Times New Roman" w:hAnsi="Arial" w:cs="Arial"/>
          <w:b/>
          <w:sz w:val="24"/>
          <w:szCs w:val="24"/>
        </w:rPr>
        <w:t>R239</w:t>
      </w:r>
      <w:proofErr w:type="gramStart"/>
      <w:r w:rsidRPr="00FE7AE1">
        <w:rPr>
          <w:rFonts w:ascii="Arial" w:eastAsia="Times New Roman" w:hAnsi="Arial" w:cs="Arial"/>
          <w:b/>
          <w:sz w:val="24"/>
          <w:szCs w:val="24"/>
        </w:rPr>
        <w:t>,500,000.00</w:t>
      </w:r>
      <w:proofErr w:type="gramEnd"/>
      <w:r w:rsidRPr="00FE7AE1">
        <w:rPr>
          <w:rFonts w:ascii="Arial" w:eastAsia="Times New Roman" w:hAnsi="Arial" w:cs="Arial"/>
          <w:b/>
          <w:sz w:val="24"/>
          <w:szCs w:val="24"/>
        </w:rPr>
        <w:t xml:space="preserve"> </w:t>
      </w:r>
      <w:r w:rsidRPr="00FE7AE1">
        <w:rPr>
          <w:rFonts w:ascii="Arial" w:eastAsia="Times New Roman" w:hAnsi="Arial" w:cs="Arial"/>
          <w:sz w:val="24"/>
          <w:szCs w:val="24"/>
        </w:rPr>
        <w:t>which excludes legal matters. The amount of R2</w:t>
      </w:r>
      <w:proofErr w:type="gramStart"/>
      <w:r w:rsidRPr="00FE7AE1">
        <w:rPr>
          <w:rFonts w:ascii="Arial" w:eastAsia="Times New Roman" w:hAnsi="Arial" w:cs="Arial"/>
          <w:sz w:val="24"/>
          <w:szCs w:val="24"/>
        </w:rPr>
        <w:t>,171,242,664.07</w:t>
      </w:r>
      <w:proofErr w:type="gramEnd"/>
      <w:r w:rsidRPr="00FE7AE1">
        <w:rPr>
          <w:rFonts w:ascii="Arial" w:eastAsia="Times New Roman" w:hAnsi="Arial" w:cs="Arial"/>
          <w:sz w:val="24"/>
          <w:szCs w:val="24"/>
        </w:rPr>
        <w:t xml:space="preserve"> for legal claims is recognised as a note and annexure to the AFS.  This amount was not included in the main total because it cannot be reliably estimated as the “possible settlement” amount.</w:t>
      </w:r>
    </w:p>
    <w:p w:rsidR="00FE7AE1" w:rsidRPr="00FE7AE1" w:rsidRDefault="00FE7AE1" w:rsidP="00FE7AE1">
      <w:pPr>
        <w:spacing w:before="100" w:beforeAutospacing="1" w:after="100" w:afterAutospacing="1" w:line="320" w:lineRule="atLeast"/>
        <w:ind w:left="709" w:hanging="709"/>
        <w:contextualSpacing/>
        <w:jc w:val="both"/>
        <w:outlineLvl w:val="0"/>
        <w:rPr>
          <w:rFonts w:ascii="Arial" w:eastAsia="Times New Roman" w:hAnsi="Arial" w:cs="Arial"/>
          <w:sz w:val="24"/>
          <w:szCs w:val="24"/>
        </w:rPr>
      </w:pPr>
    </w:p>
    <w:p w:rsidR="00FE7AE1" w:rsidRPr="00FE7AE1" w:rsidRDefault="00FE7AE1" w:rsidP="00FE7AE1">
      <w:pPr>
        <w:spacing w:before="100" w:beforeAutospacing="1" w:after="100" w:afterAutospacing="1" w:line="320" w:lineRule="atLeast"/>
        <w:ind w:left="709" w:hanging="709"/>
        <w:contextualSpacing/>
        <w:jc w:val="both"/>
        <w:outlineLvl w:val="0"/>
        <w:rPr>
          <w:rFonts w:ascii="Arial" w:eastAsia="Times New Roman" w:hAnsi="Arial" w:cs="Arial"/>
          <w:sz w:val="24"/>
          <w:szCs w:val="24"/>
        </w:rPr>
      </w:pPr>
      <w:r w:rsidRPr="00FE7AE1">
        <w:rPr>
          <w:rFonts w:ascii="Arial" w:eastAsia="Times New Roman" w:hAnsi="Arial" w:cs="Arial"/>
          <w:sz w:val="24"/>
          <w:szCs w:val="24"/>
        </w:rPr>
        <w:t xml:space="preserve">(b) </w:t>
      </w:r>
      <w:r>
        <w:rPr>
          <w:rFonts w:ascii="Arial" w:eastAsia="Times New Roman" w:hAnsi="Arial" w:cs="Arial"/>
          <w:sz w:val="24"/>
          <w:szCs w:val="24"/>
        </w:rPr>
        <w:t xml:space="preserve">    </w:t>
      </w:r>
      <w:r w:rsidRPr="00FE7AE1">
        <w:rPr>
          <w:rFonts w:ascii="Arial" w:eastAsia="Times New Roman" w:hAnsi="Arial" w:cs="Arial"/>
          <w:sz w:val="24"/>
          <w:szCs w:val="24"/>
        </w:rPr>
        <w:t xml:space="preserve">There is no direct correlation between the recruitment of the referred 13 legal resources, and the reduction of the stated contingent liabilities.  These officials </w:t>
      </w:r>
      <w:r w:rsidRPr="00FE7AE1">
        <w:rPr>
          <w:rFonts w:ascii="Arial" w:eastAsia="Times New Roman" w:hAnsi="Arial" w:cs="Arial"/>
          <w:sz w:val="24"/>
          <w:szCs w:val="24"/>
        </w:rPr>
        <w:lastRenderedPageBreak/>
        <w:t xml:space="preserve">were employed by the Department to handle all litigation matters emanating from the Department and their employment has no direct bearing on the reduction of the amount disclosed within the contingent liability register, as amounts disclosed are the amounts claimed by the Plaintiffs.    </w:t>
      </w:r>
    </w:p>
    <w:p w:rsidR="00FE7AE1" w:rsidRPr="00FE7AE1" w:rsidRDefault="00FE7AE1" w:rsidP="00FE7AE1">
      <w:pPr>
        <w:spacing w:before="100" w:beforeAutospacing="1" w:after="100" w:afterAutospacing="1" w:line="320" w:lineRule="atLeast"/>
        <w:ind w:left="709" w:hanging="709"/>
        <w:contextualSpacing/>
        <w:jc w:val="both"/>
        <w:outlineLvl w:val="0"/>
        <w:rPr>
          <w:rFonts w:ascii="Arial" w:eastAsia="Times New Roman" w:hAnsi="Arial" w:cs="Arial"/>
          <w:sz w:val="24"/>
          <w:szCs w:val="24"/>
          <w:lang w:val="en-GB"/>
        </w:rPr>
      </w:pPr>
      <w:r>
        <w:rPr>
          <w:rFonts w:ascii="Arial" w:eastAsia="Times New Roman" w:hAnsi="Arial" w:cs="Arial"/>
          <w:sz w:val="24"/>
          <w:szCs w:val="24"/>
          <w:lang w:val="en-GB"/>
        </w:rPr>
        <w:t xml:space="preserve">           </w:t>
      </w:r>
      <w:r w:rsidRPr="00FE7AE1">
        <w:rPr>
          <w:rFonts w:ascii="Arial" w:eastAsia="Times New Roman" w:hAnsi="Arial" w:cs="Arial"/>
          <w:sz w:val="24"/>
          <w:szCs w:val="24"/>
          <w:lang w:val="en-GB"/>
        </w:rPr>
        <w:t>From April 2020 to March 2023, the Department employed one Senior Legal Administration Office who is on level 12 and 7 Legal Administration Officers who are on level 9. The cost of these officials is prescribed as per their level of appointment based on remuneration scales determined by the Department of Public Service Administration (DPSA).</w:t>
      </w:r>
    </w:p>
    <w:p w:rsidR="00FE7AE1" w:rsidRPr="00FE7AE1" w:rsidRDefault="00FE7AE1" w:rsidP="00FE7AE1">
      <w:pPr>
        <w:spacing w:before="100" w:beforeAutospacing="1" w:after="100" w:afterAutospacing="1" w:line="320" w:lineRule="atLeast"/>
        <w:ind w:left="709" w:hanging="709"/>
        <w:contextualSpacing/>
        <w:jc w:val="both"/>
        <w:outlineLvl w:val="0"/>
        <w:rPr>
          <w:rFonts w:ascii="Arial" w:eastAsia="Times New Roman" w:hAnsi="Arial" w:cs="Arial"/>
          <w:sz w:val="24"/>
          <w:szCs w:val="24"/>
        </w:rPr>
      </w:pPr>
    </w:p>
    <w:p w:rsidR="00C75F24" w:rsidRPr="00C75F24" w:rsidRDefault="00C75F24" w:rsidP="00C75F24">
      <w:pPr>
        <w:spacing w:before="100" w:beforeAutospacing="1" w:after="100" w:afterAutospacing="1" w:line="320" w:lineRule="atLeast"/>
        <w:ind w:left="426"/>
        <w:contextualSpacing/>
        <w:jc w:val="both"/>
        <w:outlineLvl w:val="0"/>
        <w:rPr>
          <w:rFonts w:ascii="Arial" w:eastAsia="Times New Roman" w:hAnsi="Arial" w:cs="Arial"/>
          <w:sz w:val="24"/>
          <w:szCs w:val="24"/>
          <w:lang w:val="en-GB"/>
        </w:rPr>
      </w:pPr>
    </w:p>
    <w:p w:rsidR="00C75F24" w:rsidRDefault="00C75F24" w:rsidP="00F352FA">
      <w:pPr>
        <w:spacing w:after="0"/>
        <w:jc w:val="both"/>
        <w:rPr>
          <w:rFonts w:ascii="Arial Narrow" w:eastAsia="Times New Roman" w:hAnsi="Arial Narrow" w:cs="Arial"/>
          <w:b/>
          <w:bCs/>
          <w:sz w:val="24"/>
          <w:szCs w:val="24"/>
          <w:lang w:val="en-GB"/>
        </w:rPr>
      </w:pPr>
    </w:p>
    <w:p w:rsidR="00FE7AE1" w:rsidRDefault="00FE7AE1" w:rsidP="00F352FA">
      <w:pPr>
        <w:spacing w:after="0"/>
        <w:jc w:val="both"/>
        <w:rPr>
          <w:rFonts w:ascii="Arial Narrow" w:eastAsia="Times New Roman" w:hAnsi="Arial Narrow" w:cs="Arial"/>
          <w:b/>
          <w:bCs/>
          <w:sz w:val="24"/>
          <w:szCs w:val="24"/>
          <w:lang w:val="en-GB"/>
        </w:rPr>
      </w:pPr>
    </w:p>
    <w:p w:rsidR="00F352FA" w:rsidRDefault="00080481" w:rsidP="00F83507">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END</w:t>
      </w:r>
    </w:p>
    <w:sectPr w:rsidR="00F352FA" w:rsidSect="00F352FA">
      <w:headerReference w:type="default" r:id="rId8"/>
      <w:footerReference w:type="even" r:id="rId9"/>
      <w:footerReference w:type="default" r:id="rId10"/>
      <w:footerReference w:type="first" r:id="rId11"/>
      <w:pgSz w:w="12240" w:h="15840" w:code="1"/>
      <w:pgMar w:top="142" w:right="992" w:bottom="851" w:left="1701" w:header="709" w:footer="18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E8D" w:rsidRDefault="009C3E8D" w:rsidP="00670234">
      <w:pPr>
        <w:spacing w:after="0" w:line="240" w:lineRule="auto"/>
      </w:pPr>
      <w:r>
        <w:separator/>
      </w:r>
    </w:p>
  </w:endnote>
  <w:endnote w:type="continuationSeparator" w:id="0">
    <w:p w:rsidR="009C3E8D" w:rsidRDefault="009C3E8D"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FE7AE1" w:rsidP="0068214C">
    <w:pPr>
      <w:pBdr>
        <w:top w:val="thinThickSmallGap" w:sz="24" w:space="1" w:color="622423"/>
      </w:pBdr>
      <w:tabs>
        <w:tab w:val="right" w:pos="10170"/>
      </w:tabs>
      <w:spacing w:after="0" w:line="240" w:lineRule="auto"/>
      <w:rPr>
        <w:rFonts w:ascii="Cambria" w:eastAsia="Times New Roman" w:hAnsi="Cambria"/>
      </w:rPr>
    </w:pPr>
    <w:r>
      <w:rPr>
        <w:rFonts w:ascii="Arial" w:eastAsia="Times New Roman" w:hAnsi="Arial" w:cs="Arial"/>
        <w:b/>
        <w:bCs/>
        <w:sz w:val="20"/>
        <w:szCs w:val="20"/>
      </w:rPr>
      <w:t>2221</w:t>
    </w:r>
    <w:r w:rsidR="00C75F24" w:rsidRPr="00C75F24">
      <w:rPr>
        <w:rFonts w:ascii="Arial" w:eastAsia="Times New Roman" w:hAnsi="Arial" w:cs="Arial"/>
        <w:b/>
        <w:bCs/>
        <w:sz w:val="20"/>
        <w:szCs w:val="20"/>
      </w:rPr>
      <w:t>. Mr A C Roos (DA) to ask the Minister of Home Affairs</w:t>
    </w:r>
    <w:r w:rsidR="00F352FA" w:rsidRPr="00F352FA">
      <w:rPr>
        <w:rFonts w:ascii="Arial" w:eastAsia="Times New Roman" w:hAnsi="Arial" w:cs="Arial"/>
        <w:b/>
        <w:bCs/>
        <w:sz w:val="20"/>
        <w:szCs w:val="20"/>
      </w:rPr>
      <w:t>:</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EE09CB" w:rsidRPr="00EE09CB">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FE7AE1"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eastAsia="Times New Roman" w:hAnsi="Arial" w:cs="Arial"/>
        <w:b/>
        <w:bCs/>
        <w:sz w:val="20"/>
        <w:szCs w:val="20"/>
      </w:rPr>
      <w:t>2221</w:t>
    </w:r>
    <w:r w:rsidR="00C75F24" w:rsidRPr="00C75F24">
      <w:rPr>
        <w:rFonts w:ascii="Arial" w:eastAsia="Times New Roman" w:hAnsi="Arial" w:cs="Arial"/>
        <w:b/>
        <w:bCs/>
        <w:sz w:val="20"/>
        <w:szCs w:val="20"/>
      </w:rPr>
      <w:t>. Mr A C Roos (DA) to ask the Minister of Home Affairs</w:t>
    </w:r>
    <w:r w:rsidR="00F352FA" w:rsidRPr="00F352FA">
      <w:rPr>
        <w:rFonts w:ascii="Arial" w:eastAsia="Times New Roman" w:hAnsi="Arial" w:cs="Arial"/>
        <w:b/>
        <w:bCs/>
        <w:sz w:val="20"/>
        <w:szCs w:val="20"/>
      </w:rPr>
      <w:t>:</w:t>
    </w:r>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E8D" w:rsidRDefault="009C3E8D" w:rsidP="00670234">
      <w:pPr>
        <w:spacing w:after="0" w:line="240" w:lineRule="auto"/>
      </w:pPr>
      <w:r>
        <w:separator/>
      </w:r>
    </w:p>
  </w:footnote>
  <w:footnote w:type="continuationSeparator" w:id="0">
    <w:p w:rsidR="009C3E8D" w:rsidRDefault="009C3E8D"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fldSimple w:instr=" PAGE   \* MERGEFORMAT ">
      <w:r w:rsidR="00EE09CB">
        <w:rPr>
          <w:noProof/>
        </w:rPr>
        <w:t>2</w:t>
      </w:r>
    </w:fldSimple>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92AAD"/>
    <w:multiLevelType w:val="hybridMultilevel"/>
    <w:tmpl w:val="94B8C068"/>
    <w:lvl w:ilvl="0" w:tplc="A3E40D88">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nsid w:val="38EE4271"/>
    <w:multiLevelType w:val="hybridMultilevel"/>
    <w:tmpl w:val="33F8FFA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
    <w:nsid w:val="401F2D32"/>
    <w:multiLevelType w:val="hybridMultilevel"/>
    <w:tmpl w:val="2CAAC300"/>
    <w:lvl w:ilvl="0" w:tplc="B5DC47B2">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E5259B4"/>
    <w:multiLevelType w:val="hybridMultilevel"/>
    <w:tmpl w:val="15EA36C6"/>
    <w:lvl w:ilvl="0" w:tplc="221A89C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64F5885"/>
    <w:multiLevelType w:val="hybridMultilevel"/>
    <w:tmpl w:val="F0D0E992"/>
    <w:lvl w:ilvl="0" w:tplc="33E0826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0AB5893"/>
    <w:multiLevelType w:val="hybridMultilevel"/>
    <w:tmpl w:val="554A7AEE"/>
    <w:lvl w:ilvl="0" w:tplc="373E9908">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0EB6D62"/>
    <w:multiLevelType w:val="hybridMultilevel"/>
    <w:tmpl w:val="FAE6DD4C"/>
    <w:lvl w:ilvl="0" w:tplc="060E99CE">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67004652"/>
    <w:multiLevelType w:val="hybridMultilevel"/>
    <w:tmpl w:val="B66A80BE"/>
    <w:lvl w:ilvl="0" w:tplc="32D812F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CEF2E39"/>
    <w:multiLevelType w:val="hybridMultilevel"/>
    <w:tmpl w:val="74EC04FA"/>
    <w:lvl w:ilvl="0" w:tplc="1C090017">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3"/>
  </w:num>
  <w:num w:numId="5">
    <w:abstractNumId w:val="4"/>
  </w:num>
  <w:num w:numId="6">
    <w:abstractNumId w:val="0"/>
  </w:num>
  <w:num w:numId="7">
    <w:abstractNumId w:val="2"/>
  </w:num>
  <w:num w:numId="8">
    <w:abstractNumId w:val="1"/>
  </w:num>
  <w:num w:numId="9">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27CDD"/>
    <w:rsid w:val="00032FFE"/>
    <w:rsid w:val="00041118"/>
    <w:rsid w:val="00045790"/>
    <w:rsid w:val="00080481"/>
    <w:rsid w:val="00084040"/>
    <w:rsid w:val="000967EB"/>
    <w:rsid w:val="000A74F4"/>
    <w:rsid w:val="000A77E0"/>
    <w:rsid w:val="000B5E93"/>
    <w:rsid w:val="000D1196"/>
    <w:rsid w:val="000D66B3"/>
    <w:rsid w:val="000E41EA"/>
    <w:rsid w:val="000F058C"/>
    <w:rsid w:val="00100657"/>
    <w:rsid w:val="00110627"/>
    <w:rsid w:val="001232EB"/>
    <w:rsid w:val="00131875"/>
    <w:rsid w:val="00157708"/>
    <w:rsid w:val="00160BB0"/>
    <w:rsid w:val="001654E4"/>
    <w:rsid w:val="00172559"/>
    <w:rsid w:val="001752C2"/>
    <w:rsid w:val="001870B4"/>
    <w:rsid w:val="001973ED"/>
    <w:rsid w:val="0019774F"/>
    <w:rsid w:val="001B760D"/>
    <w:rsid w:val="001C1F2A"/>
    <w:rsid w:val="001C66A5"/>
    <w:rsid w:val="001D77EA"/>
    <w:rsid w:val="001D78CD"/>
    <w:rsid w:val="001E04E7"/>
    <w:rsid w:val="001E1750"/>
    <w:rsid w:val="001E2E62"/>
    <w:rsid w:val="001E5647"/>
    <w:rsid w:val="001F6551"/>
    <w:rsid w:val="002126FA"/>
    <w:rsid w:val="0022531A"/>
    <w:rsid w:val="00226046"/>
    <w:rsid w:val="00226E66"/>
    <w:rsid w:val="00231AF8"/>
    <w:rsid w:val="0023337F"/>
    <w:rsid w:val="00250D6A"/>
    <w:rsid w:val="00252B4C"/>
    <w:rsid w:val="002546B2"/>
    <w:rsid w:val="002624E3"/>
    <w:rsid w:val="00263AAC"/>
    <w:rsid w:val="002670DF"/>
    <w:rsid w:val="002706DE"/>
    <w:rsid w:val="0027540F"/>
    <w:rsid w:val="002773AF"/>
    <w:rsid w:val="00281393"/>
    <w:rsid w:val="00284C59"/>
    <w:rsid w:val="0028781B"/>
    <w:rsid w:val="0029003E"/>
    <w:rsid w:val="0029680A"/>
    <w:rsid w:val="002A0B41"/>
    <w:rsid w:val="002A25C7"/>
    <w:rsid w:val="002A3520"/>
    <w:rsid w:val="002A6EA8"/>
    <w:rsid w:val="002B726D"/>
    <w:rsid w:val="002C287C"/>
    <w:rsid w:val="002C5182"/>
    <w:rsid w:val="002C5899"/>
    <w:rsid w:val="002C5D8D"/>
    <w:rsid w:val="002D3E3A"/>
    <w:rsid w:val="002E7AF7"/>
    <w:rsid w:val="002F19DD"/>
    <w:rsid w:val="00304632"/>
    <w:rsid w:val="003062CC"/>
    <w:rsid w:val="003169E3"/>
    <w:rsid w:val="00320764"/>
    <w:rsid w:val="0033176B"/>
    <w:rsid w:val="003441ED"/>
    <w:rsid w:val="0034616E"/>
    <w:rsid w:val="00352F7C"/>
    <w:rsid w:val="00360B2E"/>
    <w:rsid w:val="00372359"/>
    <w:rsid w:val="00374BCC"/>
    <w:rsid w:val="00377172"/>
    <w:rsid w:val="0037761C"/>
    <w:rsid w:val="003857B8"/>
    <w:rsid w:val="00385A4F"/>
    <w:rsid w:val="0039132B"/>
    <w:rsid w:val="00391335"/>
    <w:rsid w:val="003914B8"/>
    <w:rsid w:val="0039194B"/>
    <w:rsid w:val="00396122"/>
    <w:rsid w:val="003A01F1"/>
    <w:rsid w:val="003A1737"/>
    <w:rsid w:val="003C2BAD"/>
    <w:rsid w:val="003D0B2B"/>
    <w:rsid w:val="003D2B45"/>
    <w:rsid w:val="003D6128"/>
    <w:rsid w:val="003F3CA2"/>
    <w:rsid w:val="003F653A"/>
    <w:rsid w:val="00401574"/>
    <w:rsid w:val="004051E1"/>
    <w:rsid w:val="00407932"/>
    <w:rsid w:val="00415BE2"/>
    <w:rsid w:val="00421235"/>
    <w:rsid w:val="00422B34"/>
    <w:rsid w:val="00424248"/>
    <w:rsid w:val="00425DB0"/>
    <w:rsid w:val="004444D7"/>
    <w:rsid w:val="00446EA0"/>
    <w:rsid w:val="004547E0"/>
    <w:rsid w:val="00454DA6"/>
    <w:rsid w:val="00456148"/>
    <w:rsid w:val="004561F4"/>
    <w:rsid w:val="0046087B"/>
    <w:rsid w:val="004636C1"/>
    <w:rsid w:val="00464D1E"/>
    <w:rsid w:val="004915BF"/>
    <w:rsid w:val="004B0560"/>
    <w:rsid w:val="004C31D1"/>
    <w:rsid w:val="004C7F33"/>
    <w:rsid w:val="004D243D"/>
    <w:rsid w:val="004E4343"/>
    <w:rsid w:val="004E64A2"/>
    <w:rsid w:val="004F3075"/>
    <w:rsid w:val="004F5004"/>
    <w:rsid w:val="00511BF8"/>
    <w:rsid w:val="00512B31"/>
    <w:rsid w:val="0052344C"/>
    <w:rsid w:val="005234FC"/>
    <w:rsid w:val="00525C51"/>
    <w:rsid w:val="00532231"/>
    <w:rsid w:val="00534A4F"/>
    <w:rsid w:val="0054035C"/>
    <w:rsid w:val="00547A0D"/>
    <w:rsid w:val="00555113"/>
    <w:rsid w:val="00566C60"/>
    <w:rsid w:val="0057013D"/>
    <w:rsid w:val="00590E2B"/>
    <w:rsid w:val="005932DB"/>
    <w:rsid w:val="005942D8"/>
    <w:rsid w:val="00594603"/>
    <w:rsid w:val="005A1CEF"/>
    <w:rsid w:val="005A7E7D"/>
    <w:rsid w:val="005B6678"/>
    <w:rsid w:val="005C2DF4"/>
    <w:rsid w:val="005D2593"/>
    <w:rsid w:val="005D4C3C"/>
    <w:rsid w:val="005D6920"/>
    <w:rsid w:val="005D6A08"/>
    <w:rsid w:val="005E103C"/>
    <w:rsid w:val="005E7753"/>
    <w:rsid w:val="005F5DEB"/>
    <w:rsid w:val="00603890"/>
    <w:rsid w:val="0060477E"/>
    <w:rsid w:val="00613753"/>
    <w:rsid w:val="006248F0"/>
    <w:rsid w:val="00626C37"/>
    <w:rsid w:val="0064222E"/>
    <w:rsid w:val="00644F74"/>
    <w:rsid w:val="00647E6D"/>
    <w:rsid w:val="00655EC9"/>
    <w:rsid w:val="00656E45"/>
    <w:rsid w:val="006629CD"/>
    <w:rsid w:val="00670234"/>
    <w:rsid w:val="006751DF"/>
    <w:rsid w:val="00676248"/>
    <w:rsid w:val="006768B7"/>
    <w:rsid w:val="0068214C"/>
    <w:rsid w:val="0069577C"/>
    <w:rsid w:val="00696968"/>
    <w:rsid w:val="006A10F0"/>
    <w:rsid w:val="006A5BA0"/>
    <w:rsid w:val="006B2B3F"/>
    <w:rsid w:val="006B3BC4"/>
    <w:rsid w:val="006B518E"/>
    <w:rsid w:val="006C7F99"/>
    <w:rsid w:val="006D0A19"/>
    <w:rsid w:val="006D1E58"/>
    <w:rsid w:val="006D66AF"/>
    <w:rsid w:val="006D6AA8"/>
    <w:rsid w:val="006E6D1E"/>
    <w:rsid w:val="006F1BE6"/>
    <w:rsid w:val="006F7DB9"/>
    <w:rsid w:val="006F7E32"/>
    <w:rsid w:val="0070397C"/>
    <w:rsid w:val="007232C0"/>
    <w:rsid w:val="00723CFC"/>
    <w:rsid w:val="00734E6C"/>
    <w:rsid w:val="00742A0B"/>
    <w:rsid w:val="00742EE0"/>
    <w:rsid w:val="00751923"/>
    <w:rsid w:val="00762605"/>
    <w:rsid w:val="00763272"/>
    <w:rsid w:val="00785B6F"/>
    <w:rsid w:val="007860EA"/>
    <w:rsid w:val="007910E9"/>
    <w:rsid w:val="007D7585"/>
    <w:rsid w:val="007F3E24"/>
    <w:rsid w:val="007F3FB4"/>
    <w:rsid w:val="008233F2"/>
    <w:rsid w:val="0083031D"/>
    <w:rsid w:val="00837416"/>
    <w:rsid w:val="00841947"/>
    <w:rsid w:val="0085172E"/>
    <w:rsid w:val="00852E87"/>
    <w:rsid w:val="00854747"/>
    <w:rsid w:val="00856D09"/>
    <w:rsid w:val="00860E65"/>
    <w:rsid w:val="00880A83"/>
    <w:rsid w:val="00880EAC"/>
    <w:rsid w:val="00887B66"/>
    <w:rsid w:val="0089675E"/>
    <w:rsid w:val="008C5D66"/>
    <w:rsid w:val="008D136A"/>
    <w:rsid w:val="008D316E"/>
    <w:rsid w:val="008D3A20"/>
    <w:rsid w:val="008D4304"/>
    <w:rsid w:val="008D66A6"/>
    <w:rsid w:val="008E10FC"/>
    <w:rsid w:val="008E5380"/>
    <w:rsid w:val="008F0607"/>
    <w:rsid w:val="00912966"/>
    <w:rsid w:val="00915673"/>
    <w:rsid w:val="00920FEB"/>
    <w:rsid w:val="00922692"/>
    <w:rsid w:val="00922B4F"/>
    <w:rsid w:val="00923CEC"/>
    <w:rsid w:val="0093114C"/>
    <w:rsid w:val="00935103"/>
    <w:rsid w:val="00936B91"/>
    <w:rsid w:val="009466E1"/>
    <w:rsid w:val="009550C9"/>
    <w:rsid w:val="00970143"/>
    <w:rsid w:val="0097280B"/>
    <w:rsid w:val="0097683C"/>
    <w:rsid w:val="00977444"/>
    <w:rsid w:val="00994308"/>
    <w:rsid w:val="009971D3"/>
    <w:rsid w:val="009A2D9D"/>
    <w:rsid w:val="009A4A14"/>
    <w:rsid w:val="009A4BAC"/>
    <w:rsid w:val="009B31B1"/>
    <w:rsid w:val="009B6312"/>
    <w:rsid w:val="009C37BF"/>
    <w:rsid w:val="009C3E8D"/>
    <w:rsid w:val="009C5C9F"/>
    <w:rsid w:val="009C6C05"/>
    <w:rsid w:val="009D346F"/>
    <w:rsid w:val="009E22AD"/>
    <w:rsid w:val="009E4622"/>
    <w:rsid w:val="009E7071"/>
    <w:rsid w:val="009F2AFA"/>
    <w:rsid w:val="009F37D5"/>
    <w:rsid w:val="009F7527"/>
    <w:rsid w:val="00A03B41"/>
    <w:rsid w:val="00A11038"/>
    <w:rsid w:val="00A1508C"/>
    <w:rsid w:val="00A15ECD"/>
    <w:rsid w:val="00A21BC6"/>
    <w:rsid w:val="00A240AF"/>
    <w:rsid w:val="00A252AF"/>
    <w:rsid w:val="00A25B67"/>
    <w:rsid w:val="00A36F00"/>
    <w:rsid w:val="00A42D6D"/>
    <w:rsid w:val="00A43EC0"/>
    <w:rsid w:val="00A44259"/>
    <w:rsid w:val="00A53DDA"/>
    <w:rsid w:val="00A62EC9"/>
    <w:rsid w:val="00A65C20"/>
    <w:rsid w:val="00A705E3"/>
    <w:rsid w:val="00A71E2B"/>
    <w:rsid w:val="00A73B52"/>
    <w:rsid w:val="00A75A1C"/>
    <w:rsid w:val="00A91D81"/>
    <w:rsid w:val="00A93B63"/>
    <w:rsid w:val="00AA2045"/>
    <w:rsid w:val="00AA7823"/>
    <w:rsid w:val="00AB1E60"/>
    <w:rsid w:val="00AC00BC"/>
    <w:rsid w:val="00AC1497"/>
    <w:rsid w:val="00AC2EC9"/>
    <w:rsid w:val="00AE1CDE"/>
    <w:rsid w:val="00AE2C4D"/>
    <w:rsid w:val="00AE623B"/>
    <w:rsid w:val="00AE6C9B"/>
    <w:rsid w:val="00AF4C34"/>
    <w:rsid w:val="00B04247"/>
    <w:rsid w:val="00B054A5"/>
    <w:rsid w:val="00B061FB"/>
    <w:rsid w:val="00B127C5"/>
    <w:rsid w:val="00B167BC"/>
    <w:rsid w:val="00B23279"/>
    <w:rsid w:val="00B26701"/>
    <w:rsid w:val="00B30EFF"/>
    <w:rsid w:val="00B3549C"/>
    <w:rsid w:val="00B401F8"/>
    <w:rsid w:val="00B44B44"/>
    <w:rsid w:val="00B46928"/>
    <w:rsid w:val="00B513E1"/>
    <w:rsid w:val="00B53B55"/>
    <w:rsid w:val="00B55D7F"/>
    <w:rsid w:val="00B62797"/>
    <w:rsid w:val="00B62BDC"/>
    <w:rsid w:val="00B64A53"/>
    <w:rsid w:val="00B66577"/>
    <w:rsid w:val="00B872A4"/>
    <w:rsid w:val="00B8776C"/>
    <w:rsid w:val="00B877D4"/>
    <w:rsid w:val="00BC2867"/>
    <w:rsid w:val="00BC5408"/>
    <w:rsid w:val="00BF55B8"/>
    <w:rsid w:val="00C000AD"/>
    <w:rsid w:val="00C00F2A"/>
    <w:rsid w:val="00C16097"/>
    <w:rsid w:val="00C17EE2"/>
    <w:rsid w:val="00C2328D"/>
    <w:rsid w:val="00C24F1C"/>
    <w:rsid w:val="00C41137"/>
    <w:rsid w:val="00C5353D"/>
    <w:rsid w:val="00C539C8"/>
    <w:rsid w:val="00C5425F"/>
    <w:rsid w:val="00C72B0B"/>
    <w:rsid w:val="00C74229"/>
    <w:rsid w:val="00C75F24"/>
    <w:rsid w:val="00C81891"/>
    <w:rsid w:val="00C943CA"/>
    <w:rsid w:val="00C95849"/>
    <w:rsid w:val="00C96B7E"/>
    <w:rsid w:val="00CA05EE"/>
    <w:rsid w:val="00CA4EDF"/>
    <w:rsid w:val="00CA589B"/>
    <w:rsid w:val="00CA6A29"/>
    <w:rsid w:val="00CB2FE6"/>
    <w:rsid w:val="00CB3415"/>
    <w:rsid w:val="00CB36BE"/>
    <w:rsid w:val="00CB5F56"/>
    <w:rsid w:val="00CB6D85"/>
    <w:rsid w:val="00CB6F20"/>
    <w:rsid w:val="00CC2E4D"/>
    <w:rsid w:val="00CC7998"/>
    <w:rsid w:val="00CF06B6"/>
    <w:rsid w:val="00CF3B03"/>
    <w:rsid w:val="00D04FFC"/>
    <w:rsid w:val="00D070E4"/>
    <w:rsid w:val="00D172FE"/>
    <w:rsid w:val="00D1773F"/>
    <w:rsid w:val="00D17A3C"/>
    <w:rsid w:val="00D205CE"/>
    <w:rsid w:val="00D30C94"/>
    <w:rsid w:val="00D32CA0"/>
    <w:rsid w:val="00D3387F"/>
    <w:rsid w:val="00D362A9"/>
    <w:rsid w:val="00D36321"/>
    <w:rsid w:val="00D4528B"/>
    <w:rsid w:val="00D54A32"/>
    <w:rsid w:val="00D85751"/>
    <w:rsid w:val="00DA55DE"/>
    <w:rsid w:val="00DB436C"/>
    <w:rsid w:val="00DC1506"/>
    <w:rsid w:val="00DC569E"/>
    <w:rsid w:val="00DE7B0E"/>
    <w:rsid w:val="00DF159E"/>
    <w:rsid w:val="00DF28DC"/>
    <w:rsid w:val="00E005F9"/>
    <w:rsid w:val="00E14A33"/>
    <w:rsid w:val="00E43080"/>
    <w:rsid w:val="00E4540B"/>
    <w:rsid w:val="00E56DA9"/>
    <w:rsid w:val="00E601A2"/>
    <w:rsid w:val="00E76187"/>
    <w:rsid w:val="00E8130D"/>
    <w:rsid w:val="00E838F3"/>
    <w:rsid w:val="00E90F4B"/>
    <w:rsid w:val="00E95475"/>
    <w:rsid w:val="00EA1AA5"/>
    <w:rsid w:val="00EA4227"/>
    <w:rsid w:val="00EA45E7"/>
    <w:rsid w:val="00EA4D23"/>
    <w:rsid w:val="00EA5A87"/>
    <w:rsid w:val="00EC1EC7"/>
    <w:rsid w:val="00ED1EE5"/>
    <w:rsid w:val="00ED470F"/>
    <w:rsid w:val="00ED7B1B"/>
    <w:rsid w:val="00EE09CB"/>
    <w:rsid w:val="00EE7750"/>
    <w:rsid w:val="00EF62AB"/>
    <w:rsid w:val="00F071FD"/>
    <w:rsid w:val="00F11199"/>
    <w:rsid w:val="00F119C2"/>
    <w:rsid w:val="00F1595E"/>
    <w:rsid w:val="00F20525"/>
    <w:rsid w:val="00F22FE9"/>
    <w:rsid w:val="00F32951"/>
    <w:rsid w:val="00F352FA"/>
    <w:rsid w:val="00F43673"/>
    <w:rsid w:val="00F44880"/>
    <w:rsid w:val="00F47CB3"/>
    <w:rsid w:val="00F52429"/>
    <w:rsid w:val="00F61818"/>
    <w:rsid w:val="00F61E24"/>
    <w:rsid w:val="00F669DE"/>
    <w:rsid w:val="00F75CA3"/>
    <w:rsid w:val="00F80354"/>
    <w:rsid w:val="00F83507"/>
    <w:rsid w:val="00F84A21"/>
    <w:rsid w:val="00F87307"/>
    <w:rsid w:val="00F93501"/>
    <w:rsid w:val="00F94679"/>
    <w:rsid w:val="00F969CD"/>
    <w:rsid w:val="00F97D47"/>
    <w:rsid w:val="00FA3405"/>
    <w:rsid w:val="00FA4DB2"/>
    <w:rsid w:val="00FB5A73"/>
    <w:rsid w:val="00FB7956"/>
    <w:rsid w:val="00FC704E"/>
    <w:rsid w:val="00FC747D"/>
    <w:rsid w:val="00FC7F54"/>
    <w:rsid w:val="00FD1155"/>
    <w:rsid w:val="00FD4521"/>
    <w:rsid w:val="00FD7DD3"/>
    <w:rsid w:val="00FE575B"/>
    <w:rsid w:val="00FE7AE1"/>
    <w:rsid w:val="00FF0A07"/>
    <w:rsid w:val="00FF2B77"/>
    <w:rsid w:val="00FF6D0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 w:type="table" w:customStyle="1" w:styleId="TableGrid4">
    <w:name w:val="Table Grid4"/>
    <w:basedOn w:val="TableNormal"/>
    <w:next w:val="TableGrid"/>
    <w:uiPriority w:val="59"/>
    <w:rsid w:val="005A7E7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E00EA-DD8C-4B0E-BECC-1B681D925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2023-06-07T13:35:00Z</cp:lastPrinted>
  <dcterms:created xsi:type="dcterms:W3CDTF">2023-07-04T13:11:00Z</dcterms:created>
  <dcterms:modified xsi:type="dcterms:W3CDTF">2023-07-04T13:11:00Z</dcterms:modified>
</cp:coreProperties>
</file>