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8858D2">
      <w:pPr>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2713355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8858D2">
      <w:pPr>
        <w:rPr>
          <w:rFonts w:cs="Arial"/>
          <w:b/>
          <w:sz w:val="24"/>
          <w:szCs w:val="24"/>
          <w:lang w:val="en-US" w:eastAsia="en-US"/>
        </w:rPr>
      </w:pPr>
    </w:p>
    <w:p w:rsidR="004D2F24" w:rsidRPr="00A02F3E" w:rsidRDefault="004D2F24" w:rsidP="008858D2">
      <w:pPr>
        <w:rPr>
          <w:rFonts w:cs="Arial"/>
          <w:b/>
          <w:sz w:val="24"/>
          <w:szCs w:val="24"/>
          <w:lang w:val="en-US" w:eastAsia="en-US"/>
        </w:rPr>
      </w:pPr>
    </w:p>
    <w:p w:rsidR="004D2F24" w:rsidRPr="00A02F3E" w:rsidRDefault="004D2F24" w:rsidP="008858D2">
      <w:pPr>
        <w:rPr>
          <w:rFonts w:cs="Arial"/>
          <w:b/>
          <w:sz w:val="24"/>
          <w:szCs w:val="24"/>
          <w:lang w:val="en-US" w:eastAsia="en-US"/>
        </w:rPr>
      </w:pPr>
    </w:p>
    <w:p w:rsidR="004D2F24" w:rsidRPr="00A02F3E" w:rsidRDefault="004D2F24" w:rsidP="008858D2">
      <w:pPr>
        <w:rPr>
          <w:rFonts w:cs="Arial"/>
          <w:b/>
          <w:sz w:val="24"/>
          <w:szCs w:val="24"/>
          <w:lang w:val="en-US" w:eastAsia="en-US"/>
        </w:rPr>
      </w:pPr>
    </w:p>
    <w:p w:rsidR="004D2F24" w:rsidRPr="00A02F3E" w:rsidRDefault="004D2F24" w:rsidP="008858D2">
      <w:pPr>
        <w:rPr>
          <w:rFonts w:cs="Arial"/>
          <w:b/>
          <w:sz w:val="24"/>
          <w:szCs w:val="24"/>
          <w:lang w:val="en-US" w:eastAsia="en-US"/>
        </w:rPr>
      </w:pPr>
    </w:p>
    <w:p w:rsidR="004D2F24" w:rsidRPr="00A02F3E" w:rsidRDefault="004D2F24" w:rsidP="007B6C92">
      <w:pPr>
        <w:jc w:val="center"/>
        <w:rPr>
          <w:rFonts w:cs="Arial"/>
          <w:b/>
          <w:color w:val="005C2A"/>
          <w:sz w:val="20"/>
          <w:lang w:val="en-GB"/>
        </w:rPr>
      </w:pPr>
      <w:r w:rsidRPr="00A02F3E">
        <w:rPr>
          <w:rFonts w:cs="Arial"/>
          <w:b/>
          <w:color w:val="005C2A"/>
          <w:sz w:val="20"/>
          <w:lang w:val="en-GB"/>
        </w:rPr>
        <w:t>MINISTRY</w:t>
      </w:r>
    </w:p>
    <w:p w:rsidR="004D2F24" w:rsidRPr="00A02F3E" w:rsidRDefault="004D2F24" w:rsidP="007B6C92">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7B6C92">
      <w:pPr>
        <w:jc w:val="center"/>
        <w:rPr>
          <w:rFonts w:cs="Arial"/>
          <w:b/>
          <w:color w:val="005C2A"/>
          <w:sz w:val="20"/>
          <w:lang w:val="en-GB"/>
        </w:rPr>
      </w:pPr>
      <w:r w:rsidRPr="00A02F3E">
        <w:rPr>
          <w:rFonts w:cs="Arial"/>
          <w:b/>
          <w:color w:val="005C2A"/>
          <w:sz w:val="20"/>
          <w:lang w:val="en-GB"/>
        </w:rPr>
        <w:t>REPUBLIC OF SOUTH AFRICA</w:t>
      </w:r>
    </w:p>
    <w:p w:rsidR="004D2F24" w:rsidRPr="00A02F3E" w:rsidRDefault="004D2F24" w:rsidP="007B6C92">
      <w:pPr>
        <w:jc w:val="center"/>
        <w:rPr>
          <w:rFonts w:cs="Arial"/>
          <w:sz w:val="20"/>
          <w:lang w:val="en-GB"/>
        </w:rPr>
      </w:pPr>
    </w:p>
    <w:p w:rsidR="004D2F24" w:rsidRPr="00A02F3E" w:rsidRDefault="004D2F24" w:rsidP="007B6C92">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7B6C92">
      <w:pPr>
        <w:jc w:val="center"/>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3C2A00" w:rsidP="007B6C92">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8858D2">
      <w:pPr>
        <w:rPr>
          <w:rFonts w:cs="Arial"/>
          <w:b/>
          <w:sz w:val="24"/>
          <w:szCs w:val="24"/>
          <w:lang w:val="en-US" w:eastAsia="en-US"/>
        </w:rPr>
      </w:pPr>
    </w:p>
    <w:p w:rsidR="004D2F24" w:rsidRPr="00B44E3D" w:rsidRDefault="004D2F24" w:rsidP="007B6C92">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7B6C92">
      <w:pPr>
        <w:jc w:val="center"/>
        <w:rPr>
          <w:rFonts w:cs="Arial"/>
          <w:b/>
          <w:sz w:val="24"/>
          <w:szCs w:val="24"/>
          <w:lang w:val="en-US" w:eastAsia="en-US"/>
        </w:rPr>
      </w:pPr>
    </w:p>
    <w:p w:rsidR="004D2F24" w:rsidRPr="00B44E3D" w:rsidRDefault="00BB7B04" w:rsidP="007B6C92">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8858D2">
      <w:pPr>
        <w:ind w:firstLine="720"/>
        <w:rPr>
          <w:rFonts w:cs="Arial"/>
          <w:szCs w:val="22"/>
          <w:lang w:val="en-GB" w:eastAsia="en-US"/>
        </w:rPr>
      </w:pPr>
    </w:p>
    <w:p w:rsidR="002E6B86" w:rsidRPr="00D47EAD" w:rsidRDefault="00B44E3D" w:rsidP="008858D2">
      <w:pPr>
        <w:ind w:right="-194"/>
        <w:outlineLvl w:val="0"/>
        <w:rPr>
          <w:rFonts w:eastAsia="Calibri" w:cs="Arial"/>
          <w:b/>
          <w:color w:val="000000" w:themeColor="text1"/>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7B6C92">
        <w:rPr>
          <w:rFonts w:cs="Arial"/>
          <w:b/>
          <w:sz w:val="24"/>
          <w:szCs w:val="24"/>
        </w:rPr>
        <w:t>222</w:t>
      </w:r>
      <w:r w:rsidR="00DD35FA">
        <w:rPr>
          <w:rFonts w:eastAsia="Calibri" w:cs="Arial"/>
          <w:b/>
          <w:sz w:val="24"/>
          <w:szCs w:val="24"/>
        </w:rPr>
        <w:t xml:space="preserve">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5153CB">
        <w:rPr>
          <w:rFonts w:cs="Arial"/>
          <w:b/>
          <w:sz w:val="24"/>
          <w:szCs w:val="24"/>
          <w:lang w:val="en-US" w:eastAsia="en-US"/>
        </w:rPr>
        <w:t>NW225</w:t>
      </w:r>
      <w:r w:rsidR="00AE698B" w:rsidRPr="00AE698B">
        <w:rPr>
          <w:rFonts w:cs="Arial"/>
          <w:b/>
          <w:sz w:val="24"/>
          <w:szCs w:val="24"/>
          <w:lang w:val="en-US" w:eastAsia="en-US"/>
        </w:rPr>
        <w:t>E</w:t>
      </w:r>
      <w:r w:rsidR="00E526CF" w:rsidRPr="001729E9">
        <w:rPr>
          <w:rFonts w:cs="Arial"/>
          <w:b/>
          <w:sz w:val="24"/>
          <w:szCs w:val="24"/>
          <w:lang w:val="en-US" w:eastAsia="en-US"/>
        </w:rPr>
        <w:t>]</w:t>
      </w:r>
    </w:p>
    <w:p w:rsidR="00E526CF" w:rsidRPr="002E6B86" w:rsidRDefault="00E526CF" w:rsidP="008858D2">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4C0C86">
        <w:rPr>
          <w:rFonts w:cs="Arial"/>
          <w:b/>
          <w:sz w:val="24"/>
          <w:szCs w:val="24"/>
          <w:lang w:val="en-US" w:eastAsia="en-US"/>
        </w:rPr>
        <w:t>01</w:t>
      </w:r>
    </w:p>
    <w:p w:rsidR="00E526CF" w:rsidRPr="000B4F40" w:rsidRDefault="00E526CF" w:rsidP="008858D2">
      <w:pPr>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4C0C86">
        <w:rPr>
          <w:rFonts w:cs="Arial"/>
          <w:b/>
          <w:sz w:val="24"/>
          <w:szCs w:val="24"/>
        </w:rPr>
        <w:t>1</w:t>
      </w:r>
      <w:r w:rsidR="000A6942">
        <w:rPr>
          <w:rFonts w:cs="Arial"/>
          <w:b/>
          <w:sz w:val="24"/>
          <w:szCs w:val="24"/>
        </w:rPr>
        <w:t>1</w:t>
      </w:r>
      <w:r w:rsidR="00093124">
        <w:rPr>
          <w:rFonts w:cs="Arial"/>
          <w:b/>
          <w:sz w:val="24"/>
          <w:szCs w:val="24"/>
        </w:rPr>
        <w:t xml:space="preserve"> </w:t>
      </w:r>
      <w:r w:rsidR="004C0C86">
        <w:rPr>
          <w:rFonts w:cs="Arial"/>
          <w:b/>
          <w:sz w:val="24"/>
          <w:szCs w:val="24"/>
        </w:rPr>
        <w:t>FEBRUARY</w:t>
      </w:r>
      <w:r w:rsidR="00092A93">
        <w:rPr>
          <w:rFonts w:cs="Arial"/>
          <w:b/>
          <w:sz w:val="24"/>
          <w:szCs w:val="24"/>
        </w:rPr>
        <w:t xml:space="preserve"> </w:t>
      </w:r>
      <w:r w:rsidR="004C0C86">
        <w:rPr>
          <w:rFonts w:cs="Arial"/>
          <w:b/>
          <w:sz w:val="24"/>
          <w:szCs w:val="24"/>
        </w:rPr>
        <w:t>2021</w:t>
      </w:r>
    </w:p>
    <w:p w:rsidR="00E526CF" w:rsidRDefault="00E526CF" w:rsidP="008858D2">
      <w:pPr>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84D79">
        <w:rPr>
          <w:rFonts w:cs="Arial"/>
          <w:b/>
          <w:sz w:val="24"/>
          <w:szCs w:val="24"/>
          <w:lang w:val="en-US" w:eastAsia="en-US"/>
        </w:rPr>
        <w:t xml:space="preserve">   26 </w:t>
      </w:r>
      <w:r w:rsidR="004C0C86">
        <w:rPr>
          <w:rFonts w:cs="Arial"/>
          <w:b/>
          <w:sz w:val="24"/>
          <w:szCs w:val="24"/>
          <w:lang w:val="en-US" w:eastAsia="en-US"/>
        </w:rPr>
        <w:t>FEBRUARY 2021</w:t>
      </w:r>
    </w:p>
    <w:p w:rsidR="00A86DF9" w:rsidRDefault="00A86DF9" w:rsidP="008858D2">
      <w:pPr>
        <w:rPr>
          <w:rFonts w:cs="Arial"/>
          <w:b/>
          <w:sz w:val="24"/>
          <w:szCs w:val="24"/>
          <w:lang w:val="en-US" w:eastAsia="en-US"/>
        </w:rPr>
      </w:pPr>
    </w:p>
    <w:p w:rsidR="000B5EFF" w:rsidRDefault="000B5EFF" w:rsidP="008858D2">
      <w:pPr>
        <w:rPr>
          <w:rFonts w:cs="Arial"/>
          <w:b/>
          <w:sz w:val="24"/>
          <w:szCs w:val="24"/>
          <w:lang w:val="en-US" w:eastAsia="en-US"/>
        </w:rPr>
      </w:pPr>
    </w:p>
    <w:p w:rsidR="000A6942" w:rsidRPr="000A6942" w:rsidRDefault="005153CB" w:rsidP="008858D2">
      <w:pPr>
        <w:ind w:left="720" w:right="-194" w:hanging="720"/>
        <w:outlineLvl w:val="0"/>
        <w:rPr>
          <w:rFonts w:cs="Arial"/>
          <w:b/>
          <w:sz w:val="24"/>
          <w:szCs w:val="24"/>
        </w:rPr>
      </w:pPr>
      <w:r>
        <w:rPr>
          <w:rFonts w:cs="Arial"/>
          <w:b/>
          <w:sz w:val="24"/>
          <w:szCs w:val="24"/>
        </w:rPr>
        <w:t>222</w:t>
      </w:r>
      <w:r w:rsidR="002A4C99">
        <w:rPr>
          <w:rFonts w:cs="Arial"/>
          <w:b/>
          <w:sz w:val="24"/>
          <w:szCs w:val="24"/>
        </w:rPr>
        <w:t>.</w:t>
      </w:r>
      <w:r w:rsidR="000B5EFF">
        <w:rPr>
          <w:rFonts w:cs="Arial"/>
          <w:b/>
          <w:sz w:val="24"/>
          <w:szCs w:val="24"/>
        </w:rPr>
        <w:tab/>
      </w:r>
      <w:r w:rsidR="00AE698B" w:rsidRPr="00AE698B">
        <w:rPr>
          <w:rFonts w:eastAsia="Calibri" w:cs="Arial"/>
          <w:b/>
          <w:sz w:val="24"/>
          <w:szCs w:val="24"/>
          <w:lang w:eastAsia="en-US"/>
        </w:rPr>
        <w:t xml:space="preserve">Ms S J Graham (DA) </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0A6942">
        <w:rPr>
          <w:rFonts w:cs="Arial"/>
          <w:b/>
          <w:sz w:val="24"/>
          <w:szCs w:val="24"/>
        </w:rPr>
        <w:t xml:space="preserve">Public Works and </w:t>
      </w:r>
      <w:r w:rsidR="001A638F">
        <w:rPr>
          <w:rFonts w:cs="Arial"/>
          <w:b/>
          <w:sz w:val="24"/>
          <w:szCs w:val="24"/>
        </w:rPr>
        <w:t>Infrastructure</w:t>
      </w:r>
      <w:r w:rsidR="003C2A00"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EF6106" w:rsidRPr="000A6942">
        <w:rPr>
          <w:rFonts w:eastAsia="Calibri" w:cs="Arial"/>
          <w:sz w:val="24"/>
          <w:szCs w:val="24"/>
          <w:lang w:eastAsia="en-US"/>
        </w:rPr>
        <w:instrText>”</w:instrText>
      </w:r>
      <w:r w:rsidR="003C2A00" w:rsidRPr="000A6942">
        <w:rPr>
          <w:rFonts w:eastAsia="Calibri" w:cs="Arial"/>
          <w:b/>
          <w:sz w:val="24"/>
          <w:szCs w:val="24"/>
          <w:lang w:eastAsia="en-US"/>
        </w:rPr>
        <w:fldChar w:fldCharType="end"/>
      </w:r>
      <w:r w:rsidR="000A6942" w:rsidRPr="000A6942">
        <w:rPr>
          <w:rFonts w:eastAsia="Calibri" w:cs="Arial"/>
          <w:b/>
          <w:sz w:val="24"/>
          <w:szCs w:val="24"/>
          <w:lang w:eastAsia="en-US"/>
        </w:rPr>
        <w:t>:</w:t>
      </w:r>
    </w:p>
    <w:p w:rsidR="00F656E2" w:rsidRDefault="00F656E2" w:rsidP="008858D2">
      <w:pPr>
        <w:ind w:right="-194"/>
        <w:outlineLvl w:val="0"/>
        <w:rPr>
          <w:rFonts w:eastAsia="Calibri" w:cs="Arial"/>
          <w:sz w:val="24"/>
          <w:szCs w:val="24"/>
          <w:lang w:val="en-US" w:eastAsia="en-US"/>
        </w:rPr>
      </w:pPr>
    </w:p>
    <w:p w:rsidR="005153CB" w:rsidRPr="005153CB" w:rsidRDefault="005153CB" w:rsidP="008858D2">
      <w:pPr>
        <w:spacing w:before="100" w:beforeAutospacing="1" w:after="100" w:afterAutospacing="1" w:line="276" w:lineRule="auto"/>
        <w:ind w:left="1440" w:hanging="720"/>
        <w:rPr>
          <w:rFonts w:eastAsia="Calibri" w:cs="Arial"/>
          <w:sz w:val="24"/>
          <w:szCs w:val="24"/>
          <w:lang w:eastAsia="en-US"/>
        </w:rPr>
      </w:pPr>
      <w:r w:rsidRPr="005153CB">
        <w:rPr>
          <w:rFonts w:eastAsia="Calibri" w:cs="Arial"/>
          <w:sz w:val="24"/>
          <w:szCs w:val="24"/>
          <w:lang w:eastAsia="en-US"/>
        </w:rPr>
        <w:t>(1)</w:t>
      </w:r>
      <w:r w:rsidRPr="005153CB">
        <w:rPr>
          <w:rFonts w:eastAsia="Calibri" w:cs="Arial"/>
          <w:sz w:val="24"/>
          <w:szCs w:val="24"/>
          <w:lang w:eastAsia="en-US"/>
        </w:rPr>
        <w:tab/>
        <w:t>Whether, with reference to the 89 Non-Profit Organisations (NPO) in the Eastern Cape that form part of the Non-State Sector Expanded Public Works Programme, the NPOs are required to pay Unemployment Insurance Fund (UIF) and Compensation for Occupational Injuries and Diseases Act (COIDA) contributions on behalf of their participants; if not, why not; if so, are the contributions monitored by the Independent Development Trust;</w:t>
      </w:r>
    </w:p>
    <w:p w:rsidR="005153CB" w:rsidRPr="005153CB" w:rsidRDefault="005153CB" w:rsidP="008858D2">
      <w:pPr>
        <w:spacing w:before="100" w:beforeAutospacing="1" w:after="100" w:afterAutospacing="1" w:line="276" w:lineRule="auto"/>
        <w:ind w:left="1440" w:hanging="720"/>
        <w:rPr>
          <w:rFonts w:eastAsia="Calibri" w:cs="Arial"/>
          <w:sz w:val="24"/>
          <w:szCs w:val="24"/>
          <w:lang w:eastAsia="en-US"/>
        </w:rPr>
      </w:pPr>
      <w:r w:rsidRPr="005153CB">
        <w:rPr>
          <w:rFonts w:eastAsia="Calibri" w:cs="Arial"/>
          <w:sz w:val="24"/>
          <w:szCs w:val="24"/>
          <w:lang w:eastAsia="en-US"/>
        </w:rPr>
        <w:t>(2)</w:t>
      </w:r>
      <w:r w:rsidRPr="005153CB">
        <w:rPr>
          <w:rFonts w:eastAsia="Calibri" w:cs="Arial"/>
          <w:sz w:val="24"/>
          <w:szCs w:val="24"/>
          <w:lang w:eastAsia="en-US"/>
        </w:rPr>
        <w:tab/>
        <w:t>whether the specified contribution from the NPOs are up to date; if not, (a) what measures are in place to ensure that outstanding monies are paid up on behalf of the participants and (b)(</w:t>
      </w:r>
      <w:proofErr w:type="spellStart"/>
      <w:r w:rsidRPr="005153CB">
        <w:rPr>
          <w:rFonts w:eastAsia="Calibri" w:cs="Arial"/>
          <w:sz w:val="24"/>
          <w:szCs w:val="24"/>
          <w:lang w:eastAsia="en-US"/>
        </w:rPr>
        <w:t>i</w:t>
      </w:r>
      <w:proofErr w:type="spellEnd"/>
      <w:r w:rsidRPr="005153CB">
        <w:rPr>
          <w:rFonts w:eastAsia="Calibri" w:cs="Arial"/>
          <w:sz w:val="24"/>
          <w:szCs w:val="24"/>
          <w:lang w:eastAsia="en-US"/>
        </w:rPr>
        <w:t>) what total amount of outstanding contributions are owed for UIF and COIDA to her department and (ii) by which NPOs;</w:t>
      </w:r>
    </w:p>
    <w:p w:rsidR="005153CB" w:rsidRPr="005153CB" w:rsidRDefault="008B4BEB" w:rsidP="008858D2">
      <w:pPr>
        <w:spacing w:before="100" w:beforeAutospacing="1" w:after="100" w:afterAutospacing="1" w:line="276" w:lineRule="auto"/>
        <w:ind w:left="1440" w:hanging="720"/>
        <w:rPr>
          <w:rFonts w:eastAsia="Calibri" w:cs="Arial"/>
          <w:sz w:val="24"/>
          <w:szCs w:val="24"/>
          <w:lang w:eastAsia="en-US"/>
        </w:rPr>
      </w:pPr>
      <w:r>
        <w:rPr>
          <w:rFonts w:eastAsia="Calibri" w:cs="Arial"/>
          <w:sz w:val="24"/>
          <w:szCs w:val="24"/>
          <w:lang w:eastAsia="en-US"/>
        </w:rPr>
        <w:t>(3</w:t>
      </w:r>
      <w:r w:rsidR="005153CB" w:rsidRPr="005153CB">
        <w:rPr>
          <w:rFonts w:eastAsia="Calibri" w:cs="Arial"/>
          <w:sz w:val="24"/>
          <w:szCs w:val="24"/>
          <w:lang w:eastAsia="en-US"/>
        </w:rPr>
        <w:t>)</w:t>
      </w:r>
      <w:r w:rsidR="005153CB" w:rsidRPr="005153CB">
        <w:rPr>
          <w:rFonts w:eastAsia="Calibri" w:cs="Arial"/>
          <w:sz w:val="24"/>
          <w:szCs w:val="24"/>
          <w:lang w:eastAsia="en-US"/>
        </w:rPr>
        <w:tab/>
        <w:t xml:space="preserve">whether the stipend allocations are made in advance; if not, what is the position in this regard; if so, (a) what happens to any excess monies that are not paid over to participants in cases such as absenteeism, (b) how often are the calculations made as to the amount of excess monies held by the NPO and (c) is there a record of anticipated expenditure versus actual expenditure in respect of each NPO; </w:t>
      </w:r>
    </w:p>
    <w:p w:rsidR="005153CB" w:rsidRDefault="007B6C92" w:rsidP="008858D2">
      <w:pPr>
        <w:ind w:left="1440" w:right="-194" w:hanging="720"/>
        <w:outlineLvl w:val="0"/>
        <w:rPr>
          <w:rFonts w:cs="Arial"/>
          <w:b/>
          <w:sz w:val="24"/>
          <w:szCs w:val="24"/>
          <w:lang w:eastAsia="en-US"/>
        </w:rPr>
      </w:pPr>
      <w:r>
        <w:rPr>
          <w:rFonts w:eastAsia="Calibri" w:cs="Arial"/>
          <w:sz w:val="24"/>
          <w:szCs w:val="24"/>
          <w:lang w:eastAsia="en-US"/>
        </w:rPr>
        <w:t>(4</w:t>
      </w:r>
      <w:r w:rsidR="005153CB" w:rsidRPr="005153CB">
        <w:rPr>
          <w:rFonts w:eastAsia="Calibri" w:cs="Arial"/>
          <w:sz w:val="24"/>
          <w:szCs w:val="24"/>
          <w:lang w:eastAsia="en-US"/>
        </w:rPr>
        <w:t>)</w:t>
      </w:r>
      <w:r w:rsidR="005153CB" w:rsidRPr="005153CB">
        <w:rPr>
          <w:rFonts w:eastAsia="Calibri" w:cs="Arial"/>
          <w:sz w:val="24"/>
          <w:szCs w:val="24"/>
          <w:lang w:eastAsia="en-US"/>
        </w:rPr>
        <w:tab/>
      </w:r>
      <w:proofErr w:type="gramStart"/>
      <w:r w:rsidR="005153CB" w:rsidRPr="005153CB">
        <w:rPr>
          <w:rFonts w:eastAsia="Calibri" w:cs="Arial"/>
          <w:sz w:val="24"/>
          <w:szCs w:val="24"/>
          <w:lang w:eastAsia="en-US"/>
        </w:rPr>
        <w:t>in</w:t>
      </w:r>
      <w:proofErr w:type="gramEnd"/>
      <w:r w:rsidR="005153CB" w:rsidRPr="005153CB">
        <w:rPr>
          <w:rFonts w:eastAsia="Calibri" w:cs="Arial"/>
          <w:sz w:val="24"/>
          <w:szCs w:val="24"/>
          <w:lang w:eastAsia="en-US"/>
        </w:rPr>
        <w:t xml:space="preserve"> cases where the stipend allocations are made in arrears, what are the time frames for payments to the NPOs for each payment period? </w:t>
      </w:r>
      <w:r w:rsidR="005153CB" w:rsidRPr="005153CB">
        <w:rPr>
          <w:rFonts w:eastAsia="Calibri" w:cs="Arial"/>
          <w:b/>
          <w:sz w:val="24"/>
          <w:szCs w:val="24"/>
          <w:lang w:eastAsia="en-US"/>
        </w:rPr>
        <w:t>NW225E</w:t>
      </w:r>
    </w:p>
    <w:p w:rsidR="00AB4213" w:rsidRPr="002A4C99" w:rsidRDefault="004D2F24" w:rsidP="008858D2">
      <w:pPr>
        <w:ind w:right="-194"/>
        <w:outlineLvl w:val="0"/>
        <w:rPr>
          <w:rFonts w:cs="Arial"/>
          <w:b/>
          <w:szCs w:val="22"/>
          <w:lang w:eastAsia="en-US"/>
        </w:rPr>
      </w:pPr>
      <w:r w:rsidRPr="002A4C99">
        <w:rPr>
          <w:rFonts w:cs="Arial"/>
          <w:b/>
          <w:szCs w:val="22"/>
          <w:lang w:eastAsia="en-US"/>
        </w:rPr>
        <w:lastRenderedPageBreak/>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4D2F24" w:rsidRDefault="00B44E3D" w:rsidP="008858D2">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8858D2">
      <w:pPr>
        <w:rPr>
          <w:rFonts w:cs="Arial"/>
          <w:b/>
          <w:sz w:val="24"/>
          <w:szCs w:val="24"/>
          <w:lang w:eastAsia="en-US"/>
        </w:rPr>
      </w:pPr>
    </w:p>
    <w:p w:rsidR="00A06303" w:rsidRDefault="00093124" w:rsidP="008858D2">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E56227" w:rsidRPr="008B4BEB" w:rsidRDefault="00E56227" w:rsidP="008858D2">
      <w:pPr>
        <w:spacing w:line="360" w:lineRule="auto"/>
        <w:rPr>
          <w:b/>
          <w:bCs/>
          <w:sz w:val="24"/>
          <w:szCs w:val="24"/>
        </w:rPr>
      </w:pPr>
    </w:p>
    <w:p w:rsidR="00E56227" w:rsidRPr="008B4BEB" w:rsidRDefault="00CC3A5A" w:rsidP="008B4BEB">
      <w:pPr>
        <w:pStyle w:val="ListParagraph"/>
        <w:numPr>
          <w:ilvl w:val="0"/>
          <w:numId w:val="15"/>
        </w:numPr>
        <w:spacing w:before="100" w:beforeAutospacing="1" w:after="100" w:afterAutospacing="1" w:line="360" w:lineRule="auto"/>
        <w:ind w:left="360" w:right="482"/>
        <w:rPr>
          <w:rFonts w:eastAsia="Calibri" w:cs="Arial"/>
          <w:sz w:val="24"/>
          <w:szCs w:val="24"/>
          <w:lang w:val="en-US" w:eastAsia="en-US"/>
        </w:rPr>
      </w:pPr>
      <w:r w:rsidRPr="00F84D79">
        <w:rPr>
          <w:rFonts w:eastAsia="Calibri" w:cs="Arial"/>
          <w:sz w:val="24"/>
          <w:szCs w:val="24"/>
          <w:lang w:val="en-US" w:eastAsia="en-US"/>
        </w:rPr>
        <w:t xml:space="preserve">I am informed by the Department that </w:t>
      </w:r>
      <w:r w:rsidRPr="008B4BEB">
        <w:rPr>
          <w:rFonts w:eastAsia="Calibri" w:cs="Arial"/>
          <w:sz w:val="24"/>
          <w:szCs w:val="24"/>
          <w:lang w:val="en-US" w:eastAsia="en-US"/>
        </w:rPr>
        <w:t>to</w:t>
      </w:r>
      <w:r w:rsidR="00E56227" w:rsidRPr="008B4BEB">
        <w:rPr>
          <w:rFonts w:eastAsia="Calibri" w:cs="Arial"/>
          <w:sz w:val="24"/>
          <w:szCs w:val="24"/>
          <w:lang w:val="en-US" w:eastAsia="en-US"/>
        </w:rPr>
        <w:t xml:space="preserve"> implement the </w:t>
      </w:r>
      <w:r w:rsidR="00F84D79">
        <w:rPr>
          <w:rFonts w:eastAsia="Calibri" w:cs="Arial"/>
          <w:sz w:val="24"/>
          <w:szCs w:val="24"/>
          <w:lang w:val="en-US" w:eastAsia="en-US"/>
        </w:rPr>
        <w:t xml:space="preserve">Expanded Public Works </w:t>
      </w:r>
      <w:proofErr w:type="spellStart"/>
      <w:r w:rsidR="00F84D79">
        <w:rPr>
          <w:rFonts w:eastAsia="Calibri" w:cs="Arial"/>
          <w:sz w:val="24"/>
          <w:szCs w:val="24"/>
          <w:lang w:val="en-US" w:eastAsia="en-US"/>
        </w:rPr>
        <w:t>Programme</w:t>
      </w:r>
      <w:proofErr w:type="spellEnd"/>
      <w:r w:rsidR="00F84D79">
        <w:rPr>
          <w:rFonts w:eastAsia="Calibri" w:cs="Arial"/>
          <w:sz w:val="24"/>
          <w:szCs w:val="24"/>
          <w:lang w:val="en-US" w:eastAsia="en-US"/>
        </w:rPr>
        <w:t xml:space="preserve"> </w:t>
      </w:r>
      <w:r w:rsidR="00E56227" w:rsidRPr="008B4BEB">
        <w:rPr>
          <w:rFonts w:eastAsia="Calibri" w:cs="Arial"/>
          <w:sz w:val="24"/>
          <w:szCs w:val="24"/>
          <w:lang w:val="en-US" w:eastAsia="en-US"/>
        </w:rPr>
        <w:t xml:space="preserve">(EPWP) Non-State Sector Non-Profit </w:t>
      </w:r>
      <w:proofErr w:type="spellStart"/>
      <w:r w:rsidR="00E56227" w:rsidRPr="008B4BEB">
        <w:rPr>
          <w:rFonts w:eastAsia="Calibri" w:cs="Arial"/>
          <w:sz w:val="24"/>
          <w:szCs w:val="24"/>
          <w:lang w:val="en-US" w:eastAsia="en-US"/>
        </w:rPr>
        <w:t>Organisation</w:t>
      </w:r>
      <w:proofErr w:type="spellEnd"/>
      <w:r w:rsidR="00E56227" w:rsidRPr="008B4BEB">
        <w:rPr>
          <w:rFonts w:eastAsia="Calibri" w:cs="Arial"/>
          <w:sz w:val="24"/>
          <w:szCs w:val="24"/>
          <w:lang w:val="en-US" w:eastAsia="en-US"/>
        </w:rPr>
        <w:t xml:space="preserve"> (NPOs) </w:t>
      </w:r>
      <w:proofErr w:type="spellStart"/>
      <w:r w:rsidR="00E56227" w:rsidRPr="008B4BEB">
        <w:rPr>
          <w:rFonts w:eastAsia="Calibri" w:cs="Arial"/>
          <w:sz w:val="24"/>
          <w:szCs w:val="24"/>
          <w:lang w:val="en-US" w:eastAsia="en-US"/>
        </w:rPr>
        <w:t>programme</w:t>
      </w:r>
      <w:proofErr w:type="spellEnd"/>
      <w:r w:rsidR="00E56227" w:rsidRPr="008B4BEB">
        <w:rPr>
          <w:rFonts w:eastAsia="Calibri" w:cs="Arial"/>
          <w:sz w:val="24"/>
          <w:szCs w:val="24"/>
          <w:lang w:val="en-US" w:eastAsia="en-US"/>
        </w:rPr>
        <w:t xml:space="preserve"> in the Eastern Cape Province, a total of </w:t>
      </w:r>
      <w:r w:rsidR="008858D2" w:rsidRPr="008B4BEB">
        <w:rPr>
          <w:rFonts w:eastAsia="Calibri" w:cs="Arial"/>
          <w:sz w:val="24"/>
          <w:szCs w:val="24"/>
          <w:lang w:val="en-US" w:eastAsia="en-US"/>
        </w:rPr>
        <w:t>forty eight (</w:t>
      </w:r>
      <w:r w:rsidR="00E56227" w:rsidRPr="008B4BEB">
        <w:rPr>
          <w:rFonts w:eastAsia="Calibri" w:cs="Arial"/>
          <w:sz w:val="24"/>
          <w:szCs w:val="24"/>
          <w:lang w:val="en-US" w:eastAsia="en-US"/>
        </w:rPr>
        <w:t>48</w:t>
      </w:r>
      <w:r w:rsidR="008858D2" w:rsidRPr="008B4BEB">
        <w:rPr>
          <w:rFonts w:eastAsia="Calibri" w:cs="Arial"/>
          <w:sz w:val="24"/>
          <w:szCs w:val="24"/>
          <w:lang w:val="en-US" w:eastAsia="en-US"/>
        </w:rPr>
        <w:t>)</w:t>
      </w:r>
      <w:r w:rsidR="00E56227" w:rsidRPr="008B4BEB">
        <w:rPr>
          <w:rFonts w:eastAsia="Calibri" w:cs="Arial"/>
          <w:sz w:val="24"/>
          <w:szCs w:val="24"/>
          <w:lang w:val="en-US" w:eastAsia="en-US"/>
        </w:rPr>
        <w:t xml:space="preserve"> NPOs were contracted for two years in the 2019/20 financial</w:t>
      </w:r>
      <w:r>
        <w:rPr>
          <w:rFonts w:eastAsia="Calibri" w:cs="Arial"/>
          <w:sz w:val="24"/>
          <w:szCs w:val="24"/>
          <w:lang w:val="en-US" w:eastAsia="en-US"/>
        </w:rPr>
        <w:t xml:space="preserve"> </w:t>
      </w:r>
      <w:r w:rsidRPr="00F84D79">
        <w:rPr>
          <w:rFonts w:eastAsia="Calibri" w:cs="Arial"/>
          <w:sz w:val="24"/>
          <w:szCs w:val="24"/>
          <w:lang w:val="en-US" w:eastAsia="en-US"/>
        </w:rPr>
        <w:t>year</w:t>
      </w:r>
      <w:r w:rsidR="00E56227" w:rsidRPr="008B4BEB">
        <w:rPr>
          <w:rFonts w:eastAsia="Calibri" w:cs="Arial"/>
          <w:sz w:val="24"/>
          <w:szCs w:val="24"/>
          <w:lang w:val="en-US" w:eastAsia="en-US"/>
        </w:rPr>
        <w:t xml:space="preserve">.  From April – November 2020, twenty four (24) NPOs were utilized to implement the EPWP COVID-19 Response Project. </w:t>
      </w:r>
    </w:p>
    <w:p w:rsidR="008858D2" w:rsidRPr="008B4BEB" w:rsidRDefault="00E56227" w:rsidP="008B4BEB">
      <w:pPr>
        <w:spacing w:before="100" w:beforeAutospacing="1" w:after="100" w:afterAutospacing="1" w:line="360" w:lineRule="auto"/>
        <w:ind w:left="360" w:right="482"/>
        <w:contextualSpacing/>
        <w:rPr>
          <w:rFonts w:eastAsia="Calibri" w:cs="Arial"/>
          <w:sz w:val="24"/>
          <w:szCs w:val="24"/>
          <w:lang w:val="en-US" w:eastAsia="en-US"/>
        </w:rPr>
      </w:pPr>
      <w:r w:rsidRPr="008B4BEB">
        <w:rPr>
          <w:rFonts w:eastAsia="Calibri" w:cs="Arial"/>
          <w:sz w:val="24"/>
          <w:szCs w:val="24"/>
          <w:lang w:val="en-US" w:eastAsia="en-US"/>
        </w:rPr>
        <w:t xml:space="preserve">Based on the contract signed between the intermediary </w:t>
      </w:r>
      <w:r w:rsidR="008858D2" w:rsidRPr="008B4BEB">
        <w:rPr>
          <w:rFonts w:eastAsia="Calibri" w:cs="Arial"/>
          <w:sz w:val="24"/>
          <w:szCs w:val="24"/>
          <w:lang w:val="en-US" w:eastAsia="en-US"/>
        </w:rPr>
        <w:t xml:space="preserve">the Independent Development Trust (IDT) </w:t>
      </w:r>
      <w:r w:rsidRPr="008B4BEB">
        <w:rPr>
          <w:rFonts w:eastAsia="Calibri" w:cs="Arial"/>
          <w:sz w:val="24"/>
          <w:szCs w:val="24"/>
          <w:lang w:val="en-US" w:eastAsia="en-US"/>
        </w:rPr>
        <w:t>and the NPOs</w:t>
      </w:r>
      <w:r w:rsidR="008858D2" w:rsidRPr="008B4BEB">
        <w:rPr>
          <w:rFonts w:eastAsia="Calibri" w:cs="Arial"/>
          <w:sz w:val="24"/>
          <w:szCs w:val="24"/>
          <w:lang w:val="en-US" w:eastAsia="en-US"/>
        </w:rPr>
        <w:t>, there is an allocation paid to NPOs to ensure they</w:t>
      </w:r>
      <w:r w:rsidRPr="008B4BEB">
        <w:rPr>
          <w:rFonts w:eastAsia="Calibri" w:cs="Arial"/>
          <w:sz w:val="24"/>
          <w:szCs w:val="24"/>
          <w:lang w:val="en-US" w:eastAsia="en-US"/>
        </w:rPr>
        <w:t xml:space="preserve"> pay</w:t>
      </w:r>
      <w:r w:rsidR="008858D2" w:rsidRPr="008B4BEB">
        <w:rPr>
          <w:rFonts w:eastAsia="Calibri" w:cs="Arial"/>
          <w:sz w:val="24"/>
          <w:szCs w:val="24"/>
          <w:lang w:val="en-US" w:eastAsia="en-US"/>
        </w:rPr>
        <w:t xml:space="preserve"> the</w:t>
      </w:r>
      <w:r w:rsidRPr="008B4BEB">
        <w:rPr>
          <w:rFonts w:eastAsia="Calibri" w:cs="Arial"/>
          <w:sz w:val="24"/>
          <w:szCs w:val="24"/>
          <w:lang w:val="en-US" w:eastAsia="en-US"/>
        </w:rPr>
        <w:t xml:space="preserve"> U</w:t>
      </w:r>
      <w:r w:rsidR="008858D2" w:rsidRPr="008B4BEB">
        <w:rPr>
          <w:rFonts w:eastAsia="Calibri" w:cs="Arial"/>
          <w:sz w:val="24"/>
          <w:szCs w:val="24"/>
          <w:lang w:val="en-US" w:eastAsia="en-US"/>
        </w:rPr>
        <w:t>nemployment Insurance Fund (U</w:t>
      </w:r>
      <w:r w:rsidRPr="008B4BEB">
        <w:rPr>
          <w:rFonts w:eastAsia="Calibri" w:cs="Arial"/>
          <w:sz w:val="24"/>
          <w:szCs w:val="24"/>
          <w:lang w:val="en-US" w:eastAsia="en-US"/>
        </w:rPr>
        <w:t>IF</w:t>
      </w:r>
      <w:r w:rsidR="008858D2" w:rsidRPr="008B4BEB">
        <w:rPr>
          <w:rFonts w:eastAsia="Calibri" w:cs="Arial"/>
          <w:sz w:val="24"/>
          <w:szCs w:val="24"/>
          <w:lang w:val="en-US" w:eastAsia="en-US"/>
        </w:rPr>
        <w:t>)</w:t>
      </w:r>
      <w:r w:rsidRPr="008B4BEB">
        <w:rPr>
          <w:rFonts w:eastAsia="Calibri" w:cs="Arial"/>
          <w:sz w:val="24"/>
          <w:szCs w:val="24"/>
          <w:lang w:val="en-US" w:eastAsia="en-US"/>
        </w:rPr>
        <w:t xml:space="preserve"> and Compensation for Occupational Injuries and Diseases Act (COIDA)</w:t>
      </w:r>
      <w:r w:rsidR="008858D2" w:rsidRPr="008B4BEB">
        <w:rPr>
          <w:rFonts w:eastAsia="Calibri" w:cs="Arial"/>
          <w:sz w:val="24"/>
          <w:szCs w:val="24"/>
          <w:lang w:val="en-US" w:eastAsia="en-US"/>
        </w:rPr>
        <w:t xml:space="preserve"> for participants contracted in the </w:t>
      </w:r>
      <w:proofErr w:type="spellStart"/>
      <w:r w:rsidR="008858D2" w:rsidRPr="008B4BEB">
        <w:rPr>
          <w:rFonts w:eastAsia="Calibri" w:cs="Arial"/>
          <w:sz w:val="24"/>
          <w:szCs w:val="24"/>
          <w:lang w:val="en-US" w:eastAsia="en-US"/>
        </w:rPr>
        <w:t>programme</w:t>
      </w:r>
      <w:proofErr w:type="spellEnd"/>
      <w:r w:rsidR="008858D2" w:rsidRPr="008B4BEB">
        <w:rPr>
          <w:rFonts w:eastAsia="Calibri" w:cs="Arial"/>
          <w:sz w:val="24"/>
          <w:szCs w:val="24"/>
          <w:lang w:val="en-US" w:eastAsia="en-US"/>
        </w:rPr>
        <w:t>.</w:t>
      </w:r>
    </w:p>
    <w:p w:rsidR="0013285F" w:rsidRPr="008B4BEB" w:rsidRDefault="0013285F" w:rsidP="0013285F">
      <w:pPr>
        <w:spacing w:before="100" w:beforeAutospacing="1" w:after="100" w:afterAutospacing="1" w:line="360" w:lineRule="auto"/>
        <w:ind w:right="482" w:firstLine="720"/>
        <w:contextualSpacing/>
        <w:rPr>
          <w:rFonts w:eastAsia="Calibri" w:cs="Arial"/>
          <w:sz w:val="24"/>
          <w:szCs w:val="24"/>
          <w:lang w:val="en-US" w:eastAsia="en-US"/>
        </w:rPr>
      </w:pPr>
    </w:p>
    <w:p w:rsidR="00E56227" w:rsidRPr="008B4BEB" w:rsidRDefault="008858D2" w:rsidP="008B4BEB">
      <w:pPr>
        <w:spacing w:before="100" w:beforeAutospacing="1" w:after="100" w:afterAutospacing="1" w:line="360" w:lineRule="auto"/>
        <w:ind w:left="360" w:right="482"/>
        <w:contextualSpacing/>
        <w:rPr>
          <w:rFonts w:eastAsia="Calibri" w:cs="Arial"/>
          <w:sz w:val="24"/>
          <w:szCs w:val="24"/>
          <w:lang w:val="en-US" w:eastAsia="en-US"/>
        </w:rPr>
      </w:pPr>
      <w:r w:rsidRPr="008B4BEB">
        <w:rPr>
          <w:rFonts w:eastAsia="Calibri" w:cs="Arial"/>
          <w:sz w:val="24"/>
          <w:szCs w:val="24"/>
          <w:lang w:val="en-US" w:eastAsia="en-US"/>
        </w:rPr>
        <w:t xml:space="preserve">The payments done by the NPOs towards </w:t>
      </w:r>
      <w:r w:rsidR="00E56227" w:rsidRPr="008B4BEB">
        <w:rPr>
          <w:rFonts w:eastAsia="Calibri" w:cs="Arial"/>
          <w:sz w:val="24"/>
          <w:szCs w:val="24"/>
          <w:lang w:val="en-US" w:eastAsia="en-US"/>
        </w:rPr>
        <w:t xml:space="preserve">UIF and COIDA to the Department of </w:t>
      </w:r>
      <w:r w:rsidRPr="008B4BEB">
        <w:rPr>
          <w:rFonts w:eastAsia="Calibri" w:cs="Arial"/>
          <w:sz w:val="24"/>
          <w:szCs w:val="24"/>
          <w:lang w:val="en-US" w:eastAsia="en-US"/>
        </w:rPr>
        <w:t xml:space="preserve">Employment and </w:t>
      </w:r>
      <w:proofErr w:type="spellStart"/>
      <w:r w:rsidR="00E56227" w:rsidRPr="008B4BEB">
        <w:rPr>
          <w:rFonts w:eastAsia="Calibri" w:cs="Arial"/>
          <w:sz w:val="24"/>
          <w:szCs w:val="24"/>
          <w:lang w:val="en-US" w:eastAsia="en-US"/>
        </w:rPr>
        <w:t>Labour</w:t>
      </w:r>
      <w:proofErr w:type="spellEnd"/>
      <w:r w:rsidR="001D011F" w:rsidRPr="008B4BEB">
        <w:rPr>
          <w:rFonts w:eastAsia="Calibri" w:cs="Arial"/>
          <w:sz w:val="24"/>
          <w:szCs w:val="24"/>
          <w:lang w:val="en-US" w:eastAsia="en-US"/>
        </w:rPr>
        <w:t xml:space="preserve"> (DEL)</w:t>
      </w:r>
      <w:r w:rsidRPr="008B4BEB">
        <w:rPr>
          <w:rFonts w:eastAsia="Calibri" w:cs="Arial"/>
          <w:sz w:val="24"/>
          <w:szCs w:val="24"/>
          <w:lang w:val="en-US" w:eastAsia="en-US"/>
        </w:rPr>
        <w:t xml:space="preserve"> are monitored by the IDT in the following manner:</w:t>
      </w:r>
    </w:p>
    <w:p w:rsidR="00E56227" w:rsidRPr="008B4BEB" w:rsidRDefault="008858D2" w:rsidP="008B4BEB">
      <w:pPr>
        <w:numPr>
          <w:ilvl w:val="0"/>
          <w:numId w:val="8"/>
        </w:numPr>
        <w:spacing w:before="100" w:beforeAutospacing="1" w:after="100" w:afterAutospacing="1" w:line="360" w:lineRule="auto"/>
        <w:ind w:left="720" w:right="482"/>
        <w:contextualSpacing/>
        <w:rPr>
          <w:rFonts w:eastAsia="Calibri" w:cs="Arial"/>
          <w:sz w:val="24"/>
          <w:szCs w:val="24"/>
          <w:lang w:val="en-US" w:eastAsia="en-US"/>
        </w:rPr>
      </w:pPr>
      <w:r w:rsidRPr="008B4BEB">
        <w:rPr>
          <w:rFonts w:eastAsia="Calibri" w:cs="Arial"/>
          <w:sz w:val="24"/>
          <w:szCs w:val="24"/>
          <w:lang w:val="en-US" w:eastAsia="en-US"/>
        </w:rPr>
        <w:t xml:space="preserve">Upon contracting, </w:t>
      </w:r>
      <w:r w:rsidR="00E56227" w:rsidRPr="008B4BEB">
        <w:rPr>
          <w:rFonts w:eastAsia="Calibri" w:cs="Arial"/>
          <w:sz w:val="24"/>
          <w:szCs w:val="24"/>
          <w:lang w:val="en-US" w:eastAsia="en-US"/>
        </w:rPr>
        <w:t>NPOs</w:t>
      </w:r>
      <w:r w:rsidRPr="008B4BEB">
        <w:rPr>
          <w:rFonts w:eastAsia="Calibri" w:cs="Arial"/>
          <w:sz w:val="24"/>
          <w:szCs w:val="24"/>
          <w:lang w:val="en-US" w:eastAsia="en-US"/>
        </w:rPr>
        <w:t xml:space="preserve"> have to</w:t>
      </w:r>
      <w:r w:rsidR="00E56227" w:rsidRPr="008B4BEB">
        <w:rPr>
          <w:rFonts w:eastAsia="Calibri" w:cs="Arial"/>
          <w:sz w:val="24"/>
          <w:szCs w:val="24"/>
          <w:lang w:val="en-US" w:eastAsia="en-US"/>
        </w:rPr>
        <w:t xml:space="preserve"> submit a valid Letter of Good Standing</w:t>
      </w:r>
      <w:r w:rsidRPr="008B4BEB">
        <w:rPr>
          <w:rFonts w:eastAsia="Calibri" w:cs="Arial"/>
          <w:sz w:val="24"/>
          <w:szCs w:val="24"/>
          <w:lang w:val="en-US" w:eastAsia="en-US"/>
        </w:rPr>
        <w:t xml:space="preserve"> with the UIF and </w:t>
      </w:r>
      <w:r w:rsidR="001A638F" w:rsidRPr="008B4BEB">
        <w:rPr>
          <w:rFonts w:eastAsia="Calibri" w:cs="Arial"/>
          <w:sz w:val="24"/>
          <w:szCs w:val="24"/>
          <w:lang w:val="en-US" w:eastAsia="en-US"/>
        </w:rPr>
        <w:t xml:space="preserve">for </w:t>
      </w:r>
      <w:r w:rsidRPr="008B4BEB">
        <w:rPr>
          <w:rFonts w:eastAsia="Calibri" w:cs="Arial"/>
          <w:sz w:val="24"/>
          <w:szCs w:val="24"/>
          <w:lang w:val="en-US" w:eastAsia="en-US"/>
        </w:rPr>
        <w:t>COIDA</w:t>
      </w:r>
      <w:r w:rsidR="00E56227" w:rsidRPr="008B4BEB">
        <w:rPr>
          <w:rFonts w:eastAsia="Calibri" w:cs="Arial"/>
          <w:sz w:val="24"/>
          <w:szCs w:val="24"/>
          <w:lang w:val="en-US" w:eastAsia="en-US"/>
        </w:rPr>
        <w:t xml:space="preserve"> to cover the period of the </w:t>
      </w:r>
      <w:proofErr w:type="spellStart"/>
      <w:r w:rsidR="00E56227" w:rsidRPr="008B4BEB">
        <w:rPr>
          <w:rFonts w:eastAsia="Calibri" w:cs="Arial"/>
          <w:sz w:val="24"/>
          <w:szCs w:val="24"/>
          <w:lang w:val="en-US" w:eastAsia="en-US"/>
        </w:rPr>
        <w:t>programme</w:t>
      </w:r>
      <w:proofErr w:type="spellEnd"/>
      <w:r w:rsidR="00E56227" w:rsidRPr="008B4BEB">
        <w:rPr>
          <w:rFonts w:eastAsia="Calibri" w:cs="Arial"/>
          <w:sz w:val="24"/>
          <w:szCs w:val="24"/>
          <w:lang w:val="en-US" w:eastAsia="en-US"/>
        </w:rPr>
        <w:t xml:space="preserve">/project implementation.  </w:t>
      </w:r>
    </w:p>
    <w:p w:rsidR="00E56227" w:rsidRPr="008B4BEB" w:rsidRDefault="001D011F" w:rsidP="008B4BEB">
      <w:pPr>
        <w:numPr>
          <w:ilvl w:val="0"/>
          <w:numId w:val="8"/>
        </w:numPr>
        <w:spacing w:before="100" w:beforeAutospacing="1" w:after="100" w:afterAutospacing="1" w:line="360" w:lineRule="auto"/>
        <w:ind w:left="720" w:right="482"/>
        <w:contextualSpacing/>
        <w:rPr>
          <w:rFonts w:eastAsia="Calibri" w:cs="Arial"/>
          <w:sz w:val="24"/>
          <w:szCs w:val="24"/>
          <w:lang w:val="en-US" w:eastAsia="en-US"/>
        </w:rPr>
      </w:pPr>
      <w:r w:rsidRPr="008B4BEB">
        <w:rPr>
          <w:rFonts w:eastAsia="Calibri" w:cs="Arial"/>
          <w:sz w:val="24"/>
          <w:szCs w:val="24"/>
          <w:lang w:val="en-US" w:eastAsia="en-US"/>
        </w:rPr>
        <w:t xml:space="preserve">NPOs also expected to submit a </w:t>
      </w:r>
      <w:r w:rsidR="00E56227" w:rsidRPr="008B4BEB">
        <w:rPr>
          <w:rFonts w:eastAsia="Calibri" w:cs="Arial"/>
          <w:sz w:val="24"/>
          <w:szCs w:val="24"/>
          <w:lang w:val="en-US" w:eastAsia="en-US"/>
        </w:rPr>
        <w:t>proof</w:t>
      </w:r>
      <w:r w:rsidRPr="008B4BEB">
        <w:rPr>
          <w:rFonts w:eastAsia="Calibri" w:cs="Arial"/>
          <w:sz w:val="24"/>
          <w:szCs w:val="24"/>
          <w:lang w:val="en-US" w:eastAsia="en-US"/>
        </w:rPr>
        <w:t xml:space="preserve"> of payme</w:t>
      </w:r>
      <w:r w:rsidR="00A45F45" w:rsidRPr="008B4BEB">
        <w:rPr>
          <w:rFonts w:eastAsia="Calibri" w:cs="Arial"/>
          <w:sz w:val="24"/>
          <w:szCs w:val="24"/>
          <w:lang w:val="en-US" w:eastAsia="en-US"/>
        </w:rPr>
        <w:t>nt of the UIF to</w:t>
      </w:r>
      <w:r w:rsidRPr="008B4BEB">
        <w:rPr>
          <w:rFonts w:eastAsia="Calibri" w:cs="Arial"/>
          <w:sz w:val="24"/>
          <w:szCs w:val="24"/>
          <w:lang w:val="en-US" w:eastAsia="en-US"/>
        </w:rPr>
        <w:t xml:space="preserve"> DE</w:t>
      </w:r>
      <w:r w:rsidR="00E56227" w:rsidRPr="008B4BEB">
        <w:rPr>
          <w:rFonts w:eastAsia="Calibri" w:cs="Arial"/>
          <w:sz w:val="24"/>
          <w:szCs w:val="24"/>
          <w:lang w:val="en-US" w:eastAsia="en-US"/>
        </w:rPr>
        <w:t xml:space="preserve">L </w:t>
      </w:r>
      <w:r w:rsidRPr="008B4BEB">
        <w:rPr>
          <w:rFonts w:eastAsia="Calibri" w:cs="Arial"/>
          <w:sz w:val="24"/>
          <w:szCs w:val="24"/>
          <w:lang w:val="en-US" w:eastAsia="en-US"/>
        </w:rPr>
        <w:t>to the IDT be</w:t>
      </w:r>
      <w:r w:rsidR="00A45F45" w:rsidRPr="008B4BEB">
        <w:rPr>
          <w:rFonts w:eastAsia="Calibri" w:cs="Arial"/>
          <w:sz w:val="24"/>
          <w:szCs w:val="24"/>
          <w:lang w:val="en-US" w:eastAsia="en-US"/>
        </w:rPr>
        <w:t>fore the allocation can be paid.</w:t>
      </w:r>
    </w:p>
    <w:p w:rsidR="0013285F" w:rsidRPr="008B4BEB" w:rsidRDefault="0013285F" w:rsidP="0013285F">
      <w:pPr>
        <w:spacing w:line="360" w:lineRule="auto"/>
        <w:rPr>
          <w:rFonts w:eastAsia="Calibri" w:cs="Arial"/>
          <w:sz w:val="24"/>
          <w:szCs w:val="24"/>
        </w:rPr>
      </w:pPr>
    </w:p>
    <w:p w:rsidR="000C49BB" w:rsidRPr="008B4BEB" w:rsidRDefault="00AB2775" w:rsidP="008B4BEB">
      <w:pPr>
        <w:pStyle w:val="ListParagraph"/>
        <w:numPr>
          <w:ilvl w:val="0"/>
          <w:numId w:val="15"/>
        </w:numPr>
        <w:spacing w:line="360" w:lineRule="auto"/>
        <w:ind w:left="360"/>
        <w:rPr>
          <w:b/>
          <w:bCs/>
          <w:sz w:val="24"/>
          <w:szCs w:val="24"/>
        </w:rPr>
      </w:pPr>
      <w:r w:rsidRPr="008B4BEB">
        <w:rPr>
          <w:rFonts w:eastAsia="Calibri" w:cs="Arial"/>
          <w:sz w:val="24"/>
          <w:szCs w:val="24"/>
        </w:rPr>
        <w:t xml:space="preserve">All twenty four 24 NPOs contracted to implement the EPWP COVID-19 response are up to date with the </w:t>
      </w:r>
      <w:r w:rsidR="00B56D84" w:rsidRPr="008B4BEB">
        <w:rPr>
          <w:rFonts w:eastAsia="Calibri" w:cs="Arial"/>
          <w:sz w:val="24"/>
          <w:szCs w:val="24"/>
        </w:rPr>
        <w:t xml:space="preserve">COIDA contributions. </w:t>
      </w:r>
      <w:r w:rsidRPr="008B4BEB">
        <w:rPr>
          <w:rFonts w:eastAsia="Calibri" w:cs="Arial"/>
          <w:sz w:val="24"/>
          <w:szCs w:val="24"/>
        </w:rPr>
        <w:t xml:space="preserve">However, from </w:t>
      </w:r>
      <w:r w:rsidR="00386857" w:rsidRPr="008B4BEB">
        <w:rPr>
          <w:rFonts w:eastAsia="Calibri" w:cs="Arial"/>
          <w:sz w:val="24"/>
          <w:szCs w:val="24"/>
        </w:rPr>
        <w:t>these NPOs</w:t>
      </w:r>
      <w:r w:rsidR="000C49BB" w:rsidRPr="008B4BEB">
        <w:rPr>
          <w:rFonts w:eastAsia="Calibri" w:cs="Arial"/>
          <w:sz w:val="24"/>
          <w:szCs w:val="24"/>
        </w:rPr>
        <w:t>,</w:t>
      </w:r>
      <w:r w:rsidRPr="008B4BEB">
        <w:rPr>
          <w:rFonts w:eastAsia="Calibri" w:cs="Arial"/>
          <w:sz w:val="24"/>
          <w:szCs w:val="24"/>
        </w:rPr>
        <w:t xml:space="preserve"> t</w:t>
      </w:r>
      <w:r w:rsidR="00B56D84" w:rsidRPr="008B4BEB">
        <w:rPr>
          <w:rFonts w:eastAsia="Calibri" w:cs="Arial"/>
          <w:sz w:val="24"/>
          <w:szCs w:val="24"/>
        </w:rPr>
        <w:t>hree</w:t>
      </w:r>
      <w:r w:rsidR="000C49BB" w:rsidRPr="008B4BEB">
        <w:rPr>
          <w:rFonts w:eastAsia="Calibri" w:cs="Arial"/>
          <w:sz w:val="24"/>
          <w:szCs w:val="24"/>
        </w:rPr>
        <w:t xml:space="preserve"> (</w:t>
      </w:r>
      <w:r w:rsidRPr="008B4BEB">
        <w:rPr>
          <w:rFonts w:eastAsia="Calibri" w:cs="Arial"/>
          <w:sz w:val="24"/>
          <w:szCs w:val="24"/>
        </w:rPr>
        <w:t>3)</w:t>
      </w:r>
      <w:r w:rsidR="00B56D84" w:rsidRPr="008B4BEB">
        <w:rPr>
          <w:rFonts w:eastAsia="Calibri" w:cs="Arial"/>
          <w:sz w:val="24"/>
          <w:szCs w:val="24"/>
        </w:rPr>
        <w:t xml:space="preserve"> NPOs</w:t>
      </w:r>
      <w:r w:rsidR="000C49BB" w:rsidRPr="008B4BEB">
        <w:rPr>
          <w:rFonts w:eastAsia="Calibri" w:cs="Arial"/>
          <w:sz w:val="24"/>
          <w:szCs w:val="24"/>
        </w:rPr>
        <w:t xml:space="preserve"> are not up to date with the UIF contributions.</w:t>
      </w:r>
    </w:p>
    <w:p w:rsidR="00B56D84" w:rsidRPr="008B4BEB" w:rsidRDefault="008B4BEB" w:rsidP="008B4BEB">
      <w:pPr>
        <w:spacing w:before="100" w:beforeAutospacing="1" w:after="100" w:afterAutospacing="1" w:line="360" w:lineRule="auto"/>
        <w:ind w:left="900" w:right="482" w:hanging="540"/>
        <w:rPr>
          <w:rFonts w:eastAsia="Calibri" w:cs="Arial"/>
          <w:sz w:val="24"/>
          <w:szCs w:val="24"/>
          <w:lang w:val="en-US" w:eastAsia="en-US"/>
        </w:rPr>
      </w:pPr>
      <w:r>
        <w:rPr>
          <w:rFonts w:eastAsia="Calibri" w:cs="Arial"/>
          <w:sz w:val="24"/>
          <w:szCs w:val="24"/>
          <w:lang w:val="en-US" w:eastAsia="en-US"/>
        </w:rPr>
        <w:t>(a)</w:t>
      </w:r>
      <w:r>
        <w:rPr>
          <w:rFonts w:eastAsia="Calibri" w:cs="Arial"/>
          <w:sz w:val="24"/>
          <w:szCs w:val="24"/>
          <w:lang w:val="en-US" w:eastAsia="en-US"/>
        </w:rPr>
        <w:tab/>
      </w:r>
      <w:r w:rsidR="00095757" w:rsidRPr="008B4BEB">
        <w:rPr>
          <w:rFonts w:eastAsia="Calibri" w:cs="Arial"/>
          <w:sz w:val="24"/>
          <w:szCs w:val="24"/>
          <w:lang w:val="en-US" w:eastAsia="en-US"/>
        </w:rPr>
        <w:t xml:space="preserve">To ensure all outstanding monies are paid on behalf of participants </w:t>
      </w:r>
      <w:r>
        <w:rPr>
          <w:rFonts w:eastAsia="Calibri" w:cs="Arial"/>
          <w:sz w:val="24"/>
          <w:szCs w:val="24"/>
          <w:lang w:val="en-US" w:eastAsia="en-US"/>
        </w:rPr>
        <w:t xml:space="preserve">to UIF and </w:t>
      </w:r>
      <w:r w:rsidR="000C49BB" w:rsidRPr="008B4BEB">
        <w:rPr>
          <w:rFonts w:eastAsia="Calibri" w:cs="Arial"/>
          <w:sz w:val="24"/>
          <w:szCs w:val="24"/>
          <w:lang w:val="en-US" w:eastAsia="en-US"/>
        </w:rPr>
        <w:t>COIDA, the IDT continue</w:t>
      </w:r>
      <w:r w:rsidR="001A638F" w:rsidRPr="008B4BEB">
        <w:rPr>
          <w:rFonts w:eastAsia="Calibri" w:cs="Arial"/>
          <w:sz w:val="24"/>
          <w:szCs w:val="24"/>
          <w:lang w:val="en-US" w:eastAsia="en-US"/>
        </w:rPr>
        <w:t>s</w:t>
      </w:r>
      <w:r w:rsidR="000C49BB" w:rsidRPr="008B4BEB">
        <w:rPr>
          <w:rFonts w:eastAsia="Calibri" w:cs="Arial"/>
          <w:sz w:val="24"/>
          <w:szCs w:val="24"/>
          <w:lang w:val="en-US" w:eastAsia="en-US"/>
        </w:rPr>
        <w:t xml:space="preserve"> to remind and encourage</w:t>
      </w:r>
      <w:r w:rsidR="00B56D84" w:rsidRPr="008B4BEB">
        <w:rPr>
          <w:rFonts w:eastAsia="Calibri" w:cs="Arial"/>
          <w:sz w:val="24"/>
          <w:szCs w:val="24"/>
          <w:lang w:val="en-US" w:eastAsia="en-US"/>
        </w:rPr>
        <w:t xml:space="preserve"> NPO</w:t>
      </w:r>
      <w:r w:rsidR="00095757" w:rsidRPr="008B4BEB">
        <w:rPr>
          <w:rFonts w:eastAsia="Calibri" w:cs="Arial"/>
          <w:sz w:val="24"/>
          <w:szCs w:val="24"/>
          <w:lang w:val="en-US" w:eastAsia="en-US"/>
        </w:rPr>
        <w:t>s</w:t>
      </w:r>
      <w:r w:rsidR="00B56D84" w:rsidRPr="008B4BEB">
        <w:rPr>
          <w:rFonts w:eastAsia="Calibri" w:cs="Arial"/>
          <w:sz w:val="24"/>
          <w:szCs w:val="24"/>
          <w:lang w:val="en-US" w:eastAsia="en-US"/>
        </w:rPr>
        <w:t xml:space="preserve"> to </w:t>
      </w:r>
      <w:r w:rsidR="000C49BB" w:rsidRPr="008B4BEB">
        <w:rPr>
          <w:rFonts w:eastAsia="Calibri" w:cs="Arial"/>
          <w:sz w:val="24"/>
          <w:szCs w:val="24"/>
          <w:lang w:val="en-US" w:eastAsia="en-US"/>
        </w:rPr>
        <w:t>settle any</w:t>
      </w:r>
      <w:r w:rsidR="00386857" w:rsidRPr="008B4BEB">
        <w:rPr>
          <w:rFonts w:eastAsia="Calibri" w:cs="Arial"/>
          <w:sz w:val="24"/>
          <w:szCs w:val="24"/>
          <w:lang w:val="en-US" w:eastAsia="en-US"/>
        </w:rPr>
        <w:t xml:space="preserve"> outstanding payments as the existing contracts signed with the NPOs does not have any</w:t>
      </w:r>
      <w:r w:rsidR="000C49BB" w:rsidRPr="008B4BEB">
        <w:rPr>
          <w:rFonts w:eastAsia="Calibri" w:cs="Arial"/>
          <w:sz w:val="24"/>
          <w:szCs w:val="24"/>
          <w:lang w:val="en-US" w:eastAsia="en-US"/>
        </w:rPr>
        <w:t xml:space="preserve"> punitive measures to be enforced.</w:t>
      </w:r>
    </w:p>
    <w:p w:rsidR="008B4BEB" w:rsidRDefault="0013285F" w:rsidP="008B4BEB">
      <w:pPr>
        <w:spacing w:line="360" w:lineRule="auto"/>
        <w:ind w:left="900" w:right="482" w:hanging="540"/>
        <w:rPr>
          <w:rFonts w:eastAsia="Calibri" w:cs="Arial"/>
          <w:sz w:val="24"/>
          <w:szCs w:val="24"/>
          <w:lang w:val="en-US" w:eastAsia="en-US"/>
        </w:rPr>
      </w:pPr>
      <w:r w:rsidRPr="008B4BEB">
        <w:rPr>
          <w:rFonts w:eastAsia="Calibri" w:cs="Arial"/>
          <w:sz w:val="24"/>
          <w:szCs w:val="24"/>
          <w:lang w:val="en-US" w:eastAsia="en-US"/>
        </w:rPr>
        <w:lastRenderedPageBreak/>
        <w:t>(</w:t>
      </w:r>
      <w:r w:rsidR="00B56D84" w:rsidRPr="008B4BEB">
        <w:rPr>
          <w:rFonts w:eastAsia="Calibri" w:cs="Arial"/>
          <w:sz w:val="24"/>
          <w:szCs w:val="24"/>
          <w:lang w:val="en-US" w:eastAsia="en-US"/>
        </w:rPr>
        <w:t>b)</w:t>
      </w:r>
      <w:r w:rsidR="008B4BEB">
        <w:rPr>
          <w:rFonts w:eastAsia="Calibri" w:cs="Arial"/>
          <w:sz w:val="24"/>
          <w:szCs w:val="24"/>
          <w:lang w:val="en-US" w:eastAsia="en-US"/>
        </w:rPr>
        <w:tab/>
      </w:r>
    </w:p>
    <w:p w:rsidR="008B4BEB" w:rsidRDefault="008B4BEB" w:rsidP="008B4BEB">
      <w:pPr>
        <w:tabs>
          <w:tab w:val="left" w:pos="810"/>
        </w:tabs>
        <w:spacing w:line="360" w:lineRule="auto"/>
        <w:ind w:left="1440" w:right="482" w:hanging="540"/>
        <w:rPr>
          <w:rFonts w:eastAsia="Calibri" w:cs="Arial"/>
          <w:sz w:val="24"/>
          <w:szCs w:val="24"/>
        </w:rPr>
      </w:pPr>
      <w:r>
        <w:rPr>
          <w:rFonts w:eastAsia="Calibri" w:cs="Arial"/>
          <w:sz w:val="24"/>
          <w:szCs w:val="24"/>
          <w:lang w:val="en-US" w:eastAsia="en-US"/>
        </w:rPr>
        <w:t>(</w:t>
      </w:r>
      <w:proofErr w:type="spellStart"/>
      <w:r>
        <w:rPr>
          <w:rFonts w:eastAsia="Calibri" w:cs="Arial"/>
          <w:sz w:val="24"/>
          <w:szCs w:val="24"/>
          <w:lang w:val="en-US" w:eastAsia="en-US"/>
        </w:rPr>
        <w:t>i</w:t>
      </w:r>
      <w:proofErr w:type="spellEnd"/>
      <w:r>
        <w:rPr>
          <w:rFonts w:eastAsia="Calibri" w:cs="Arial"/>
          <w:sz w:val="24"/>
          <w:szCs w:val="24"/>
          <w:lang w:val="en-US" w:eastAsia="en-US"/>
        </w:rPr>
        <w:t>)</w:t>
      </w:r>
      <w:r>
        <w:rPr>
          <w:rFonts w:eastAsia="Calibri" w:cs="Arial"/>
          <w:sz w:val="24"/>
          <w:szCs w:val="24"/>
          <w:lang w:val="en-US" w:eastAsia="en-US"/>
        </w:rPr>
        <w:tab/>
      </w:r>
      <w:r w:rsidR="00386857" w:rsidRPr="008B4BEB">
        <w:rPr>
          <w:rFonts w:eastAsia="Calibri" w:cs="Arial"/>
          <w:sz w:val="24"/>
          <w:szCs w:val="24"/>
        </w:rPr>
        <w:t>There are no outstanding contributions owed to and by NPOs on COIDA. Only three (3) NPOs have outstanding contributions on UIF.</w:t>
      </w:r>
      <w:r w:rsidR="00244C0F" w:rsidRPr="008B4BEB">
        <w:rPr>
          <w:rFonts w:eastAsia="Calibri" w:cs="Arial"/>
          <w:sz w:val="24"/>
          <w:szCs w:val="24"/>
        </w:rPr>
        <w:t xml:space="preserve"> The 3 NPOs</w:t>
      </w:r>
      <w:r w:rsidR="00A45F45" w:rsidRPr="008B4BEB">
        <w:rPr>
          <w:rFonts w:eastAsia="Calibri" w:cs="Arial"/>
          <w:sz w:val="24"/>
          <w:szCs w:val="24"/>
        </w:rPr>
        <w:t xml:space="preserve"> submitte</w:t>
      </w:r>
      <w:r w:rsidR="001A638F" w:rsidRPr="008B4BEB">
        <w:rPr>
          <w:rFonts w:eastAsia="Calibri" w:cs="Arial"/>
          <w:sz w:val="24"/>
          <w:szCs w:val="24"/>
        </w:rPr>
        <w:t>d their invoices to the IDT in February 2021</w:t>
      </w:r>
      <w:r w:rsidR="00A45F45" w:rsidRPr="008B4BEB">
        <w:rPr>
          <w:rFonts w:eastAsia="Calibri" w:cs="Arial"/>
          <w:sz w:val="24"/>
          <w:szCs w:val="24"/>
        </w:rPr>
        <w:t xml:space="preserve"> for the payment of UIF they did on behalf of participants, while </w:t>
      </w:r>
      <w:r w:rsidR="001A638F" w:rsidRPr="008B4BEB">
        <w:rPr>
          <w:rFonts w:eastAsia="Calibri" w:cs="Arial"/>
          <w:sz w:val="24"/>
          <w:szCs w:val="24"/>
        </w:rPr>
        <w:t xml:space="preserve">participants </w:t>
      </w:r>
      <w:r w:rsidR="00A45F45" w:rsidRPr="008B4BEB">
        <w:rPr>
          <w:rFonts w:eastAsia="Calibri" w:cs="Arial"/>
          <w:sz w:val="24"/>
          <w:szCs w:val="24"/>
        </w:rPr>
        <w:t>had finished</w:t>
      </w:r>
      <w:r w:rsidR="001A638F" w:rsidRPr="008B4BEB">
        <w:rPr>
          <w:rFonts w:eastAsia="Calibri" w:cs="Arial"/>
          <w:sz w:val="24"/>
          <w:szCs w:val="24"/>
        </w:rPr>
        <w:t xml:space="preserve"> working on 13 November 2020. </w:t>
      </w:r>
      <w:r w:rsidR="00A45F45" w:rsidRPr="008B4BEB">
        <w:rPr>
          <w:rFonts w:eastAsia="Calibri" w:cs="Arial"/>
          <w:sz w:val="24"/>
          <w:szCs w:val="24"/>
        </w:rPr>
        <w:t>No payment has been done yet by the IDT to the NPOs, as t</w:t>
      </w:r>
      <w:r w:rsidR="001A638F" w:rsidRPr="008B4BEB">
        <w:rPr>
          <w:rFonts w:eastAsia="Calibri" w:cs="Arial"/>
          <w:sz w:val="24"/>
          <w:szCs w:val="24"/>
        </w:rPr>
        <w:t xml:space="preserve">he NPOs have been requested to provide evidence that payment </w:t>
      </w:r>
      <w:r w:rsidR="00244C0F" w:rsidRPr="008B4BEB">
        <w:rPr>
          <w:rFonts w:eastAsia="Calibri" w:cs="Arial"/>
          <w:sz w:val="24"/>
          <w:szCs w:val="24"/>
        </w:rPr>
        <w:t>was</w:t>
      </w:r>
      <w:r w:rsidR="00A45F45" w:rsidRPr="008B4BEB">
        <w:rPr>
          <w:rFonts w:eastAsia="Calibri" w:cs="Arial"/>
          <w:sz w:val="24"/>
          <w:szCs w:val="24"/>
        </w:rPr>
        <w:t xml:space="preserve"> done for participants during the implementation of</w:t>
      </w:r>
      <w:r w:rsidR="001A638F" w:rsidRPr="008B4BEB">
        <w:rPr>
          <w:rFonts w:eastAsia="Calibri" w:cs="Arial"/>
          <w:sz w:val="24"/>
          <w:szCs w:val="24"/>
        </w:rPr>
        <w:t xml:space="preserve"> the </w:t>
      </w:r>
      <w:r w:rsidR="00A45F45" w:rsidRPr="008B4BEB">
        <w:rPr>
          <w:rFonts w:eastAsia="Calibri" w:cs="Arial"/>
          <w:sz w:val="24"/>
          <w:szCs w:val="24"/>
        </w:rPr>
        <w:t xml:space="preserve">EPWP </w:t>
      </w:r>
      <w:r w:rsidR="001A638F" w:rsidRPr="008B4BEB">
        <w:rPr>
          <w:rFonts w:eastAsia="Calibri" w:cs="Arial"/>
          <w:sz w:val="24"/>
          <w:szCs w:val="24"/>
        </w:rPr>
        <w:t>COVID-19 Response Project</w:t>
      </w:r>
      <w:r>
        <w:rPr>
          <w:rFonts w:eastAsia="Calibri" w:cs="Arial"/>
          <w:sz w:val="24"/>
          <w:szCs w:val="24"/>
        </w:rPr>
        <w:t>.</w:t>
      </w:r>
    </w:p>
    <w:p w:rsidR="00B56D84" w:rsidRPr="008B4BEB" w:rsidRDefault="008B4BEB" w:rsidP="008B4BEB">
      <w:pPr>
        <w:tabs>
          <w:tab w:val="left" w:pos="810"/>
        </w:tabs>
        <w:spacing w:line="360" w:lineRule="auto"/>
        <w:ind w:left="1440" w:right="482" w:hanging="540"/>
        <w:rPr>
          <w:rFonts w:eastAsia="Calibri" w:cs="Arial"/>
          <w:sz w:val="24"/>
          <w:szCs w:val="24"/>
        </w:rPr>
      </w:pPr>
      <w:r>
        <w:rPr>
          <w:rFonts w:eastAsia="Calibri" w:cs="Arial"/>
          <w:sz w:val="24"/>
          <w:szCs w:val="24"/>
          <w:lang w:val="en-US" w:eastAsia="en-US"/>
        </w:rPr>
        <w:t>(ii)</w:t>
      </w:r>
      <w:r>
        <w:rPr>
          <w:rFonts w:eastAsia="Calibri" w:cs="Arial"/>
          <w:sz w:val="24"/>
          <w:szCs w:val="24"/>
          <w:lang w:val="en-US" w:eastAsia="en-US"/>
        </w:rPr>
        <w:tab/>
      </w:r>
      <w:r w:rsidR="00386857" w:rsidRPr="008B4BEB">
        <w:rPr>
          <w:rFonts w:eastAsia="Calibri" w:cs="Arial"/>
          <w:sz w:val="24"/>
          <w:szCs w:val="24"/>
          <w:lang w:eastAsia="en-US"/>
        </w:rPr>
        <w:t>The three (3) NPOs mentioned above are indicated in table 1 below:</w:t>
      </w:r>
    </w:p>
    <w:p w:rsidR="00386857" w:rsidRDefault="00386857" w:rsidP="00386857">
      <w:pPr>
        <w:pStyle w:val="Caption"/>
        <w:rPr>
          <w:rFonts w:eastAsia="Calibri" w:cs="Arial"/>
          <w:szCs w:val="22"/>
          <w:lang w:eastAsia="en-US"/>
        </w:rPr>
      </w:pPr>
      <w:r>
        <w:t xml:space="preserve">Table </w:t>
      </w:r>
      <w:r w:rsidR="003C2A00">
        <w:fldChar w:fldCharType="begin"/>
      </w:r>
      <w:r>
        <w:instrText xml:space="preserve"> SEQ Table \* ARABIC </w:instrText>
      </w:r>
      <w:r w:rsidR="003C2A00">
        <w:fldChar w:fldCharType="separate"/>
      </w:r>
      <w:r w:rsidR="00CC3A5A">
        <w:rPr>
          <w:noProof/>
        </w:rPr>
        <w:t>1</w:t>
      </w:r>
      <w:r w:rsidR="003C2A00">
        <w:fldChar w:fldCharType="end"/>
      </w:r>
      <w:r>
        <w:t>: NPOs with outstanding UIF Payments</w:t>
      </w:r>
    </w:p>
    <w:tbl>
      <w:tblPr>
        <w:tblStyle w:val="TableGrid"/>
        <w:tblW w:w="5000" w:type="pct"/>
        <w:tblLook w:val="04A0"/>
      </w:tblPr>
      <w:tblGrid>
        <w:gridCol w:w="1169"/>
        <w:gridCol w:w="1953"/>
        <w:gridCol w:w="1494"/>
        <w:gridCol w:w="1802"/>
        <w:gridCol w:w="1529"/>
        <w:gridCol w:w="1802"/>
      </w:tblGrid>
      <w:tr w:rsidR="009F07AE" w:rsidRPr="003E171D" w:rsidTr="000C0A8A">
        <w:tc>
          <w:tcPr>
            <w:tcW w:w="600" w:type="pct"/>
            <w:shd w:val="clear" w:color="auto" w:fill="BFBFBF" w:themeFill="background1" w:themeFillShade="BF"/>
          </w:tcPr>
          <w:p w:rsidR="00386857" w:rsidRPr="003E171D" w:rsidRDefault="00386857" w:rsidP="008C12F0">
            <w:pPr>
              <w:pStyle w:val="ListParagraph"/>
              <w:spacing w:before="100" w:beforeAutospacing="1" w:after="100" w:afterAutospacing="1" w:line="360" w:lineRule="auto"/>
              <w:ind w:left="0" w:right="482"/>
              <w:rPr>
                <w:rFonts w:eastAsia="Calibri" w:cs="Arial"/>
                <w:b/>
                <w:color w:val="000000" w:themeColor="text1"/>
                <w:sz w:val="20"/>
              </w:rPr>
            </w:pPr>
            <w:r w:rsidRPr="003E171D">
              <w:rPr>
                <w:rFonts w:eastAsia="Calibri" w:cs="Arial"/>
                <w:b/>
                <w:color w:val="000000" w:themeColor="text1"/>
                <w:sz w:val="20"/>
              </w:rPr>
              <w:t>Item</w:t>
            </w:r>
          </w:p>
        </w:tc>
        <w:tc>
          <w:tcPr>
            <w:tcW w:w="1002" w:type="pct"/>
            <w:shd w:val="clear" w:color="auto" w:fill="BFBFBF" w:themeFill="background1" w:themeFillShade="BF"/>
          </w:tcPr>
          <w:p w:rsidR="00386857" w:rsidRPr="003E171D" w:rsidRDefault="00386857" w:rsidP="008C12F0">
            <w:pPr>
              <w:pStyle w:val="ListParagraph"/>
              <w:spacing w:before="100" w:beforeAutospacing="1" w:after="100" w:afterAutospacing="1" w:line="360" w:lineRule="auto"/>
              <w:ind w:left="0" w:right="482"/>
              <w:rPr>
                <w:rFonts w:eastAsia="Calibri" w:cs="Arial"/>
                <w:b/>
                <w:color w:val="000000" w:themeColor="text1"/>
                <w:sz w:val="20"/>
              </w:rPr>
            </w:pPr>
            <w:r w:rsidRPr="003E171D">
              <w:rPr>
                <w:rFonts w:eastAsia="Calibri" w:cs="Arial"/>
                <w:b/>
                <w:color w:val="000000" w:themeColor="text1"/>
                <w:sz w:val="20"/>
              </w:rPr>
              <w:t>District Municipality</w:t>
            </w:r>
          </w:p>
        </w:tc>
        <w:tc>
          <w:tcPr>
            <w:tcW w:w="766" w:type="pct"/>
            <w:shd w:val="clear" w:color="auto" w:fill="BFBFBF" w:themeFill="background1" w:themeFillShade="BF"/>
          </w:tcPr>
          <w:p w:rsidR="00386857" w:rsidRPr="003E171D" w:rsidRDefault="00386857" w:rsidP="008C12F0">
            <w:pPr>
              <w:pStyle w:val="ListParagraph"/>
              <w:spacing w:before="100" w:beforeAutospacing="1" w:after="100" w:afterAutospacing="1" w:line="360" w:lineRule="auto"/>
              <w:ind w:left="0" w:right="482"/>
              <w:rPr>
                <w:rFonts w:eastAsia="Calibri" w:cs="Arial"/>
                <w:b/>
                <w:color w:val="000000" w:themeColor="text1"/>
                <w:sz w:val="20"/>
              </w:rPr>
            </w:pPr>
            <w:r w:rsidRPr="003E171D">
              <w:rPr>
                <w:rFonts w:eastAsia="Calibri" w:cs="Arial"/>
                <w:b/>
                <w:color w:val="000000" w:themeColor="text1"/>
                <w:sz w:val="20"/>
              </w:rPr>
              <w:t>Name of NPO</w:t>
            </w:r>
          </w:p>
        </w:tc>
        <w:tc>
          <w:tcPr>
            <w:tcW w:w="924" w:type="pct"/>
            <w:shd w:val="clear" w:color="auto" w:fill="BFBFBF" w:themeFill="background1" w:themeFillShade="BF"/>
          </w:tcPr>
          <w:p w:rsidR="00386857" w:rsidRPr="003E171D" w:rsidRDefault="00386857" w:rsidP="008C12F0">
            <w:pPr>
              <w:pStyle w:val="ListParagraph"/>
              <w:spacing w:before="100" w:beforeAutospacing="1" w:after="100" w:afterAutospacing="1" w:line="360" w:lineRule="auto"/>
              <w:ind w:left="0" w:right="482"/>
              <w:rPr>
                <w:rFonts w:eastAsia="Calibri" w:cs="Arial"/>
                <w:b/>
                <w:color w:val="000000" w:themeColor="text1"/>
                <w:sz w:val="20"/>
              </w:rPr>
            </w:pPr>
            <w:r w:rsidRPr="003E171D">
              <w:rPr>
                <w:rFonts w:eastAsia="Calibri" w:cs="Arial"/>
                <w:b/>
                <w:color w:val="000000" w:themeColor="text1"/>
                <w:sz w:val="20"/>
              </w:rPr>
              <w:t>UIF Allocation</w:t>
            </w:r>
          </w:p>
        </w:tc>
        <w:tc>
          <w:tcPr>
            <w:tcW w:w="784" w:type="pct"/>
            <w:shd w:val="clear" w:color="auto" w:fill="BFBFBF" w:themeFill="background1" w:themeFillShade="BF"/>
          </w:tcPr>
          <w:p w:rsidR="00386857" w:rsidRPr="003E171D" w:rsidRDefault="00386857" w:rsidP="008C12F0">
            <w:pPr>
              <w:pStyle w:val="ListParagraph"/>
              <w:spacing w:before="100" w:beforeAutospacing="1" w:after="100" w:afterAutospacing="1" w:line="360" w:lineRule="auto"/>
              <w:ind w:left="0" w:right="482"/>
              <w:rPr>
                <w:rFonts w:eastAsia="Calibri" w:cs="Arial"/>
                <w:b/>
                <w:color w:val="000000" w:themeColor="text1"/>
                <w:sz w:val="20"/>
              </w:rPr>
            </w:pPr>
            <w:r w:rsidRPr="003E171D">
              <w:rPr>
                <w:rFonts w:eastAsia="Calibri" w:cs="Arial"/>
                <w:b/>
                <w:color w:val="000000" w:themeColor="text1"/>
                <w:sz w:val="20"/>
              </w:rPr>
              <w:t>UIF Amount Spent</w:t>
            </w:r>
          </w:p>
        </w:tc>
        <w:tc>
          <w:tcPr>
            <w:tcW w:w="924" w:type="pct"/>
            <w:shd w:val="clear" w:color="auto" w:fill="BFBFBF" w:themeFill="background1" w:themeFillShade="BF"/>
          </w:tcPr>
          <w:p w:rsidR="00386857" w:rsidRPr="003E171D" w:rsidRDefault="00386857" w:rsidP="008C12F0">
            <w:pPr>
              <w:pStyle w:val="ListParagraph"/>
              <w:spacing w:before="100" w:beforeAutospacing="1" w:after="100" w:afterAutospacing="1" w:line="360" w:lineRule="auto"/>
              <w:ind w:left="0" w:right="482"/>
              <w:rPr>
                <w:rFonts w:eastAsia="Calibri" w:cs="Arial"/>
                <w:b/>
                <w:color w:val="000000" w:themeColor="text1"/>
                <w:sz w:val="20"/>
              </w:rPr>
            </w:pPr>
            <w:r w:rsidRPr="003E171D">
              <w:rPr>
                <w:rFonts w:eastAsia="Calibri" w:cs="Arial"/>
                <w:b/>
                <w:color w:val="000000" w:themeColor="text1"/>
                <w:sz w:val="20"/>
              </w:rPr>
              <w:t>UIF Amount Un-spent</w:t>
            </w:r>
          </w:p>
        </w:tc>
      </w:tr>
      <w:tr w:rsidR="00386857" w:rsidRPr="003E171D" w:rsidTr="000C0A8A">
        <w:tc>
          <w:tcPr>
            <w:tcW w:w="600" w:type="pct"/>
          </w:tcPr>
          <w:p w:rsidR="00386857" w:rsidRPr="003E171D" w:rsidRDefault="00386857" w:rsidP="008C12F0">
            <w:pPr>
              <w:pStyle w:val="ListParagraph"/>
              <w:spacing w:before="100" w:beforeAutospacing="1" w:after="100" w:afterAutospacing="1" w:line="360" w:lineRule="auto"/>
              <w:ind w:left="0" w:right="482"/>
              <w:rPr>
                <w:rFonts w:eastAsia="Calibri" w:cs="Arial"/>
                <w:color w:val="000000" w:themeColor="text1"/>
                <w:sz w:val="20"/>
              </w:rPr>
            </w:pPr>
            <w:r w:rsidRPr="003E171D">
              <w:rPr>
                <w:rFonts w:eastAsia="Calibri" w:cs="Arial"/>
                <w:color w:val="000000" w:themeColor="text1"/>
                <w:sz w:val="20"/>
              </w:rPr>
              <w:t>1.</w:t>
            </w:r>
          </w:p>
        </w:tc>
        <w:tc>
          <w:tcPr>
            <w:tcW w:w="1002" w:type="pct"/>
          </w:tcPr>
          <w:p w:rsidR="00386857" w:rsidRPr="003E171D" w:rsidRDefault="00386857" w:rsidP="008C12F0">
            <w:pPr>
              <w:rPr>
                <w:color w:val="000000" w:themeColor="text1"/>
                <w:sz w:val="20"/>
              </w:rPr>
            </w:pPr>
            <w:r w:rsidRPr="003E171D">
              <w:rPr>
                <w:color w:val="000000" w:themeColor="text1"/>
                <w:sz w:val="20"/>
              </w:rPr>
              <w:t>Alfred Nzo</w:t>
            </w:r>
          </w:p>
        </w:tc>
        <w:tc>
          <w:tcPr>
            <w:tcW w:w="766" w:type="pct"/>
          </w:tcPr>
          <w:p w:rsidR="00386857" w:rsidRPr="003E171D" w:rsidRDefault="00386857" w:rsidP="008C12F0">
            <w:pPr>
              <w:rPr>
                <w:color w:val="000000" w:themeColor="text1"/>
                <w:sz w:val="20"/>
              </w:rPr>
            </w:pPr>
            <w:proofErr w:type="spellStart"/>
            <w:r w:rsidRPr="003E171D">
              <w:rPr>
                <w:color w:val="000000" w:themeColor="text1"/>
                <w:sz w:val="20"/>
              </w:rPr>
              <w:t>Ixabiso</w:t>
            </w:r>
            <w:proofErr w:type="spellEnd"/>
            <w:r w:rsidRPr="003E171D">
              <w:rPr>
                <w:color w:val="000000" w:themeColor="text1"/>
                <w:sz w:val="20"/>
              </w:rPr>
              <w:t xml:space="preserve"> </w:t>
            </w:r>
            <w:proofErr w:type="spellStart"/>
            <w:r w:rsidRPr="003E171D">
              <w:rPr>
                <w:color w:val="000000" w:themeColor="text1"/>
                <w:sz w:val="20"/>
              </w:rPr>
              <w:t>Lomntu</w:t>
            </w:r>
            <w:proofErr w:type="spellEnd"/>
            <w:r w:rsidRPr="003E171D">
              <w:rPr>
                <w:color w:val="000000" w:themeColor="text1"/>
                <w:sz w:val="20"/>
              </w:rPr>
              <w:t xml:space="preserve"> Aids Awareness &amp; Home Base Care</w:t>
            </w:r>
          </w:p>
        </w:tc>
        <w:tc>
          <w:tcPr>
            <w:tcW w:w="924" w:type="pct"/>
          </w:tcPr>
          <w:p w:rsidR="00386857" w:rsidRPr="003E171D" w:rsidRDefault="00386857" w:rsidP="008C12F0">
            <w:pPr>
              <w:pStyle w:val="ListParagraph"/>
              <w:spacing w:before="100" w:beforeAutospacing="1" w:after="100" w:afterAutospacing="1" w:line="360" w:lineRule="auto"/>
              <w:ind w:left="0" w:right="482"/>
              <w:rPr>
                <w:rFonts w:eastAsia="Calibri" w:cs="Arial"/>
                <w:color w:val="000000" w:themeColor="text1"/>
                <w:sz w:val="20"/>
              </w:rPr>
            </w:pPr>
            <w:r w:rsidRPr="003E171D">
              <w:rPr>
                <w:rFonts w:eastAsia="Calibri" w:cs="Arial"/>
                <w:color w:val="000000" w:themeColor="text1"/>
                <w:sz w:val="20"/>
              </w:rPr>
              <w:t>R5,641.86</w:t>
            </w:r>
          </w:p>
        </w:tc>
        <w:tc>
          <w:tcPr>
            <w:tcW w:w="784" w:type="pct"/>
          </w:tcPr>
          <w:p w:rsidR="00386857" w:rsidRPr="003E171D" w:rsidRDefault="00386857" w:rsidP="008C12F0">
            <w:pPr>
              <w:pStyle w:val="ListParagraph"/>
              <w:spacing w:before="100" w:beforeAutospacing="1" w:after="100" w:afterAutospacing="1" w:line="360" w:lineRule="auto"/>
              <w:ind w:left="0" w:right="482"/>
              <w:rPr>
                <w:rFonts w:eastAsia="Calibri" w:cs="Arial"/>
                <w:color w:val="000000" w:themeColor="text1"/>
                <w:sz w:val="20"/>
              </w:rPr>
            </w:pPr>
            <w:r w:rsidRPr="003E171D">
              <w:rPr>
                <w:rFonts w:eastAsia="Calibri" w:cs="Arial"/>
                <w:color w:val="000000" w:themeColor="text1"/>
                <w:sz w:val="20"/>
              </w:rPr>
              <w:t>R0.00</w:t>
            </w:r>
          </w:p>
        </w:tc>
        <w:tc>
          <w:tcPr>
            <w:tcW w:w="924" w:type="pct"/>
          </w:tcPr>
          <w:p w:rsidR="00386857" w:rsidRPr="003E171D" w:rsidRDefault="00386857" w:rsidP="008C12F0">
            <w:pPr>
              <w:pStyle w:val="ListParagraph"/>
              <w:spacing w:before="100" w:beforeAutospacing="1" w:after="100" w:afterAutospacing="1" w:line="360" w:lineRule="auto"/>
              <w:ind w:left="0" w:right="482"/>
              <w:rPr>
                <w:rFonts w:eastAsia="Calibri" w:cs="Arial"/>
                <w:color w:val="000000" w:themeColor="text1"/>
                <w:sz w:val="20"/>
              </w:rPr>
            </w:pPr>
            <w:r w:rsidRPr="003E171D">
              <w:rPr>
                <w:rFonts w:eastAsia="Calibri" w:cs="Arial"/>
                <w:color w:val="000000" w:themeColor="text1"/>
                <w:sz w:val="20"/>
              </w:rPr>
              <w:t>R5,641.86</w:t>
            </w:r>
          </w:p>
        </w:tc>
      </w:tr>
      <w:tr w:rsidR="00386857" w:rsidRPr="003E171D" w:rsidTr="000C0A8A">
        <w:tc>
          <w:tcPr>
            <w:tcW w:w="600" w:type="pct"/>
          </w:tcPr>
          <w:p w:rsidR="00386857" w:rsidRPr="003E171D" w:rsidRDefault="00386857" w:rsidP="008C12F0">
            <w:pPr>
              <w:pStyle w:val="ListParagraph"/>
              <w:spacing w:before="100" w:beforeAutospacing="1" w:after="100" w:afterAutospacing="1" w:line="360" w:lineRule="auto"/>
              <w:ind w:left="0" w:right="482"/>
              <w:rPr>
                <w:rFonts w:eastAsia="Calibri" w:cs="Arial"/>
                <w:color w:val="000000" w:themeColor="text1"/>
                <w:sz w:val="20"/>
              </w:rPr>
            </w:pPr>
            <w:r w:rsidRPr="003E171D">
              <w:rPr>
                <w:rFonts w:eastAsia="Calibri" w:cs="Arial"/>
                <w:color w:val="000000" w:themeColor="text1"/>
                <w:sz w:val="20"/>
              </w:rPr>
              <w:t>2.</w:t>
            </w:r>
          </w:p>
        </w:tc>
        <w:tc>
          <w:tcPr>
            <w:tcW w:w="1002" w:type="pct"/>
          </w:tcPr>
          <w:p w:rsidR="00386857" w:rsidRPr="003E171D" w:rsidRDefault="00386857" w:rsidP="008C12F0">
            <w:pPr>
              <w:rPr>
                <w:color w:val="000000" w:themeColor="text1"/>
                <w:sz w:val="20"/>
              </w:rPr>
            </w:pPr>
            <w:r w:rsidRPr="003E171D">
              <w:rPr>
                <w:color w:val="000000" w:themeColor="text1"/>
                <w:sz w:val="20"/>
              </w:rPr>
              <w:t>Alfred Nzo</w:t>
            </w:r>
          </w:p>
        </w:tc>
        <w:tc>
          <w:tcPr>
            <w:tcW w:w="766" w:type="pct"/>
          </w:tcPr>
          <w:p w:rsidR="00386857" w:rsidRPr="003E171D" w:rsidRDefault="00386857" w:rsidP="008C12F0">
            <w:pPr>
              <w:rPr>
                <w:color w:val="000000" w:themeColor="text1"/>
                <w:sz w:val="20"/>
              </w:rPr>
            </w:pPr>
            <w:r w:rsidRPr="003E171D">
              <w:rPr>
                <w:color w:val="000000" w:themeColor="text1"/>
                <w:sz w:val="20"/>
              </w:rPr>
              <w:t>Mount Frere  Paralegal Advice Centre</w:t>
            </w:r>
          </w:p>
        </w:tc>
        <w:tc>
          <w:tcPr>
            <w:tcW w:w="924" w:type="pct"/>
          </w:tcPr>
          <w:p w:rsidR="00386857" w:rsidRPr="003E171D" w:rsidRDefault="00386857" w:rsidP="008C12F0">
            <w:pPr>
              <w:pStyle w:val="ListParagraph"/>
              <w:spacing w:before="100" w:beforeAutospacing="1" w:after="100" w:afterAutospacing="1" w:line="360" w:lineRule="auto"/>
              <w:ind w:left="0" w:right="482"/>
              <w:rPr>
                <w:rFonts w:eastAsia="Calibri" w:cs="Arial"/>
                <w:color w:val="000000" w:themeColor="text1"/>
                <w:sz w:val="20"/>
              </w:rPr>
            </w:pPr>
            <w:r w:rsidRPr="003E171D">
              <w:rPr>
                <w:rFonts w:eastAsia="Calibri" w:cs="Arial"/>
                <w:color w:val="000000" w:themeColor="text1"/>
                <w:sz w:val="20"/>
              </w:rPr>
              <w:t>R6,363.00</w:t>
            </w:r>
          </w:p>
        </w:tc>
        <w:tc>
          <w:tcPr>
            <w:tcW w:w="784" w:type="pct"/>
          </w:tcPr>
          <w:p w:rsidR="00386857" w:rsidRPr="003E171D" w:rsidRDefault="00386857" w:rsidP="008C12F0">
            <w:pPr>
              <w:pStyle w:val="ListParagraph"/>
              <w:spacing w:before="100" w:beforeAutospacing="1" w:after="100" w:afterAutospacing="1" w:line="360" w:lineRule="auto"/>
              <w:ind w:left="0" w:right="482"/>
              <w:rPr>
                <w:rFonts w:eastAsia="Calibri" w:cs="Arial"/>
                <w:color w:val="000000" w:themeColor="text1"/>
                <w:sz w:val="20"/>
              </w:rPr>
            </w:pPr>
            <w:r w:rsidRPr="003E171D">
              <w:rPr>
                <w:rFonts w:eastAsia="Calibri" w:cs="Arial"/>
                <w:color w:val="000000" w:themeColor="text1"/>
                <w:sz w:val="20"/>
              </w:rPr>
              <w:t>R0.00</w:t>
            </w:r>
          </w:p>
        </w:tc>
        <w:tc>
          <w:tcPr>
            <w:tcW w:w="924" w:type="pct"/>
          </w:tcPr>
          <w:p w:rsidR="00386857" w:rsidRPr="003E171D" w:rsidRDefault="00386857" w:rsidP="008C12F0">
            <w:pPr>
              <w:pStyle w:val="ListParagraph"/>
              <w:spacing w:before="100" w:beforeAutospacing="1" w:after="100" w:afterAutospacing="1" w:line="360" w:lineRule="auto"/>
              <w:ind w:left="0" w:right="482"/>
              <w:rPr>
                <w:rFonts w:eastAsia="Calibri" w:cs="Arial"/>
                <w:color w:val="000000" w:themeColor="text1"/>
                <w:sz w:val="20"/>
              </w:rPr>
            </w:pPr>
            <w:r w:rsidRPr="003E171D">
              <w:rPr>
                <w:rFonts w:eastAsia="Calibri" w:cs="Arial"/>
                <w:color w:val="000000" w:themeColor="text1"/>
                <w:sz w:val="20"/>
              </w:rPr>
              <w:t>R6,363.00</w:t>
            </w:r>
          </w:p>
        </w:tc>
      </w:tr>
      <w:tr w:rsidR="00386857" w:rsidRPr="003E171D" w:rsidTr="000C0A8A">
        <w:tc>
          <w:tcPr>
            <w:tcW w:w="600" w:type="pct"/>
          </w:tcPr>
          <w:p w:rsidR="00386857" w:rsidRPr="003E171D" w:rsidRDefault="00386857" w:rsidP="008C12F0">
            <w:pPr>
              <w:pStyle w:val="ListParagraph"/>
              <w:spacing w:before="100" w:beforeAutospacing="1" w:after="100" w:afterAutospacing="1" w:line="360" w:lineRule="auto"/>
              <w:ind w:left="0" w:right="482"/>
              <w:rPr>
                <w:rFonts w:eastAsia="Calibri" w:cs="Arial"/>
                <w:color w:val="000000" w:themeColor="text1"/>
                <w:sz w:val="20"/>
              </w:rPr>
            </w:pPr>
            <w:r w:rsidRPr="003E171D">
              <w:rPr>
                <w:rFonts w:eastAsia="Calibri" w:cs="Arial"/>
                <w:color w:val="000000" w:themeColor="text1"/>
                <w:sz w:val="20"/>
              </w:rPr>
              <w:t>3.</w:t>
            </w:r>
          </w:p>
        </w:tc>
        <w:tc>
          <w:tcPr>
            <w:tcW w:w="1002" w:type="pct"/>
          </w:tcPr>
          <w:p w:rsidR="00386857" w:rsidRPr="003E171D" w:rsidRDefault="00386857" w:rsidP="008C12F0">
            <w:pPr>
              <w:rPr>
                <w:color w:val="000000" w:themeColor="text1"/>
                <w:sz w:val="20"/>
              </w:rPr>
            </w:pPr>
            <w:proofErr w:type="spellStart"/>
            <w:r w:rsidRPr="003E171D">
              <w:rPr>
                <w:color w:val="000000" w:themeColor="text1"/>
                <w:sz w:val="20"/>
              </w:rPr>
              <w:t>Amathole</w:t>
            </w:r>
            <w:proofErr w:type="spellEnd"/>
          </w:p>
        </w:tc>
        <w:tc>
          <w:tcPr>
            <w:tcW w:w="766" w:type="pct"/>
          </w:tcPr>
          <w:p w:rsidR="00386857" w:rsidRPr="003E171D" w:rsidRDefault="00386857" w:rsidP="008C12F0">
            <w:pPr>
              <w:rPr>
                <w:color w:val="000000" w:themeColor="text1"/>
                <w:sz w:val="20"/>
              </w:rPr>
            </w:pPr>
            <w:proofErr w:type="spellStart"/>
            <w:r w:rsidRPr="003E171D">
              <w:rPr>
                <w:color w:val="000000" w:themeColor="text1"/>
                <w:sz w:val="20"/>
              </w:rPr>
              <w:t>Ubabalo</w:t>
            </w:r>
            <w:proofErr w:type="spellEnd"/>
            <w:r w:rsidRPr="003E171D">
              <w:rPr>
                <w:color w:val="000000" w:themeColor="text1"/>
                <w:sz w:val="20"/>
              </w:rPr>
              <w:t xml:space="preserve"> </w:t>
            </w:r>
            <w:proofErr w:type="spellStart"/>
            <w:r w:rsidRPr="003E171D">
              <w:rPr>
                <w:color w:val="000000" w:themeColor="text1"/>
                <w:sz w:val="20"/>
              </w:rPr>
              <w:t>Lusanele</w:t>
            </w:r>
            <w:proofErr w:type="spellEnd"/>
            <w:r w:rsidRPr="003E171D">
              <w:rPr>
                <w:color w:val="000000" w:themeColor="text1"/>
                <w:sz w:val="20"/>
              </w:rPr>
              <w:t xml:space="preserve"> Skills Centre</w:t>
            </w:r>
          </w:p>
        </w:tc>
        <w:tc>
          <w:tcPr>
            <w:tcW w:w="924" w:type="pct"/>
          </w:tcPr>
          <w:p w:rsidR="00386857" w:rsidRPr="003E171D" w:rsidRDefault="00386857" w:rsidP="008C12F0">
            <w:pPr>
              <w:pStyle w:val="ListParagraph"/>
              <w:spacing w:before="100" w:beforeAutospacing="1" w:after="100" w:afterAutospacing="1" w:line="360" w:lineRule="auto"/>
              <w:ind w:left="0" w:right="482"/>
              <w:rPr>
                <w:rFonts w:eastAsia="Calibri" w:cs="Arial"/>
                <w:color w:val="000000" w:themeColor="text1"/>
                <w:sz w:val="20"/>
              </w:rPr>
            </w:pPr>
            <w:r w:rsidRPr="003E171D">
              <w:rPr>
                <w:rFonts w:eastAsia="Calibri" w:cs="Arial"/>
                <w:color w:val="000000" w:themeColor="text1"/>
                <w:sz w:val="20"/>
              </w:rPr>
              <w:t>R5,641.86</w:t>
            </w:r>
          </w:p>
        </w:tc>
        <w:tc>
          <w:tcPr>
            <w:tcW w:w="784" w:type="pct"/>
          </w:tcPr>
          <w:p w:rsidR="00386857" w:rsidRPr="003E171D" w:rsidRDefault="00386857" w:rsidP="008C12F0">
            <w:pPr>
              <w:pStyle w:val="ListParagraph"/>
              <w:spacing w:before="100" w:beforeAutospacing="1" w:after="100" w:afterAutospacing="1" w:line="360" w:lineRule="auto"/>
              <w:ind w:left="0" w:right="482"/>
              <w:rPr>
                <w:rFonts w:eastAsia="Calibri" w:cs="Arial"/>
                <w:color w:val="000000" w:themeColor="text1"/>
                <w:sz w:val="20"/>
              </w:rPr>
            </w:pPr>
            <w:r w:rsidRPr="003E171D">
              <w:rPr>
                <w:rFonts w:eastAsia="Calibri" w:cs="Arial"/>
                <w:color w:val="000000" w:themeColor="text1"/>
                <w:sz w:val="20"/>
              </w:rPr>
              <w:t>R0.00</w:t>
            </w:r>
          </w:p>
        </w:tc>
        <w:tc>
          <w:tcPr>
            <w:tcW w:w="924" w:type="pct"/>
          </w:tcPr>
          <w:p w:rsidR="00386857" w:rsidRPr="003E171D" w:rsidRDefault="00386857" w:rsidP="008C12F0">
            <w:pPr>
              <w:pStyle w:val="ListParagraph"/>
              <w:spacing w:before="100" w:beforeAutospacing="1" w:after="100" w:afterAutospacing="1" w:line="360" w:lineRule="auto"/>
              <w:ind w:left="0" w:right="482"/>
              <w:rPr>
                <w:rFonts w:eastAsia="Calibri" w:cs="Arial"/>
                <w:color w:val="000000" w:themeColor="text1"/>
                <w:sz w:val="20"/>
              </w:rPr>
            </w:pPr>
            <w:r w:rsidRPr="003E171D">
              <w:rPr>
                <w:rFonts w:eastAsia="Calibri" w:cs="Arial"/>
                <w:color w:val="000000" w:themeColor="text1"/>
                <w:sz w:val="20"/>
              </w:rPr>
              <w:t>R5,641.86</w:t>
            </w:r>
          </w:p>
        </w:tc>
      </w:tr>
    </w:tbl>
    <w:p w:rsidR="00386857" w:rsidRDefault="00386857" w:rsidP="0013285F">
      <w:pPr>
        <w:spacing w:before="100" w:beforeAutospacing="1" w:after="100" w:afterAutospacing="1" w:line="360" w:lineRule="auto"/>
        <w:ind w:left="720" w:right="482"/>
        <w:contextualSpacing/>
        <w:jc w:val="left"/>
        <w:rPr>
          <w:rFonts w:eastAsia="Calibri" w:cs="Arial"/>
          <w:szCs w:val="22"/>
          <w:lang w:eastAsia="en-US"/>
        </w:rPr>
      </w:pPr>
    </w:p>
    <w:p w:rsidR="00D75D19" w:rsidRPr="008B4BEB" w:rsidRDefault="00D75D19" w:rsidP="008B4BEB">
      <w:pPr>
        <w:pStyle w:val="ListParagraph"/>
        <w:numPr>
          <w:ilvl w:val="0"/>
          <w:numId w:val="15"/>
        </w:numPr>
        <w:spacing w:line="360" w:lineRule="auto"/>
        <w:ind w:left="360"/>
        <w:rPr>
          <w:rFonts w:eastAsia="Calibri" w:cs="Arial"/>
          <w:color w:val="000000" w:themeColor="text1"/>
          <w:sz w:val="24"/>
          <w:szCs w:val="24"/>
          <w:lang w:val="en-US" w:eastAsia="en-US"/>
        </w:rPr>
      </w:pPr>
      <w:proofErr w:type="gramStart"/>
      <w:r w:rsidRPr="008B4BEB">
        <w:rPr>
          <w:rFonts w:eastAsia="Calibri" w:cs="Arial"/>
          <w:color w:val="000000" w:themeColor="text1"/>
          <w:sz w:val="24"/>
          <w:szCs w:val="24"/>
          <w:lang w:val="en-US" w:eastAsia="en-US"/>
        </w:rPr>
        <w:t xml:space="preserve">Payment </w:t>
      </w:r>
      <w:r w:rsidR="000C0A8A" w:rsidRPr="008B4BEB">
        <w:rPr>
          <w:rFonts w:eastAsia="Calibri" w:cs="Arial"/>
          <w:color w:val="000000" w:themeColor="text1"/>
          <w:sz w:val="24"/>
          <w:szCs w:val="24"/>
          <w:lang w:val="en-US" w:eastAsia="en-US"/>
        </w:rPr>
        <w:t>of stipends/wages to the NPOs are</w:t>
      </w:r>
      <w:proofErr w:type="gramEnd"/>
      <w:r w:rsidRPr="008B4BEB">
        <w:rPr>
          <w:rFonts w:eastAsia="Calibri" w:cs="Arial"/>
          <w:color w:val="000000" w:themeColor="text1"/>
          <w:sz w:val="24"/>
          <w:szCs w:val="24"/>
          <w:lang w:val="en-US" w:eastAsia="en-US"/>
        </w:rPr>
        <w:t xml:space="preserve"> not made in advance.</w:t>
      </w:r>
      <w:r w:rsidR="000C0A8A" w:rsidRPr="008B4BEB">
        <w:rPr>
          <w:rFonts w:eastAsia="Calibri" w:cs="Arial"/>
          <w:color w:val="000000" w:themeColor="text1"/>
          <w:sz w:val="24"/>
          <w:szCs w:val="24"/>
          <w:lang w:val="en-US" w:eastAsia="en-US"/>
        </w:rPr>
        <w:t xml:space="preserve"> The payments to</w:t>
      </w:r>
      <w:r w:rsidRPr="008B4BEB">
        <w:rPr>
          <w:rFonts w:eastAsia="Calibri" w:cs="Arial"/>
          <w:color w:val="000000" w:themeColor="text1"/>
          <w:sz w:val="24"/>
          <w:szCs w:val="24"/>
          <w:lang w:val="en-US" w:eastAsia="en-US"/>
        </w:rPr>
        <w:t xml:space="preserve"> NPOs </w:t>
      </w:r>
      <w:r w:rsidR="000C0A8A" w:rsidRPr="008B4BEB">
        <w:rPr>
          <w:rFonts w:eastAsia="Calibri" w:cs="Arial"/>
          <w:color w:val="000000" w:themeColor="text1"/>
          <w:sz w:val="24"/>
          <w:szCs w:val="24"/>
          <w:lang w:val="en-US" w:eastAsia="en-US"/>
        </w:rPr>
        <w:t xml:space="preserve">for participants stipends are based on </w:t>
      </w:r>
      <w:r w:rsidRPr="008B4BEB">
        <w:rPr>
          <w:rFonts w:eastAsia="Calibri" w:cs="Arial"/>
          <w:color w:val="000000" w:themeColor="text1"/>
          <w:sz w:val="24"/>
          <w:szCs w:val="24"/>
          <w:lang w:val="en-US" w:eastAsia="en-US"/>
        </w:rPr>
        <w:t>claim</w:t>
      </w:r>
      <w:r w:rsidR="000C0A8A" w:rsidRPr="008B4BEB">
        <w:rPr>
          <w:rFonts w:eastAsia="Calibri" w:cs="Arial"/>
          <w:color w:val="000000" w:themeColor="text1"/>
          <w:sz w:val="24"/>
          <w:szCs w:val="24"/>
          <w:lang w:val="en-US" w:eastAsia="en-US"/>
        </w:rPr>
        <w:t>s submitted to the IDT</w:t>
      </w:r>
      <w:r w:rsidRPr="008B4BEB">
        <w:rPr>
          <w:rFonts w:eastAsia="Calibri" w:cs="Arial"/>
          <w:color w:val="000000" w:themeColor="text1"/>
          <w:sz w:val="24"/>
          <w:szCs w:val="24"/>
          <w:lang w:val="en-US" w:eastAsia="en-US"/>
        </w:rPr>
        <w:t xml:space="preserve"> for the work done </w:t>
      </w:r>
      <w:r w:rsidR="000C0A8A" w:rsidRPr="008B4BEB">
        <w:rPr>
          <w:rFonts w:eastAsia="Calibri" w:cs="Arial"/>
          <w:color w:val="000000" w:themeColor="text1"/>
          <w:sz w:val="24"/>
          <w:szCs w:val="24"/>
          <w:lang w:val="en-US" w:eastAsia="en-US"/>
        </w:rPr>
        <w:t>supported by</w:t>
      </w:r>
      <w:r w:rsidRPr="008B4BEB">
        <w:rPr>
          <w:rFonts w:eastAsia="Calibri" w:cs="Arial"/>
          <w:color w:val="000000" w:themeColor="text1"/>
          <w:sz w:val="24"/>
          <w:szCs w:val="24"/>
          <w:lang w:val="en-US" w:eastAsia="en-US"/>
        </w:rPr>
        <w:t xml:space="preserve"> attendance registers. </w:t>
      </w:r>
    </w:p>
    <w:p w:rsidR="00A45F45" w:rsidRPr="008B4BEB" w:rsidRDefault="00A45F45" w:rsidP="00A45F45">
      <w:pPr>
        <w:pStyle w:val="ListParagraph"/>
        <w:spacing w:line="360" w:lineRule="auto"/>
        <w:rPr>
          <w:rFonts w:eastAsia="Calibri" w:cs="Arial"/>
          <w:color w:val="000000" w:themeColor="text1"/>
          <w:sz w:val="24"/>
          <w:szCs w:val="24"/>
          <w:lang w:val="en-US" w:eastAsia="en-US"/>
        </w:rPr>
      </w:pPr>
    </w:p>
    <w:p w:rsidR="00D75D19" w:rsidRPr="008B4BEB" w:rsidRDefault="00D75D19" w:rsidP="007B6C92">
      <w:pPr>
        <w:pStyle w:val="ListParagraph"/>
        <w:numPr>
          <w:ilvl w:val="0"/>
          <w:numId w:val="17"/>
        </w:numPr>
        <w:spacing w:line="360" w:lineRule="auto"/>
        <w:ind w:left="900" w:hanging="540"/>
        <w:rPr>
          <w:rFonts w:eastAsia="Calibri" w:cs="Arial"/>
          <w:color w:val="000000" w:themeColor="text1"/>
          <w:sz w:val="24"/>
          <w:szCs w:val="24"/>
          <w:lang w:val="en-US" w:eastAsia="en-US"/>
        </w:rPr>
      </w:pPr>
      <w:r w:rsidRPr="008B4BEB">
        <w:rPr>
          <w:rFonts w:eastAsia="Calibri" w:cs="Arial"/>
          <w:color w:val="000000" w:themeColor="text1"/>
          <w:sz w:val="24"/>
          <w:szCs w:val="24"/>
          <w:lang w:val="en-US" w:eastAsia="en-US"/>
        </w:rPr>
        <w:t xml:space="preserve">The issue of excess monies does not apply in the </w:t>
      </w:r>
      <w:r w:rsidR="00B50F81" w:rsidRPr="008B4BEB">
        <w:rPr>
          <w:rFonts w:eastAsia="Calibri" w:cs="Arial"/>
          <w:color w:val="000000" w:themeColor="text1"/>
          <w:sz w:val="24"/>
          <w:szCs w:val="24"/>
          <w:lang w:val="en-US" w:eastAsia="en-US"/>
        </w:rPr>
        <w:t xml:space="preserve">NSS </w:t>
      </w:r>
      <w:r w:rsidRPr="008B4BEB">
        <w:rPr>
          <w:rFonts w:eastAsia="Calibri" w:cs="Arial"/>
          <w:color w:val="000000" w:themeColor="text1"/>
          <w:sz w:val="24"/>
          <w:szCs w:val="24"/>
          <w:lang w:val="en-US" w:eastAsia="en-US"/>
        </w:rPr>
        <w:t>NPO</w:t>
      </w:r>
      <w:r w:rsidR="00B50F81" w:rsidRPr="008B4BEB">
        <w:rPr>
          <w:rFonts w:eastAsia="Calibri" w:cs="Arial"/>
          <w:color w:val="000000" w:themeColor="text1"/>
          <w:sz w:val="24"/>
          <w:szCs w:val="24"/>
          <w:lang w:val="en-US" w:eastAsia="en-US"/>
        </w:rPr>
        <w:t>s</w:t>
      </w:r>
      <w:r w:rsidRPr="008B4BEB">
        <w:rPr>
          <w:rFonts w:eastAsia="Calibri" w:cs="Arial"/>
          <w:color w:val="000000" w:themeColor="text1"/>
          <w:sz w:val="24"/>
          <w:szCs w:val="24"/>
          <w:lang w:val="en-US" w:eastAsia="en-US"/>
        </w:rPr>
        <w:t xml:space="preserve"> </w:t>
      </w:r>
      <w:proofErr w:type="spellStart"/>
      <w:r w:rsidRPr="008B4BEB">
        <w:rPr>
          <w:rFonts w:eastAsia="Calibri" w:cs="Arial"/>
          <w:color w:val="000000" w:themeColor="text1"/>
          <w:sz w:val="24"/>
          <w:szCs w:val="24"/>
          <w:lang w:val="en-US" w:eastAsia="en-US"/>
        </w:rPr>
        <w:t>programme</w:t>
      </w:r>
      <w:proofErr w:type="spellEnd"/>
      <w:r w:rsidR="00B50F81" w:rsidRPr="008B4BEB">
        <w:rPr>
          <w:rFonts w:eastAsia="Calibri" w:cs="Arial"/>
          <w:color w:val="000000" w:themeColor="text1"/>
          <w:sz w:val="24"/>
          <w:szCs w:val="24"/>
          <w:lang w:val="en-US" w:eastAsia="en-US"/>
        </w:rPr>
        <w:t>, as</w:t>
      </w:r>
      <w:r w:rsidRPr="008B4BEB">
        <w:rPr>
          <w:rFonts w:eastAsia="Calibri" w:cs="Arial"/>
          <w:color w:val="000000" w:themeColor="text1"/>
          <w:sz w:val="24"/>
          <w:szCs w:val="24"/>
          <w:lang w:val="en-US" w:eastAsia="en-US"/>
        </w:rPr>
        <w:t xml:space="preserve"> payment</w:t>
      </w:r>
      <w:r w:rsidR="00B50F81" w:rsidRPr="008B4BEB">
        <w:rPr>
          <w:rFonts w:eastAsia="Calibri" w:cs="Arial"/>
          <w:color w:val="000000" w:themeColor="text1"/>
          <w:sz w:val="24"/>
          <w:szCs w:val="24"/>
          <w:lang w:val="en-US" w:eastAsia="en-US"/>
        </w:rPr>
        <w:t>s</w:t>
      </w:r>
      <w:r w:rsidRPr="008B4BEB">
        <w:rPr>
          <w:rFonts w:eastAsia="Calibri" w:cs="Arial"/>
          <w:color w:val="000000" w:themeColor="text1"/>
          <w:sz w:val="24"/>
          <w:szCs w:val="24"/>
          <w:lang w:val="en-US" w:eastAsia="en-US"/>
        </w:rPr>
        <w:t xml:space="preserve"> of stipends</w:t>
      </w:r>
      <w:r w:rsidR="00B50F81" w:rsidRPr="008B4BEB">
        <w:rPr>
          <w:rFonts w:eastAsia="Calibri" w:cs="Arial"/>
          <w:color w:val="000000" w:themeColor="text1"/>
          <w:sz w:val="24"/>
          <w:szCs w:val="24"/>
          <w:lang w:val="en-US" w:eastAsia="en-US"/>
        </w:rPr>
        <w:t>/wages are</w:t>
      </w:r>
      <w:r w:rsidRPr="008B4BEB">
        <w:rPr>
          <w:rFonts w:eastAsia="Calibri" w:cs="Arial"/>
          <w:color w:val="000000" w:themeColor="text1"/>
          <w:sz w:val="24"/>
          <w:szCs w:val="24"/>
          <w:lang w:val="en-US" w:eastAsia="en-US"/>
        </w:rPr>
        <w:t xml:space="preserve"> made on the basis of submission of the invoices which are supported by the attendance registers.</w:t>
      </w:r>
    </w:p>
    <w:p w:rsidR="00D75D19" w:rsidRPr="008B4BEB" w:rsidRDefault="00B50F81" w:rsidP="007B6C92">
      <w:pPr>
        <w:pStyle w:val="ListParagraph"/>
        <w:numPr>
          <w:ilvl w:val="0"/>
          <w:numId w:val="17"/>
        </w:numPr>
        <w:tabs>
          <w:tab w:val="left" w:pos="990"/>
        </w:tabs>
        <w:spacing w:line="360" w:lineRule="auto"/>
        <w:ind w:left="900" w:hanging="540"/>
        <w:rPr>
          <w:rFonts w:eastAsia="Calibri" w:cs="Arial"/>
          <w:color w:val="000000" w:themeColor="text1"/>
          <w:sz w:val="24"/>
          <w:szCs w:val="24"/>
          <w:lang w:val="en-US" w:eastAsia="en-US"/>
        </w:rPr>
      </w:pPr>
      <w:r w:rsidRPr="008B4BEB">
        <w:rPr>
          <w:rFonts w:eastAsia="Calibri" w:cs="Arial"/>
          <w:color w:val="000000" w:themeColor="text1"/>
          <w:sz w:val="24"/>
          <w:szCs w:val="24"/>
          <w:lang w:val="en-US" w:eastAsia="en-US"/>
        </w:rPr>
        <w:t>Calculations for payments held by NPOs on</w:t>
      </w:r>
      <w:r w:rsidR="00D75D19" w:rsidRPr="008B4BEB">
        <w:rPr>
          <w:rFonts w:eastAsia="Calibri" w:cs="Arial"/>
          <w:color w:val="000000" w:themeColor="text1"/>
          <w:sz w:val="24"/>
          <w:szCs w:val="24"/>
          <w:lang w:val="en-US" w:eastAsia="en-US"/>
        </w:rPr>
        <w:t xml:space="preserve"> outstanding stipends/wages do not apply in the NPO</w:t>
      </w:r>
      <w:r w:rsidRPr="008B4BEB">
        <w:rPr>
          <w:rFonts w:eastAsia="Calibri" w:cs="Arial"/>
          <w:color w:val="000000" w:themeColor="text1"/>
          <w:sz w:val="24"/>
          <w:szCs w:val="24"/>
          <w:lang w:val="en-US" w:eastAsia="en-US"/>
        </w:rPr>
        <w:t>s</w:t>
      </w:r>
      <w:r w:rsidR="00D75D19" w:rsidRPr="008B4BEB">
        <w:rPr>
          <w:rFonts w:eastAsia="Calibri" w:cs="Arial"/>
          <w:color w:val="000000" w:themeColor="text1"/>
          <w:sz w:val="24"/>
          <w:szCs w:val="24"/>
          <w:lang w:val="en-US" w:eastAsia="en-US"/>
        </w:rPr>
        <w:t xml:space="preserve"> </w:t>
      </w:r>
      <w:proofErr w:type="spellStart"/>
      <w:r w:rsidR="00D75D19" w:rsidRPr="008B4BEB">
        <w:rPr>
          <w:rFonts w:eastAsia="Calibri" w:cs="Arial"/>
          <w:color w:val="000000" w:themeColor="text1"/>
          <w:sz w:val="24"/>
          <w:szCs w:val="24"/>
          <w:lang w:val="en-US" w:eastAsia="en-US"/>
        </w:rPr>
        <w:t>programme</w:t>
      </w:r>
      <w:proofErr w:type="spellEnd"/>
      <w:r w:rsidRPr="008B4BEB">
        <w:rPr>
          <w:rFonts w:eastAsia="Calibri" w:cs="Arial"/>
          <w:color w:val="000000" w:themeColor="text1"/>
          <w:sz w:val="24"/>
          <w:szCs w:val="24"/>
          <w:lang w:val="en-US" w:eastAsia="en-US"/>
        </w:rPr>
        <w:t xml:space="preserve">, as there are no advance payments made in the </w:t>
      </w:r>
      <w:proofErr w:type="spellStart"/>
      <w:r w:rsidRPr="008B4BEB">
        <w:rPr>
          <w:rFonts w:eastAsia="Calibri" w:cs="Arial"/>
          <w:color w:val="000000" w:themeColor="text1"/>
          <w:sz w:val="24"/>
          <w:szCs w:val="24"/>
          <w:lang w:val="en-US" w:eastAsia="en-US"/>
        </w:rPr>
        <w:t>programme</w:t>
      </w:r>
      <w:proofErr w:type="spellEnd"/>
      <w:r w:rsidR="00D75D19" w:rsidRPr="008B4BEB">
        <w:rPr>
          <w:rFonts w:eastAsia="Calibri" w:cs="Arial"/>
          <w:color w:val="000000" w:themeColor="text1"/>
          <w:sz w:val="24"/>
          <w:szCs w:val="24"/>
          <w:lang w:val="en-US" w:eastAsia="en-US"/>
        </w:rPr>
        <w:t>.</w:t>
      </w:r>
    </w:p>
    <w:p w:rsidR="00F84D79" w:rsidRPr="00F84D79" w:rsidRDefault="000B0BB2" w:rsidP="00F84D79">
      <w:pPr>
        <w:pStyle w:val="ListParagraph"/>
        <w:numPr>
          <w:ilvl w:val="0"/>
          <w:numId w:val="17"/>
        </w:numPr>
        <w:spacing w:before="100" w:beforeAutospacing="1" w:after="100" w:afterAutospacing="1" w:line="360" w:lineRule="auto"/>
        <w:ind w:left="900" w:right="482" w:hanging="540"/>
        <w:rPr>
          <w:rFonts w:eastAsia="Calibri" w:cs="Arial"/>
          <w:color w:val="000000" w:themeColor="text1"/>
          <w:szCs w:val="22"/>
          <w:lang w:val="en-US" w:eastAsia="en-US"/>
        </w:rPr>
      </w:pPr>
      <w:r w:rsidRPr="008B4BEB">
        <w:rPr>
          <w:rFonts w:eastAsia="Calibri" w:cs="Arial"/>
          <w:color w:val="000000" w:themeColor="text1"/>
          <w:sz w:val="24"/>
          <w:szCs w:val="24"/>
          <w:lang w:val="en-US" w:eastAsia="en-US"/>
        </w:rPr>
        <w:t>Yes</w:t>
      </w:r>
      <w:r w:rsidR="007B6C92">
        <w:rPr>
          <w:rFonts w:eastAsia="Calibri" w:cs="Arial"/>
          <w:color w:val="000000" w:themeColor="text1"/>
          <w:sz w:val="24"/>
          <w:szCs w:val="24"/>
          <w:lang w:val="en-US" w:eastAsia="en-US"/>
        </w:rPr>
        <w:t>,</w:t>
      </w:r>
      <w:r w:rsidRPr="008B4BEB">
        <w:rPr>
          <w:rFonts w:eastAsia="Calibri" w:cs="Arial"/>
          <w:color w:val="000000" w:themeColor="text1"/>
          <w:sz w:val="24"/>
          <w:szCs w:val="24"/>
          <w:lang w:val="en-US" w:eastAsia="en-US"/>
        </w:rPr>
        <w:t xml:space="preserve"> there are records of projected expenditure and actual expenditure for each NPO kept. </w:t>
      </w:r>
      <w:r w:rsidR="00B50F81" w:rsidRPr="008B4BEB">
        <w:rPr>
          <w:rFonts w:eastAsia="Calibri" w:cs="Arial"/>
          <w:color w:val="000000" w:themeColor="text1"/>
          <w:sz w:val="24"/>
          <w:szCs w:val="24"/>
          <w:lang w:val="en-US" w:eastAsia="en-US"/>
        </w:rPr>
        <w:t xml:space="preserve">Upon contracting, NPOs are allocated a budget based on </w:t>
      </w:r>
      <w:r w:rsidR="00B50F81" w:rsidRPr="008B4BEB">
        <w:rPr>
          <w:rFonts w:eastAsia="Calibri" w:cs="Arial"/>
          <w:color w:val="000000" w:themeColor="text1"/>
          <w:sz w:val="24"/>
          <w:szCs w:val="24"/>
          <w:lang w:val="en-US" w:eastAsia="en-US"/>
        </w:rPr>
        <w:lastRenderedPageBreak/>
        <w:t xml:space="preserve">the number of participants they should contract against the number of work days included in the contract. </w:t>
      </w:r>
      <w:r w:rsidR="007B6C92">
        <w:rPr>
          <w:rFonts w:eastAsia="Calibri" w:cs="Arial"/>
          <w:color w:val="000000" w:themeColor="text1"/>
          <w:sz w:val="24"/>
          <w:szCs w:val="24"/>
          <w:lang w:val="en-US" w:eastAsia="en-US"/>
        </w:rPr>
        <w:t xml:space="preserve"> </w:t>
      </w:r>
      <w:r w:rsidR="00B50F81" w:rsidRPr="008B4BEB">
        <w:rPr>
          <w:rFonts w:eastAsia="Calibri" w:cs="Arial"/>
          <w:color w:val="000000" w:themeColor="text1"/>
          <w:sz w:val="24"/>
          <w:szCs w:val="24"/>
          <w:lang w:val="en-US" w:eastAsia="en-US"/>
        </w:rPr>
        <w:t xml:space="preserve">From this information, the IDT is able to project monthly </w:t>
      </w:r>
      <w:r w:rsidR="00D75D19" w:rsidRPr="008B4BEB">
        <w:rPr>
          <w:rFonts w:eastAsia="Calibri" w:cs="Arial"/>
          <w:color w:val="000000" w:themeColor="text1"/>
          <w:sz w:val="24"/>
          <w:szCs w:val="24"/>
          <w:lang w:val="en-US" w:eastAsia="en-US"/>
        </w:rPr>
        <w:t>expenditure</w:t>
      </w:r>
      <w:r w:rsidR="00B50F81" w:rsidRPr="008B4BEB">
        <w:rPr>
          <w:rFonts w:eastAsia="Calibri" w:cs="Arial"/>
          <w:color w:val="000000" w:themeColor="text1"/>
          <w:sz w:val="24"/>
          <w:szCs w:val="24"/>
          <w:lang w:val="en-US" w:eastAsia="en-US"/>
        </w:rPr>
        <w:t xml:space="preserve"> for each NPO prior. </w:t>
      </w:r>
      <w:r w:rsidRPr="008B4BEB">
        <w:rPr>
          <w:rFonts w:eastAsia="Calibri" w:cs="Arial"/>
          <w:color w:val="000000" w:themeColor="text1"/>
          <w:sz w:val="24"/>
          <w:szCs w:val="24"/>
          <w:lang w:val="en-US" w:eastAsia="en-US"/>
        </w:rPr>
        <w:t xml:space="preserve"> For actual expenditure of projects, </w:t>
      </w:r>
      <w:r w:rsidR="00B50F81" w:rsidRPr="008B4BEB">
        <w:rPr>
          <w:rFonts w:eastAsia="Calibri" w:cs="Arial"/>
          <w:color w:val="000000" w:themeColor="text1"/>
          <w:sz w:val="24"/>
          <w:szCs w:val="24"/>
          <w:lang w:val="en-US" w:eastAsia="en-US"/>
        </w:rPr>
        <w:t xml:space="preserve">NPOs are also expected to submit invoices on monthly basis before payments can be done. </w:t>
      </w:r>
      <w:r w:rsidR="007B6C92">
        <w:rPr>
          <w:rFonts w:eastAsia="Calibri" w:cs="Arial"/>
          <w:color w:val="000000" w:themeColor="text1"/>
          <w:sz w:val="24"/>
          <w:szCs w:val="24"/>
          <w:lang w:val="en-US" w:eastAsia="en-US"/>
        </w:rPr>
        <w:t xml:space="preserve"> </w:t>
      </w:r>
    </w:p>
    <w:p w:rsidR="00F84D79" w:rsidRPr="00F84D79" w:rsidRDefault="00F84D79" w:rsidP="00F84D79">
      <w:pPr>
        <w:spacing w:before="100" w:beforeAutospacing="1" w:after="100" w:afterAutospacing="1" w:line="360" w:lineRule="auto"/>
        <w:ind w:right="482"/>
        <w:rPr>
          <w:rFonts w:eastAsia="Calibri" w:cs="Arial"/>
          <w:color w:val="000000" w:themeColor="text1"/>
          <w:szCs w:val="22"/>
          <w:lang w:val="en-US" w:eastAsia="en-US"/>
        </w:rPr>
      </w:pPr>
      <w:bookmarkStart w:id="0" w:name="_GoBack"/>
      <w:bookmarkEnd w:id="0"/>
    </w:p>
    <w:p w:rsidR="00D75D19" w:rsidRPr="00F84D79" w:rsidRDefault="000B0BB2" w:rsidP="00F84D79">
      <w:pPr>
        <w:pStyle w:val="ListParagraph"/>
        <w:spacing w:before="100" w:beforeAutospacing="1" w:after="100" w:afterAutospacing="1" w:line="360" w:lineRule="auto"/>
        <w:ind w:left="900" w:right="482"/>
        <w:rPr>
          <w:rFonts w:eastAsia="Calibri" w:cs="Arial"/>
          <w:color w:val="000000" w:themeColor="text1"/>
          <w:szCs w:val="22"/>
          <w:lang w:val="en-US" w:eastAsia="en-US"/>
        </w:rPr>
      </w:pPr>
      <w:r w:rsidRPr="00F84D79">
        <w:rPr>
          <w:rFonts w:eastAsia="Calibri" w:cs="Arial"/>
          <w:color w:val="000000" w:themeColor="text1"/>
          <w:szCs w:val="22"/>
          <w:lang w:val="en-US" w:eastAsia="en-US"/>
        </w:rPr>
        <w:t>4)</w:t>
      </w:r>
      <w:r w:rsidRPr="00F84D79">
        <w:rPr>
          <w:rFonts w:eastAsia="Calibri" w:cs="Arial"/>
          <w:color w:val="000000" w:themeColor="text1"/>
          <w:szCs w:val="22"/>
          <w:lang w:val="en-US" w:eastAsia="en-US"/>
        </w:rPr>
        <w:tab/>
      </w:r>
      <w:r w:rsidR="009F07AE" w:rsidRPr="00F84D79">
        <w:rPr>
          <w:rFonts w:eastAsia="Calibri" w:cs="Arial"/>
          <w:color w:val="000000" w:themeColor="text1"/>
          <w:szCs w:val="22"/>
          <w:lang w:val="en-US" w:eastAsia="en-US"/>
        </w:rPr>
        <w:t xml:space="preserve">It takes 14 days to process the invoice of the NPO provided there are no corrections needed to be made by the NPO. </w:t>
      </w:r>
      <w:r w:rsidR="007B6C92" w:rsidRPr="00F84D79">
        <w:rPr>
          <w:rFonts w:eastAsia="Calibri" w:cs="Arial"/>
          <w:color w:val="000000" w:themeColor="text1"/>
          <w:szCs w:val="22"/>
          <w:lang w:val="en-US" w:eastAsia="en-US"/>
        </w:rPr>
        <w:t xml:space="preserve"> </w:t>
      </w:r>
      <w:r w:rsidR="009F07AE" w:rsidRPr="00F84D79">
        <w:rPr>
          <w:rFonts w:eastAsia="Calibri" w:cs="Arial"/>
          <w:color w:val="000000" w:themeColor="text1"/>
          <w:szCs w:val="22"/>
          <w:lang w:val="en-US" w:eastAsia="en-US"/>
        </w:rPr>
        <w:t xml:space="preserve">The NPO invoice payment will exceed 14 days in cases where the NPOs have to make corrections. </w:t>
      </w:r>
      <w:r w:rsidR="007B6C92" w:rsidRPr="00F84D79">
        <w:rPr>
          <w:rFonts w:eastAsia="Calibri" w:cs="Arial"/>
          <w:color w:val="000000" w:themeColor="text1"/>
          <w:szCs w:val="22"/>
          <w:lang w:val="en-US" w:eastAsia="en-US"/>
        </w:rPr>
        <w:t xml:space="preserve"> </w:t>
      </w:r>
      <w:r w:rsidR="009F07AE" w:rsidRPr="00F84D79">
        <w:rPr>
          <w:rFonts w:eastAsia="Calibri" w:cs="Arial"/>
          <w:color w:val="000000" w:themeColor="text1"/>
          <w:szCs w:val="22"/>
          <w:lang w:val="en-US" w:eastAsia="en-US"/>
        </w:rPr>
        <w:t xml:space="preserve">The turn-around time for payment depends on the speed of correction of the invoice by the NPOs. </w:t>
      </w:r>
      <w:r w:rsidR="007B6C92" w:rsidRPr="00F84D79">
        <w:rPr>
          <w:rFonts w:eastAsia="Calibri" w:cs="Arial"/>
          <w:color w:val="000000" w:themeColor="text1"/>
          <w:szCs w:val="22"/>
          <w:lang w:val="en-US" w:eastAsia="en-US"/>
        </w:rPr>
        <w:t xml:space="preserve"> </w:t>
      </w:r>
      <w:r w:rsidR="009F07AE" w:rsidRPr="00F84D79">
        <w:rPr>
          <w:rFonts w:eastAsia="Calibri" w:cs="Arial"/>
          <w:color w:val="000000" w:themeColor="text1"/>
          <w:szCs w:val="22"/>
          <w:lang w:val="en-US" w:eastAsia="en-US"/>
        </w:rPr>
        <w:t>This varies from NPO-to-NPO. The IDT does not pay the NPO until all corrections / queries have been addressed.</w:t>
      </w:r>
    </w:p>
    <w:p w:rsidR="00B56D84" w:rsidRPr="00B56D84" w:rsidRDefault="00B56D84" w:rsidP="00B56D84">
      <w:pPr>
        <w:spacing w:line="360" w:lineRule="auto"/>
        <w:rPr>
          <w:b/>
          <w:bCs/>
          <w:sz w:val="24"/>
          <w:szCs w:val="24"/>
        </w:rPr>
      </w:pPr>
    </w:p>
    <w:sectPr w:rsidR="00B56D84" w:rsidRPr="00B56D84" w:rsidSect="00E269FD">
      <w:headerReference w:type="default" r:id="rId10"/>
      <w:footerReference w:type="default" r:id="rId11"/>
      <w:pgSz w:w="12240" w:h="15840"/>
      <w:pgMar w:top="850" w:right="1181" w:bottom="907" w:left="1526" w:header="403"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DBC" w:rsidRDefault="00E51DBC" w:rsidP="00B01072">
      <w:r>
        <w:separator/>
      </w:r>
    </w:p>
  </w:endnote>
  <w:endnote w:type="continuationSeparator" w:id="0">
    <w:p w:rsidR="00E51DBC" w:rsidRDefault="00E51DBC"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5153CB">
      <w:rPr>
        <w:rFonts w:eastAsiaTheme="majorEastAsia" w:cs="Arial"/>
        <w:b/>
        <w:sz w:val="18"/>
        <w:szCs w:val="18"/>
      </w:rPr>
      <w:t>NO. 222</w:t>
    </w:r>
    <w:r w:rsidR="00200E04" w:rsidRPr="00200E04">
      <w:rPr>
        <w:rFonts w:eastAsiaTheme="majorEastAsia" w:cs="Arial"/>
        <w:b/>
        <w:sz w:val="18"/>
        <w:szCs w:val="18"/>
      </w:rPr>
      <w:t xml:space="preserve"> (Written</w:t>
    </w:r>
    <w:r w:rsidR="00A70A56">
      <w:rPr>
        <w:rFonts w:eastAsiaTheme="majorEastAsia" w:cs="Arial"/>
        <w:b/>
        <w:sz w:val="18"/>
        <w:szCs w:val="18"/>
      </w:rPr>
      <w:t>)</w:t>
    </w:r>
    <w:r w:rsidR="004C0C86" w:rsidRPr="004C0C86">
      <w:t xml:space="preserve"> </w:t>
    </w:r>
    <w:r w:rsidR="00AE698B" w:rsidRPr="00AE698B">
      <w:rPr>
        <w:rFonts w:eastAsiaTheme="majorEastAsia" w:cs="Arial"/>
        <w:b/>
        <w:sz w:val="18"/>
        <w:szCs w:val="18"/>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3C2A00" w:rsidRPr="003C2A00">
      <w:rPr>
        <w:rFonts w:eastAsiaTheme="minorEastAsia" w:cs="Arial"/>
        <w:b/>
        <w:sz w:val="18"/>
        <w:szCs w:val="18"/>
      </w:rPr>
      <w:fldChar w:fldCharType="begin"/>
    </w:r>
    <w:r w:rsidRPr="00E66692">
      <w:rPr>
        <w:rFonts w:cs="Arial"/>
        <w:b/>
        <w:sz w:val="18"/>
        <w:szCs w:val="18"/>
      </w:rPr>
      <w:instrText xml:space="preserve"> PAGE   \* MERGEFORMAT </w:instrText>
    </w:r>
    <w:r w:rsidR="003C2A00" w:rsidRPr="003C2A00">
      <w:rPr>
        <w:rFonts w:eastAsiaTheme="minorEastAsia" w:cs="Arial"/>
        <w:b/>
        <w:sz w:val="18"/>
        <w:szCs w:val="18"/>
      </w:rPr>
      <w:fldChar w:fldCharType="separate"/>
    </w:r>
    <w:r w:rsidR="00E27B5A" w:rsidRPr="00E27B5A">
      <w:rPr>
        <w:rFonts w:eastAsiaTheme="majorEastAsia" w:cs="Arial"/>
        <w:b/>
        <w:noProof/>
        <w:sz w:val="18"/>
        <w:szCs w:val="18"/>
      </w:rPr>
      <w:t>1</w:t>
    </w:r>
    <w:r w:rsidR="003C2A00" w:rsidRPr="00E66692">
      <w:rPr>
        <w:rFonts w:eastAsiaTheme="majorEastAsia" w:cs="Arial"/>
        <w:b/>
        <w:noProof/>
        <w:sz w:val="18"/>
        <w:szCs w:val="18"/>
      </w:rPr>
      <w:fldChar w:fldCharType="end"/>
    </w:r>
  </w:p>
  <w:p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DBC" w:rsidRDefault="00E51DBC" w:rsidP="00B01072">
      <w:r>
        <w:separator/>
      </w:r>
    </w:p>
  </w:footnote>
  <w:footnote w:type="continuationSeparator" w:id="0">
    <w:p w:rsidR="00E51DBC" w:rsidRDefault="00E51DBC"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Default="00514D7E">
    <w:pPr>
      <w:pStyle w:val="Header"/>
      <w:jc w:val="right"/>
    </w:pPr>
  </w:p>
  <w:p w:rsidR="00514D7E" w:rsidRDefault="0051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7163"/>
    <w:multiLevelType w:val="hybridMultilevel"/>
    <w:tmpl w:val="63FE956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nsid w:val="0C04369C"/>
    <w:multiLevelType w:val="hybridMultilevel"/>
    <w:tmpl w:val="F19440EA"/>
    <w:lvl w:ilvl="0" w:tplc="007CF1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F6D521E"/>
    <w:multiLevelType w:val="hybridMultilevel"/>
    <w:tmpl w:val="1DA239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DE24F0"/>
    <w:multiLevelType w:val="hybridMultilevel"/>
    <w:tmpl w:val="95901A4A"/>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30E03E0C"/>
    <w:multiLevelType w:val="hybridMultilevel"/>
    <w:tmpl w:val="0DB0621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0B29D6"/>
    <w:multiLevelType w:val="hybridMultilevel"/>
    <w:tmpl w:val="3E0EF4C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367B13"/>
    <w:multiLevelType w:val="hybridMultilevel"/>
    <w:tmpl w:val="C5C49572"/>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0">
    <w:nsid w:val="3AC85B67"/>
    <w:multiLevelType w:val="hybridMultilevel"/>
    <w:tmpl w:val="AD82C98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5B08C5"/>
    <w:multiLevelType w:val="hybridMultilevel"/>
    <w:tmpl w:val="AFB05F84"/>
    <w:lvl w:ilvl="0" w:tplc="83D4F938">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55012E4"/>
    <w:multiLevelType w:val="hybridMultilevel"/>
    <w:tmpl w:val="6AAA90A8"/>
    <w:lvl w:ilvl="0" w:tplc="9B882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A3F59"/>
    <w:multiLevelType w:val="hybridMultilevel"/>
    <w:tmpl w:val="DFF685B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nsid w:val="622321E4"/>
    <w:multiLevelType w:val="hybridMultilevel"/>
    <w:tmpl w:val="FB826992"/>
    <w:lvl w:ilvl="0" w:tplc="9D66FA84">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6922785E"/>
    <w:multiLevelType w:val="hybridMultilevel"/>
    <w:tmpl w:val="1F78A43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E091D89"/>
    <w:multiLevelType w:val="hybridMultilevel"/>
    <w:tmpl w:val="4C3637F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17"/>
  </w:num>
  <w:num w:numId="2">
    <w:abstractNumId w:val="2"/>
  </w:num>
  <w:num w:numId="3">
    <w:abstractNumId w:val="8"/>
  </w:num>
  <w:num w:numId="4">
    <w:abstractNumId w:val="15"/>
  </w:num>
  <w:num w:numId="5">
    <w:abstractNumId w:val="4"/>
  </w:num>
  <w:num w:numId="6">
    <w:abstractNumId w:val="19"/>
  </w:num>
  <w:num w:numId="7">
    <w:abstractNumId w:val="3"/>
  </w:num>
  <w:num w:numId="8">
    <w:abstractNumId w:val="5"/>
  </w:num>
  <w:num w:numId="9">
    <w:abstractNumId w:val="18"/>
  </w:num>
  <w:num w:numId="10">
    <w:abstractNumId w:val="9"/>
  </w:num>
  <w:num w:numId="11">
    <w:abstractNumId w:val="0"/>
  </w:num>
  <w:num w:numId="12">
    <w:abstractNumId w:val="13"/>
  </w:num>
  <w:num w:numId="13">
    <w:abstractNumId w:val="7"/>
  </w:num>
  <w:num w:numId="14">
    <w:abstractNumId w:val="6"/>
  </w:num>
  <w:num w:numId="15">
    <w:abstractNumId w:val="11"/>
  </w:num>
  <w:num w:numId="16">
    <w:abstractNumId w:val="12"/>
  </w:num>
  <w:num w:numId="17">
    <w:abstractNumId w:val="14"/>
  </w:num>
  <w:num w:numId="18">
    <w:abstractNumId w:val="16"/>
  </w:num>
  <w:num w:numId="19">
    <w:abstractNumId w:val="1"/>
  </w:num>
  <w:num w:numId="20">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74C9"/>
    <w:rsid w:val="00063548"/>
    <w:rsid w:val="000656CA"/>
    <w:rsid w:val="00066E2A"/>
    <w:rsid w:val="000709FD"/>
    <w:rsid w:val="00070C85"/>
    <w:rsid w:val="00074F49"/>
    <w:rsid w:val="00075172"/>
    <w:rsid w:val="00076BCC"/>
    <w:rsid w:val="00086349"/>
    <w:rsid w:val="00092A93"/>
    <w:rsid w:val="00093124"/>
    <w:rsid w:val="00095757"/>
    <w:rsid w:val="00095FFF"/>
    <w:rsid w:val="0009751E"/>
    <w:rsid w:val="000A025B"/>
    <w:rsid w:val="000A08C0"/>
    <w:rsid w:val="000A0AF6"/>
    <w:rsid w:val="000A37E3"/>
    <w:rsid w:val="000A60B2"/>
    <w:rsid w:val="000A6942"/>
    <w:rsid w:val="000A6946"/>
    <w:rsid w:val="000B0BB2"/>
    <w:rsid w:val="000B1923"/>
    <w:rsid w:val="000B19CD"/>
    <w:rsid w:val="000B4241"/>
    <w:rsid w:val="000B4F40"/>
    <w:rsid w:val="000B5EFF"/>
    <w:rsid w:val="000C0A8A"/>
    <w:rsid w:val="000C49BB"/>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285F"/>
    <w:rsid w:val="001340CE"/>
    <w:rsid w:val="001372AA"/>
    <w:rsid w:val="00140E93"/>
    <w:rsid w:val="001424C2"/>
    <w:rsid w:val="00142CD8"/>
    <w:rsid w:val="00143A08"/>
    <w:rsid w:val="001449BF"/>
    <w:rsid w:val="00145B94"/>
    <w:rsid w:val="001467DC"/>
    <w:rsid w:val="001529A0"/>
    <w:rsid w:val="00152C01"/>
    <w:rsid w:val="00155F06"/>
    <w:rsid w:val="00162A0F"/>
    <w:rsid w:val="00163E34"/>
    <w:rsid w:val="00166860"/>
    <w:rsid w:val="00166FD7"/>
    <w:rsid w:val="001729E9"/>
    <w:rsid w:val="001743CF"/>
    <w:rsid w:val="00174560"/>
    <w:rsid w:val="00177367"/>
    <w:rsid w:val="0018124B"/>
    <w:rsid w:val="001832D4"/>
    <w:rsid w:val="001833AC"/>
    <w:rsid w:val="0019162A"/>
    <w:rsid w:val="001948F1"/>
    <w:rsid w:val="00197DB0"/>
    <w:rsid w:val="001A22C6"/>
    <w:rsid w:val="001A26A0"/>
    <w:rsid w:val="001A273E"/>
    <w:rsid w:val="001A52A1"/>
    <w:rsid w:val="001A638F"/>
    <w:rsid w:val="001B177D"/>
    <w:rsid w:val="001C2A53"/>
    <w:rsid w:val="001C2B34"/>
    <w:rsid w:val="001C3FDF"/>
    <w:rsid w:val="001C4269"/>
    <w:rsid w:val="001C602F"/>
    <w:rsid w:val="001C6CA1"/>
    <w:rsid w:val="001D011F"/>
    <w:rsid w:val="001D4459"/>
    <w:rsid w:val="001E486F"/>
    <w:rsid w:val="001F0D11"/>
    <w:rsid w:val="001F1F16"/>
    <w:rsid w:val="001F3548"/>
    <w:rsid w:val="001F698C"/>
    <w:rsid w:val="001F6D33"/>
    <w:rsid w:val="00200E04"/>
    <w:rsid w:val="00203E0F"/>
    <w:rsid w:val="00206C11"/>
    <w:rsid w:val="00211C78"/>
    <w:rsid w:val="002229B7"/>
    <w:rsid w:val="00224229"/>
    <w:rsid w:val="002265CB"/>
    <w:rsid w:val="0023195F"/>
    <w:rsid w:val="00232D48"/>
    <w:rsid w:val="0023431F"/>
    <w:rsid w:val="00235BF8"/>
    <w:rsid w:val="00243357"/>
    <w:rsid w:val="00244898"/>
    <w:rsid w:val="00244C0F"/>
    <w:rsid w:val="002458D7"/>
    <w:rsid w:val="00246B8B"/>
    <w:rsid w:val="002533CE"/>
    <w:rsid w:val="00257D56"/>
    <w:rsid w:val="00262CC0"/>
    <w:rsid w:val="00275140"/>
    <w:rsid w:val="00275921"/>
    <w:rsid w:val="00275F2F"/>
    <w:rsid w:val="002800C8"/>
    <w:rsid w:val="00281B8E"/>
    <w:rsid w:val="002837A2"/>
    <w:rsid w:val="00291BC2"/>
    <w:rsid w:val="0029301E"/>
    <w:rsid w:val="00294275"/>
    <w:rsid w:val="00296C6F"/>
    <w:rsid w:val="002A3DCF"/>
    <w:rsid w:val="002A4C99"/>
    <w:rsid w:val="002A5D13"/>
    <w:rsid w:val="002A73B9"/>
    <w:rsid w:val="002B0018"/>
    <w:rsid w:val="002B2F32"/>
    <w:rsid w:val="002B4AFC"/>
    <w:rsid w:val="002C175C"/>
    <w:rsid w:val="002C5DDE"/>
    <w:rsid w:val="002C603A"/>
    <w:rsid w:val="002C7394"/>
    <w:rsid w:val="002E6B86"/>
    <w:rsid w:val="002F0F2F"/>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718A9"/>
    <w:rsid w:val="00371E01"/>
    <w:rsid w:val="003731CC"/>
    <w:rsid w:val="00380472"/>
    <w:rsid w:val="00382C94"/>
    <w:rsid w:val="00385CC5"/>
    <w:rsid w:val="00386857"/>
    <w:rsid w:val="003930E2"/>
    <w:rsid w:val="00396314"/>
    <w:rsid w:val="003A0AD7"/>
    <w:rsid w:val="003A3C9B"/>
    <w:rsid w:val="003B0545"/>
    <w:rsid w:val="003B7CE2"/>
    <w:rsid w:val="003C2A00"/>
    <w:rsid w:val="003C5D32"/>
    <w:rsid w:val="003D2560"/>
    <w:rsid w:val="003D262F"/>
    <w:rsid w:val="003D3567"/>
    <w:rsid w:val="003D3867"/>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87662"/>
    <w:rsid w:val="0049199E"/>
    <w:rsid w:val="00492DA9"/>
    <w:rsid w:val="00493FB3"/>
    <w:rsid w:val="0049710C"/>
    <w:rsid w:val="004A1E4C"/>
    <w:rsid w:val="004A2730"/>
    <w:rsid w:val="004A4F90"/>
    <w:rsid w:val="004B1E43"/>
    <w:rsid w:val="004B3075"/>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F24"/>
    <w:rsid w:val="004D48E8"/>
    <w:rsid w:val="004E27A5"/>
    <w:rsid w:val="004F329B"/>
    <w:rsid w:val="004F4F0B"/>
    <w:rsid w:val="004F61F7"/>
    <w:rsid w:val="00513712"/>
    <w:rsid w:val="00514D7E"/>
    <w:rsid w:val="005153CB"/>
    <w:rsid w:val="0052239F"/>
    <w:rsid w:val="00531D8A"/>
    <w:rsid w:val="00532A72"/>
    <w:rsid w:val="005330F9"/>
    <w:rsid w:val="0053382B"/>
    <w:rsid w:val="00534FC8"/>
    <w:rsid w:val="00540DA6"/>
    <w:rsid w:val="005449EC"/>
    <w:rsid w:val="005455F2"/>
    <w:rsid w:val="00550A0F"/>
    <w:rsid w:val="005540EB"/>
    <w:rsid w:val="00560E8F"/>
    <w:rsid w:val="00561E44"/>
    <w:rsid w:val="00563D73"/>
    <w:rsid w:val="00574AE0"/>
    <w:rsid w:val="0057746F"/>
    <w:rsid w:val="00586798"/>
    <w:rsid w:val="00591850"/>
    <w:rsid w:val="005940D1"/>
    <w:rsid w:val="005A2CE6"/>
    <w:rsid w:val="005A7E21"/>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62D7"/>
    <w:rsid w:val="00652CF5"/>
    <w:rsid w:val="006576EF"/>
    <w:rsid w:val="00663625"/>
    <w:rsid w:val="00664FF5"/>
    <w:rsid w:val="006673D8"/>
    <w:rsid w:val="00670BA5"/>
    <w:rsid w:val="00674416"/>
    <w:rsid w:val="00675570"/>
    <w:rsid w:val="006759CD"/>
    <w:rsid w:val="00683024"/>
    <w:rsid w:val="00683FF6"/>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1066"/>
    <w:rsid w:val="006E54EA"/>
    <w:rsid w:val="006F2930"/>
    <w:rsid w:val="006F36F8"/>
    <w:rsid w:val="006F6CCD"/>
    <w:rsid w:val="00704245"/>
    <w:rsid w:val="00705DD0"/>
    <w:rsid w:val="00713D62"/>
    <w:rsid w:val="007144AF"/>
    <w:rsid w:val="00714CE6"/>
    <w:rsid w:val="007167C4"/>
    <w:rsid w:val="00720161"/>
    <w:rsid w:val="00725FBA"/>
    <w:rsid w:val="0073270F"/>
    <w:rsid w:val="00737327"/>
    <w:rsid w:val="00741804"/>
    <w:rsid w:val="00741EE1"/>
    <w:rsid w:val="007422B3"/>
    <w:rsid w:val="00742651"/>
    <w:rsid w:val="00746733"/>
    <w:rsid w:val="00757485"/>
    <w:rsid w:val="00760875"/>
    <w:rsid w:val="00764E90"/>
    <w:rsid w:val="0077480B"/>
    <w:rsid w:val="00781562"/>
    <w:rsid w:val="00790220"/>
    <w:rsid w:val="00790A4C"/>
    <w:rsid w:val="00792A3E"/>
    <w:rsid w:val="00794233"/>
    <w:rsid w:val="007950DA"/>
    <w:rsid w:val="00795939"/>
    <w:rsid w:val="00797122"/>
    <w:rsid w:val="007A03D5"/>
    <w:rsid w:val="007A7318"/>
    <w:rsid w:val="007B6C92"/>
    <w:rsid w:val="007C4AFA"/>
    <w:rsid w:val="007C5479"/>
    <w:rsid w:val="007D1966"/>
    <w:rsid w:val="007E0072"/>
    <w:rsid w:val="007E3B7C"/>
    <w:rsid w:val="007E40F1"/>
    <w:rsid w:val="007E4E3E"/>
    <w:rsid w:val="007E63B3"/>
    <w:rsid w:val="007F02A7"/>
    <w:rsid w:val="007F2807"/>
    <w:rsid w:val="00802784"/>
    <w:rsid w:val="008039CD"/>
    <w:rsid w:val="00803A16"/>
    <w:rsid w:val="008111CD"/>
    <w:rsid w:val="00811B13"/>
    <w:rsid w:val="00815C6A"/>
    <w:rsid w:val="008232E5"/>
    <w:rsid w:val="00836EA6"/>
    <w:rsid w:val="0083746B"/>
    <w:rsid w:val="008400A6"/>
    <w:rsid w:val="008425A3"/>
    <w:rsid w:val="00843D64"/>
    <w:rsid w:val="00847567"/>
    <w:rsid w:val="0085572D"/>
    <w:rsid w:val="008614E9"/>
    <w:rsid w:val="008717E7"/>
    <w:rsid w:val="00873D00"/>
    <w:rsid w:val="00873D6D"/>
    <w:rsid w:val="0088055A"/>
    <w:rsid w:val="0088064A"/>
    <w:rsid w:val="0088301D"/>
    <w:rsid w:val="008838C5"/>
    <w:rsid w:val="008858D2"/>
    <w:rsid w:val="0089342B"/>
    <w:rsid w:val="00895894"/>
    <w:rsid w:val="00897581"/>
    <w:rsid w:val="008A28F5"/>
    <w:rsid w:val="008A4354"/>
    <w:rsid w:val="008A7BA7"/>
    <w:rsid w:val="008B1390"/>
    <w:rsid w:val="008B3660"/>
    <w:rsid w:val="008B4BEB"/>
    <w:rsid w:val="008C472C"/>
    <w:rsid w:val="008C4C3B"/>
    <w:rsid w:val="008D1494"/>
    <w:rsid w:val="008D5076"/>
    <w:rsid w:val="008E00B2"/>
    <w:rsid w:val="008E0625"/>
    <w:rsid w:val="008F177A"/>
    <w:rsid w:val="008F3C78"/>
    <w:rsid w:val="00901170"/>
    <w:rsid w:val="009148F7"/>
    <w:rsid w:val="00915903"/>
    <w:rsid w:val="00915F23"/>
    <w:rsid w:val="00916D71"/>
    <w:rsid w:val="00926BCD"/>
    <w:rsid w:val="009335B8"/>
    <w:rsid w:val="00935E22"/>
    <w:rsid w:val="00937710"/>
    <w:rsid w:val="00940E46"/>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EB9"/>
    <w:rsid w:val="009D256C"/>
    <w:rsid w:val="009F07AE"/>
    <w:rsid w:val="009F123F"/>
    <w:rsid w:val="009F1535"/>
    <w:rsid w:val="009F492C"/>
    <w:rsid w:val="009F4EFA"/>
    <w:rsid w:val="009F793F"/>
    <w:rsid w:val="00A06303"/>
    <w:rsid w:val="00A079FB"/>
    <w:rsid w:val="00A10453"/>
    <w:rsid w:val="00A112A3"/>
    <w:rsid w:val="00A1165A"/>
    <w:rsid w:val="00A11A85"/>
    <w:rsid w:val="00A13CD7"/>
    <w:rsid w:val="00A213AD"/>
    <w:rsid w:val="00A23D03"/>
    <w:rsid w:val="00A30D51"/>
    <w:rsid w:val="00A3140E"/>
    <w:rsid w:val="00A3144A"/>
    <w:rsid w:val="00A4432D"/>
    <w:rsid w:val="00A45F45"/>
    <w:rsid w:val="00A46014"/>
    <w:rsid w:val="00A50BDF"/>
    <w:rsid w:val="00A50E27"/>
    <w:rsid w:val="00A52B05"/>
    <w:rsid w:val="00A5375C"/>
    <w:rsid w:val="00A53A81"/>
    <w:rsid w:val="00A555CE"/>
    <w:rsid w:val="00A62357"/>
    <w:rsid w:val="00A626E9"/>
    <w:rsid w:val="00A65DCC"/>
    <w:rsid w:val="00A70A56"/>
    <w:rsid w:val="00A70E0E"/>
    <w:rsid w:val="00A715AB"/>
    <w:rsid w:val="00A7181B"/>
    <w:rsid w:val="00A7275E"/>
    <w:rsid w:val="00A8169E"/>
    <w:rsid w:val="00A83487"/>
    <w:rsid w:val="00A849BD"/>
    <w:rsid w:val="00A852C4"/>
    <w:rsid w:val="00A86DF9"/>
    <w:rsid w:val="00A9155C"/>
    <w:rsid w:val="00A91F96"/>
    <w:rsid w:val="00A952CD"/>
    <w:rsid w:val="00A95EB6"/>
    <w:rsid w:val="00AA0441"/>
    <w:rsid w:val="00AA0455"/>
    <w:rsid w:val="00AB2775"/>
    <w:rsid w:val="00AB4213"/>
    <w:rsid w:val="00AB5C12"/>
    <w:rsid w:val="00AB67C6"/>
    <w:rsid w:val="00AB6C4C"/>
    <w:rsid w:val="00AC5E86"/>
    <w:rsid w:val="00AD0F40"/>
    <w:rsid w:val="00AD22F6"/>
    <w:rsid w:val="00AD36D1"/>
    <w:rsid w:val="00AD45B1"/>
    <w:rsid w:val="00AE3D8F"/>
    <w:rsid w:val="00AE698B"/>
    <w:rsid w:val="00AF0D67"/>
    <w:rsid w:val="00AF1A17"/>
    <w:rsid w:val="00AF7F16"/>
    <w:rsid w:val="00B01072"/>
    <w:rsid w:val="00B016B6"/>
    <w:rsid w:val="00B03F35"/>
    <w:rsid w:val="00B10DDB"/>
    <w:rsid w:val="00B10EA2"/>
    <w:rsid w:val="00B14440"/>
    <w:rsid w:val="00B23D7D"/>
    <w:rsid w:val="00B25889"/>
    <w:rsid w:val="00B325BA"/>
    <w:rsid w:val="00B32F50"/>
    <w:rsid w:val="00B33183"/>
    <w:rsid w:val="00B33EC3"/>
    <w:rsid w:val="00B340AB"/>
    <w:rsid w:val="00B3549E"/>
    <w:rsid w:val="00B405DB"/>
    <w:rsid w:val="00B44DC5"/>
    <w:rsid w:val="00B44E3D"/>
    <w:rsid w:val="00B47477"/>
    <w:rsid w:val="00B50F81"/>
    <w:rsid w:val="00B510CE"/>
    <w:rsid w:val="00B56D84"/>
    <w:rsid w:val="00B62784"/>
    <w:rsid w:val="00B64CDE"/>
    <w:rsid w:val="00B64EFC"/>
    <w:rsid w:val="00B65AFD"/>
    <w:rsid w:val="00B72C9B"/>
    <w:rsid w:val="00B75DFF"/>
    <w:rsid w:val="00B76EA0"/>
    <w:rsid w:val="00B91CF8"/>
    <w:rsid w:val="00B966D4"/>
    <w:rsid w:val="00BA0CBE"/>
    <w:rsid w:val="00BA3568"/>
    <w:rsid w:val="00BA3676"/>
    <w:rsid w:val="00BA563A"/>
    <w:rsid w:val="00BA5896"/>
    <w:rsid w:val="00BB3C28"/>
    <w:rsid w:val="00BB5559"/>
    <w:rsid w:val="00BB7B04"/>
    <w:rsid w:val="00BC3F53"/>
    <w:rsid w:val="00BC5C94"/>
    <w:rsid w:val="00BC5FF7"/>
    <w:rsid w:val="00BC6AE1"/>
    <w:rsid w:val="00BD1E79"/>
    <w:rsid w:val="00BD2228"/>
    <w:rsid w:val="00BD53C1"/>
    <w:rsid w:val="00C00EF2"/>
    <w:rsid w:val="00C05CEB"/>
    <w:rsid w:val="00C11C76"/>
    <w:rsid w:val="00C143AE"/>
    <w:rsid w:val="00C143C0"/>
    <w:rsid w:val="00C157F0"/>
    <w:rsid w:val="00C15E3D"/>
    <w:rsid w:val="00C16114"/>
    <w:rsid w:val="00C16434"/>
    <w:rsid w:val="00C16C83"/>
    <w:rsid w:val="00C16CA4"/>
    <w:rsid w:val="00C2072D"/>
    <w:rsid w:val="00C33545"/>
    <w:rsid w:val="00C350F6"/>
    <w:rsid w:val="00C423BE"/>
    <w:rsid w:val="00C433E7"/>
    <w:rsid w:val="00C438C9"/>
    <w:rsid w:val="00C45CDF"/>
    <w:rsid w:val="00C530C9"/>
    <w:rsid w:val="00C5384F"/>
    <w:rsid w:val="00C55CF0"/>
    <w:rsid w:val="00C61AA2"/>
    <w:rsid w:val="00C734C8"/>
    <w:rsid w:val="00C737FB"/>
    <w:rsid w:val="00C751A3"/>
    <w:rsid w:val="00C9224F"/>
    <w:rsid w:val="00C94B70"/>
    <w:rsid w:val="00C9684B"/>
    <w:rsid w:val="00C97C72"/>
    <w:rsid w:val="00CA025E"/>
    <w:rsid w:val="00CA550E"/>
    <w:rsid w:val="00CA5E36"/>
    <w:rsid w:val="00CB4E12"/>
    <w:rsid w:val="00CC07E1"/>
    <w:rsid w:val="00CC255F"/>
    <w:rsid w:val="00CC2ECC"/>
    <w:rsid w:val="00CC3A5A"/>
    <w:rsid w:val="00CC69B7"/>
    <w:rsid w:val="00CC7AF7"/>
    <w:rsid w:val="00CD0F90"/>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61E9F"/>
    <w:rsid w:val="00D630C3"/>
    <w:rsid w:val="00D712DD"/>
    <w:rsid w:val="00D74A2D"/>
    <w:rsid w:val="00D75D19"/>
    <w:rsid w:val="00D82A5F"/>
    <w:rsid w:val="00D82B75"/>
    <w:rsid w:val="00D86A1E"/>
    <w:rsid w:val="00D902BD"/>
    <w:rsid w:val="00D9548C"/>
    <w:rsid w:val="00DA1BD0"/>
    <w:rsid w:val="00DA1C66"/>
    <w:rsid w:val="00DA5567"/>
    <w:rsid w:val="00DA7DF4"/>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F83"/>
    <w:rsid w:val="00DF1799"/>
    <w:rsid w:val="00DF32EC"/>
    <w:rsid w:val="00DF49DC"/>
    <w:rsid w:val="00DF504C"/>
    <w:rsid w:val="00DF6074"/>
    <w:rsid w:val="00E0095B"/>
    <w:rsid w:val="00E00E52"/>
    <w:rsid w:val="00E0385B"/>
    <w:rsid w:val="00E123EB"/>
    <w:rsid w:val="00E13322"/>
    <w:rsid w:val="00E15EB5"/>
    <w:rsid w:val="00E16F8D"/>
    <w:rsid w:val="00E20671"/>
    <w:rsid w:val="00E21A5F"/>
    <w:rsid w:val="00E23474"/>
    <w:rsid w:val="00E24F09"/>
    <w:rsid w:val="00E269FD"/>
    <w:rsid w:val="00E27B5A"/>
    <w:rsid w:val="00E36049"/>
    <w:rsid w:val="00E36065"/>
    <w:rsid w:val="00E3748A"/>
    <w:rsid w:val="00E413BA"/>
    <w:rsid w:val="00E42A40"/>
    <w:rsid w:val="00E44ADB"/>
    <w:rsid w:val="00E501BF"/>
    <w:rsid w:val="00E50D8A"/>
    <w:rsid w:val="00E51351"/>
    <w:rsid w:val="00E51DBC"/>
    <w:rsid w:val="00E526CF"/>
    <w:rsid w:val="00E56227"/>
    <w:rsid w:val="00E60FD3"/>
    <w:rsid w:val="00E619AA"/>
    <w:rsid w:val="00E6544F"/>
    <w:rsid w:val="00E66692"/>
    <w:rsid w:val="00E7035A"/>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7160"/>
    <w:rsid w:val="00EF2079"/>
    <w:rsid w:val="00EF3E7D"/>
    <w:rsid w:val="00EF608A"/>
    <w:rsid w:val="00EF6106"/>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621E"/>
    <w:rsid w:val="00F57765"/>
    <w:rsid w:val="00F61C0B"/>
    <w:rsid w:val="00F63732"/>
    <w:rsid w:val="00F63F16"/>
    <w:rsid w:val="00F656E2"/>
    <w:rsid w:val="00F73AF6"/>
    <w:rsid w:val="00F73C7B"/>
    <w:rsid w:val="00F76576"/>
    <w:rsid w:val="00F775D4"/>
    <w:rsid w:val="00F8042B"/>
    <w:rsid w:val="00F809F4"/>
    <w:rsid w:val="00F8193C"/>
    <w:rsid w:val="00F831E0"/>
    <w:rsid w:val="00F84401"/>
    <w:rsid w:val="00F84A5B"/>
    <w:rsid w:val="00F84D79"/>
    <w:rsid w:val="00F930FA"/>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529F"/>
    <w:rsid w:val="00FE516A"/>
    <w:rsid w:val="00FF1F60"/>
    <w:rsid w:val="00FF4A9D"/>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8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normal"/>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character" w:customStyle="1" w:styleId="ListParagraphChar">
    <w:name w:val="List Paragraph Char"/>
    <w:aliases w:val="normal Char"/>
    <w:basedOn w:val="DefaultParagraphFont"/>
    <w:link w:val="ListParagraph"/>
    <w:uiPriority w:val="34"/>
    <w:rsid w:val="00B56D84"/>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F59A-9296-4796-BE62-B9BBE1DC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2021-02-24T10:31:00Z</cp:lastPrinted>
  <dcterms:created xsi:type="dcterms:W3CDTF">2021-03-02T19:58:00Z</dcterms:created>
  <dcterms:modified xsi:type="dcterms:W3CDTF">2021-03-02T19:58:00Z</dcterms:modified>
</cp:coreProperties>
</file>