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71" w:rsidRDefault="0023649C" w:rsidP="003D2871">
      <w:pPr>
        <w:rPr>
          <w:lang w:val="en-ZA"/>
        </w:rPr>
      </w:pPr>
      <w:r>
        <w:rPr>
          <w:noProof/>
          <w:lang w:val="en-ZA" w:eastAsia="en-ZA"/>
        </w:rPr>
        <w:drawing>
          <wp:anchor distT="0" distB="0" distL="0" distR="0" simplePos="0" relativeHeight="251657728" behindDoc="0" locked="0" layoutInCell="1" allowOverlap="0">
            <wp:simplePos x="0" y="0"/>
            <wp:positionH relativeFrom="column">
              <wp:posOffset>2171700</wp:posOffset>
            </wp:positionH>
            <wp:positionV relativeFrom="line">
              <wp:posOffset>114300</wp:posOffset>
            </wp:positionV>
            <wp:extent cx="1325245" cy="1066800"/>
            <wp:effectExtent l="19050" t="0" r="8255" b="0"/>
            <wp:wrapSquare wrapText="bothSides"/>
            <wp:docPr id="2"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3dcoatl.jpg"/>
                    <pic:cNvPicPr>
                      <a:picLocks noChangeAspect="1" noChangeArrowheads="1"/>
                    </pic:cNvPicPr>
                  </pic:nvPicPr>
                  <pic:blipFill>
                    <a:blip r:embed="rId7" cstate="print">
                      <a:lum bright="-10000" contrast="20000"/>
                    </a:blip>
                    <a:srcRect/>
                    <a:stretch>
                      <a:fillRect/>
                    </a:stretch>
                  </pic:blipFill>
                  <pic:spPr bwMode="auto">
                    <a:xfrm>
                      <a:off x="0" y="0"/>
                      <a:ext cx="1325245" cy="1066800"/>
                    </a:xfrm>
                    <a:prstGeom prst="rect">
                      <a:avLst/>
                    </a:prstGeom>
                    <a:noFill/>
                    <a:ln w="9525">
                      <a:noFill/>
                      <a:miter lim="800000"/>
                      <a:headEnd/>
                      <a:tailEnd/>
                    </a:ln>
                  </pic:spPr>
                </pic:pic>
              </a:graphicData>
            </a:graphic>
          </wp:anchor>
        </w:drawing>
      </w:r>
    </w:p>
    <w:p w:rsidR="00294A71" w:rsidRDefault="00294A71" w:rsidP="003D2871">
      <w:pPr>
        <w:rPr>
          <w:lang w:val="en-ZA"/>
        </w:rPr>
      </w:pPr>
    </w:p>
    <w:p w:rsidR="00294A71" w:rsidRDefault="00294A71" w:rsidP="003D2871">
      <w:pPr>
        <w:rPr>
          <w:lang w:val="en-ZA"/>
        </w:rPr>
      </w:pPr>
    </w:p>
    <w:p w:rsidR="00294A71" w:rsidRDefault="00294A71" w:rsidP="003D2871">
      <w:pPr>
        <w:pStyle w:val="BodyText"/>
        <w:spacing w:after="0"/>
        <w:jc w:val="center"/>
        <w:outlineLvl w:val="0"/>
        <w:rPr>
          <w:rFonts w:ascii="Arial" w:hAnsi="Arial" w:cs="Arial"/>
          <w:b/>
          <w:bCs/>
        </w:rPr>
      </w:pPr>
    </w:p>
    <w:p w:rsidR="00294A71" w:rsidRDefault="00294A71" w:rsidP="003D2871">
      <w:pPr>
        <w:jc w:val="center"/>
      </w:pPr>
    </w:p>
    <w:p w:rsidR="00294A71" w:rsidRDefault="00294A71" w:rsidP="003D2871">
      <w:pPr>
        <w:jc w:val="center"/>
      </w:pPr>
    </w:p>
    <w:p w:rsidR="00294A71" w:rsidRDefault="00294A71" w:rsidP="003D2871">
      <w:pPr>
        <w:jc w:val="center"/>
        <w:rPr>
          <w:rFonts w:ascii="Gill Sans MT" w:hAnsi="Gill Sans MT"/>
          <w:sz w:val="16"/>
          <w:szCs w:val="16"/>
        </w:rPr>
      </w:pPr>
    </w:p>
    <w:p w:rsidR="00294A71" w:rsidRPr="000C5074" w:rsidRDefault="00294A71" w:rsidP="003D2871">
      <w:pPr>
        <w:spacing w:line="16" w:lineRule="atLeast"/>
        <w:jc w:val="center"/>
        <w:rPr>
          <w:rFonts w:ascii="Gill Sans MT" w:hAnsi="Gill Sans MT"/>
          <w:sz w:val="16"/>
          <w:szCs w:val="16"/>
        </w:rPr>
      </w:pPr>
    </w:p>
    <w:p w:rsidR="00294A71" w:rsidRDefault="00294A71" w:rsidP="003D2871">
      <w:pPr>
        <w:pStyle w:val="NoSpacing"/>
        <w:rPr>
          <w:b/>
          <w:color w:val="4F6228"/>
          <w:sz w:val="16"/>
          <w:szCs w:val="16"/>
        </w:rPr>
      </w:pPr>
    </w:p>
    <w:p w:rsidR="00294A71" w:rsidRPr="00063424" w:rsidRDefault="00294A71" w:rsidP="003D2871">
      <w:pPr>
        <w:jc w:val="center"/>
        <w:rPr>
          <w:rFonts w:ascii="Arial" w:hAnsi="Arial" w:cs="Arial"/>
          <w:b/>
        </w:rPr>
      </w:pPr>
      <w:r w:rsidRPr="00063424">
        <w:rPr>
          <w:rFonts w:ascii="Arial" w:hAnsi="Arial" w:cs="Arial"/>
          <w:b/>
        </w:rPr>
        <w:t>DEPARTMENT: PUBLIC ENTERPRISES</w:t>
      </w:r>
    </w:p>
    <w:p w:rsidR="00294A71" w:rsidRPr="00063424" w:rsidRDefault="00294A71" w:rsidP="003D2871">
      <w:pPr>
        <w:jc w:val="center"/>
        <w:rPr>
          <w:rFonts w:ascii="Arial" w:hAnsi="Arial" w:cs="Arial"/>
          <w:b/>
        </w:rPr>
      </w:pPr>
      <w:smartTag w:uri="urn:schemas-microsoft-com:office:smarttags" w:element="PlaceType">
        <w:smartTag w:uri="urn:schemas-microsoft-com:office:smarttags" w:element="plac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294A71" w:rsidRDefault="00294A71" w:rsidP="003D2871">
      <w:pPr>
        <w:rPr>
          <w:rFonts w:ascii="Arial" w:hAnsi="Arial" w:cs="Arial"/>
          <w:b/>
          <w:bCs/>
        </w:rPr>
      </w:pPr>
    </w:p>
    <w:p w:rsidR="00294A71" w:rsidRPr="00063424" w:rsidRDefault="00294A71" w:rsidP="003D2871">
      <w:pPr>
        <w:jc w:val="center"/>
        <w:rPr>
          <w:rFonts w:ascii="Arial" w:hAnsi="Arial" w:cs="Arial"/>
          <w:b/>
          <w:bCs/>
        </w:rPr>
      </w:pPr>
      <w:r>
        <w:rPr>
          <w:rFonts w:ascii="Arial" w:hAnsi="Arial" w:cs="Arial"/>
          <w:b/>
          <w:bCs/>
        </w:rPr>
        <w:t>NATIONAL ASSEMBLY</w:t>
      </w:r>
    </w:p>
    <w:p w:rsidR="00294A71" w:rsidRDefault="00294A71" w:rsidP="003D2871">
      <w:pPr>
        <w:rPr>
          <w:rFonts w:ascii="Arial" w:hAnsi="Arial" w:cs="Arial"/>
          <w:b/>
          <w:bCs/>
        </w:rPr>
      </w:pPr>
    </w:p>
    <w:p w:rsidR="00294A71" w:rsidRPr="007142AF" w:rsidRDefault="00294A71" w:rsidP="003D2871">
      <w:pPr>
        <w:rPr>
          <w:rFonts w:ascii="Arial" w:hAnsi="Arial" w:cs="Arial"/>
          <w:b/>
          <w:bCs/>
          <w:sz w:val="22"/>
          <w:szCs w:val="22"/>
        </w:rPr>
      </w:pPr>
    </w:p>
    <w:p w:rsidR="00294A71" w:rsidRPr="007142AF" w:rsidRDefault="00294A71" w:rsidP="003D2871">
      <w:pPr>
        <w:rPr>
          <w:rFonts w:ascii="Arial" w:hAnsi="Arial" w:cs="Arial"/>
          <w:b/>
          <w:bCs/>
          <w:sz w:val="22"/>
          <w:szCs w:val="22"/>
          <w:lang w:val="en-ZA"/>
        </w:rPr>
      </w:pPr>
      <w:r w:rsidRPr="007142AF">
        <w:rPr>
          <w:rFonts w:ascii="Arial" w:hAnsi="Arial" w:cs="Arial"/>
          <w:b/>
          <w:bCs/>
          <w:sz w:val="22"/>
          <w:szCs w:val="22"/>
          <w:lang w:val="en-ZA"/>
        </w:rPr>
        <w:t>QUESTION FOR WRITTEN REPLY</w:t>
      </w:r>
    </w:p>
    <w:p w:rsidR="00294A71" w:rsidRPr="007142AF" w:rsidRDefault="00294A71" w:rsidP="003D2871">
      <w:pPr>
        <w:rPr>
          <w:rFonts w:ascii="Arial" w:hAnsi="Arial" w:cs="Arial"/>
          <w:b/>
          <w:bCs/>
          <w:sz w:val="22"/>
          <w:szCs w:val="22"/>
        </w:rPr>
      </w:pPr>
    </w:p>
    <w:p w:rsidR="00294A71" w:rsidRPr="007142AF" w:rsidRDefault="00294A71" w:rsidP="003D2871">
      <w:pPr>
        <w:rPr>
          <w:rFonts w:ascii="Arial" w:hAnsi="Arial" w:cs="Arial"/>
          <w:b/>
          <w:bCs/>
          <w:sz w:val="22"/>
          <w:szCs w:val="22"/>
          <w:lang w:val="en-ZA"/>
        </w:rPr>
      </w:pPr>
      <w:r w:rsidRPr="007142AF">
        <w:rPr>
          <w:rFonts w:ascii="Arial" w:hAnsi="Arial" w:cs="Arial"/>
          <w:b/>
          <w:bCs/>
          <w:sz w:val="22"/>
          <w:szCs w:val="22"/>
          <w:lang w:val="en-ZA"/>
        </w:rPr>
        <w:t>QUESTION NO.:</w:t>
      </w:r>
      <w:r w:rsidRPr="007142AF">
        <w:rPr>
          <w:rFonts w:ascii="Arial" w:hAnsi="Arial" w:cs="Arial"/>
          <w:b/>
          <w:bCs/>
          <w:sz w:val="22"/>
          <w:szCs w:val="22"/>
          <w:lang w:val="en-ZA"/>
        </w:rPr>
        <w:tab/>
      </w:r>
      <w:r>
        <w:rPr>
          <w:rFonts w:ascii="Arial" w:hAnsi="Arial" w:cs="Arial"/>
          <w:b/>
          <w:bCs/>
          <w:sz w:val="22"/>
          <w:szCs w:val="22"/>
          <w:lang w:val="en-ZA"/>
        </w:rPr>
        <w:t>2217</w:t>
      </w:r>
    </w:p>
    <w:p w:rsidR="00294A71" w:rsidRPr="007142AF" w:rsidRDefault="00294A71" w:rsidP="003D2871">
      <w:pPr>
        <w:rPr>
          <w:rFonts w:ascii="Arial" w:hAnsi="Arial" w:cs="Arial"/>
          <w:b/>
          <w:bCs/>
          <w:sz w:val="22"/>
          <w:szCs w:val="22"/>
        </w:rPr>
      </w:pPr>
      <w:r w:rsidRPr="007142AF">
        <w:rPr>
          <w:rFonts w:ascii="Arial" w:hAnsi="Arial" w:cs="Arial"/>
          <w:b/>
          <w:bCs/>
          <w:sz w:val="22"/>
          <w:szCs w:val="22"/>
        </w:rPr>
        <w:t xml:space="preserve">  </w:t>
      </w:r>
    </w:p>
    <w:p w:rsidR="00294A71" w:rsidRPr="007142AF" w:rsidRDefault="00294A71" w:rsidP="003D2871">
      <w:pPr>
        <w:rPr>
          <w:rFonts w:ascii="Arial" w:hAnsi="Arial" w:cs="Arial"/>
          <w:b/>
          <w:bCs/>
          <w:sz w:val="22"/>
          <w:szCs w:val="22"/>
          <w:lang w:val="en-ZA"/>
        </w:rPr>
      </w:pPr>
      <w:r w:rsidRPr="007142AF">
        <w:rPr>
          <w:rFonts w:ascii="Arial" w:hAnsi="Arial" w:cs="Arial"/>
          <w:b/>
          <w:bCs/>
          <w:sz w:val="22"/>
          <w:szCs w:val="22"/>
          <w:lang w:val="en-ZA"/>
        </w:rPr>
        <w:t xml:space="preserve">DATE OF PUBLICATION: </w:t>
      </w:r>
      <w:r>
        <w:rPr>
          <w:rFonts w:ascii="Arial" w:hAnsi="Arial" w:cs="Arial"/>
          <w:b/>
          <w:bCs/>
          <w:sz w:val="22"/>
          <w:szCs w:val="22"/>
          <w:lang w:val="en-ZA"/>
        </w:rPr>
        <w:t>12 JUNE 2015</w:t>
      </w:r>
    </w:p>
    <w:p w:rsidR="00294A71" w:rsidRPr="007142AF" w:rsidRDefault="00294A71" w:rsidP="00053DA7">
      <w:pPr>
        <w:rPr>
          <w:rFonts w:ascii="Arial" w:hAnsi="Arial" w:cs="Arial"/>
          <w:b/>
          <w:bCs/>
          <w:sz w:val="22"/>
          <w:szCs w:val="22"/>
          <w:lang w:val="en-ZA"/>
        </w:rPr>
      </w:pPr>
    </w:p>
    <w:p w:rsidR="00294A71" w:rsidRPr="00AA634C" w:rsidRDefault="00294A71" w:rsidP="00925233">
      <w:pPr>
        <w:jc w:val="both"/>
        <w:rPr>
          <w:rFonts w:ascii="Arial" w:hAnsi="Arial" w:cs="Arial"/>
          <w:b/>
          <w:sz w:val="22"/>
          <w:szCs w:val="22"/>
          <w:lang w:val="en-ZA"/>
        </w:rPr>
      </w:pPr>
      <w:r w:rsidRPr="00AA634C">
        <w:rPr>
          <w:rFonts w:ascii="Arial" w:hAnsi="Arial" w:cs="Arial"/>
          <w:b/>
          <w:sz w:val="22"/>
          <w:szCs w:val="22"/>
          <w:lang w:val="en-ZA"/>
        </w:rPr>
        <w:t>2217.     Mr M G P Lekota (Cope) to ask the Minister of Public Enterprises:</w:t>
      </w:r>
    </w:p>
    <w:p w:rsidR="00294A71" w:rsidRPr="00925233" w:rsidRDefault="00294A71" w:rsidP="00925233">
      <w:pPr>
        <w:jc w:val="both"/>
        <w:rPr>
          <w:rFonts w:ascii="Arial" w:hAnsi="Arial" w:cs="Arial"/>
          <w:sz w:val="22"/>
          <w:szCs w:val="22"/>
          <w:lang w:val="en-ZA"/>
        </w:rPr>
      </w:pPr>
    </w:p>
    <w:p w:rsidR="00294A71" w:rsidRPr="00925233" w:rsidRDefault="00294A71" w:rsidP="00925233">
      <w:pPr>
        <w:pStyle w:val="ListParagraph"/>
        <w:numPr>
          <w:ilvl w:val="0"/>
          <w:numId w:val="12"/>
        </w:numPr>
        <w:rPr>
          <w:rFonts w:ascii="Arial" w:hAnsi="Arial" w:cs="Arial"/>
          <w:sz w:val="22"/>
          <w:szCs w:val="22"/>
        </w:rPr>
      </w:pPr>
      <w:r w:rsidRPr="00925233">
        <w:rPr>
          <w:rFonts w:ascii="Arial" w:hAnsi="Arial" w:cs="Arial"/>
          <w:sz w:val="22"/>
          <w:szCs w:val="22"/>
        </w:rPr>
        <w:t xml:space="preserve">Whether the Government had completed a detailed financial analysis to put </w:t>
      </w:r>
    </w:p>
    <w:p w:rsidR="00294A71" w:rsidRPr="00925233" w:rsidRDefault="00294A71" w:rsidP="00925233">
      <w:pPr>
        <w:ind w:left="960"/>
        <w:rPr>
          <w:rFonts w:ascii="Arial" w:hAnsi="Arial" w:cs="Arial"/>
          <w:sz w:val="22"/>
          <w:szCs w:val="22"/>
        </w:rPr>
      </w:pPr>
      <w:r w:rsidRPr="00925233">
        <w:rPr>
          <w:rFonts w:ascii="Arial" w:hAnsi="Arial" w:cs="Arial"/>
          <w:sz w:val="22"/>
          <w:szCs w:val="22"/>
        </w:rPr>
        <w:t>an estimate on the final cost of Medupi Power Station; if not, why not; if so, what are the relevant details;</w:t>
      </w:r>
    </w:p>
    <w:p w:rsidR="00294A71" w:rsidRPr="00925233" w:rsidRDefault="00294A71" w:rsidP="00925233">
      <w:pPr>
        <w:ind w:left="960"/>
        <w:rPr>
          <w:rFonts w:ascii="Arial" w:hAnsi="Arial" w:cs="Arial"/>
          <w:sz w:val="22"/>
          <w:szCs w:val="22"/>
        </w:rPr>
      </w:pPr>
    </w:p>
    <w:p w:rsidR="00294A71" w:rsidRPr="00925233" w:rsidRDefault="00294A71" w:rsidP="00925233">
      <w:pPr>
        <w:pStyle w:val="ListParagraph"/>
        <w:numPr>
          <w:ilvl w:val="0"/>
          <w:numId w:val="12"/>
        </w:numPr>
        <w:rPr>
          <w:rFonts w:ascii="Arial" w:hAnsi="Arial" w:cs="Arial"/>
          <w:sz w:val="22"/>
          <w:szCs w:val="22"/>
        </w:rPr>
      </w:pPr>
      <w:r w:rsidRPr="00925233">
        <w:rPr>
          <w:rFonts w:ascii="Arial" w:hAnsi="Arial" w:cs="Arial"/>
          <w:sz w:val="22"/>
          <w:szCs w:val="22"/>
        </w:rPr>
        <w:t xml:space="preserve">whether the Government’s financial analysis corresponds with independent </w:t>
      </w:r>
    </w:p>
    <w:p w:rsidR="00294A71" w:rsidRPr="00925233" w:rsidRDefault="00294A71" w:rsidP="00925233">
      <w:pPr>
        <w:pStyle w:val="ListParagraph"/>
        <w:ind w:left="960"/>
        <w:rPr>
          <w:rFonts w:ascii="Arial" w:hAnsi="Arial" w:cs="Arial"/>
          <w:sz w:val="22"/>
          <w:szCs w:val="22"/>
        </w:rPr>
      </w:pPr>
      <w:r w:rsidRPr="00925233">
        <w:rPr>
          <w:rFonts w:ascii="Arial" w:hAnsi="Arial" w:cs="Arial"/>
          <w:sz w:val="22"/>
          <w:szCs w:val="22"/>
        </w:rPr>
        <w:t>estimates that Medupi Power Staton will have cost the Government R300 billion rand or 10 times its cost at the signing of the contract; if so, what is the Government’s own estimate of the final cost;</w:t>
      </w:r>
    </w:p>
    <w:p w:rsidR="00294A71" w:rsidRPr="00925233" w:rsidRDefault="00294A71" w:rsidP="00925233">
      <w:pPr>
        <w:pStyle w:val="ListParagraph"/>
        <w:ind w:left="960"/>
        <w:rPr>
          <w:rFonts w:ascii="Arial" w:hAnsi="Arial" w:cs="Arial"/>
          <w:sz w:val="22"/>
          <w:szCs w:val="22"/>
        </w:rPr>
      </w:pPr>
    </w:p>
    <w:p w:rsidR="00294A71" w:rsidRPr="00925233" w:rsidRDefault="00294A71" w:rsidP="00925233">
      <w:pPr>
        <w:pStyle w:val="ListParagraph"/>
        <w:numPr>
          <w:ilvl w:val="0"/>
          <w:numId w:val="12"/>
        </w:numPr>
        <w:rPr>
          <w:rFonts w:ascii="Arial" w:hAnsi="Arial" w:cs="Arial"/>
          <w:sz w:val="22"/>
          <w:szCs w:val="22"/>
        </w:rPr>
      </w:pPr>
      <w:r w:rsidRPr="00925233">
        <w:rPr>
          <w:rFonts w:ascii="Arial" w:hAnsi="Arial" w:cs="Arial"/>
          <w:sz w:val="22"/>
          <w:szCs w:val="22"/>
        </w:rPr>
        <w:t xml:space="preserve">does the Government’s final cost estimate differ with the independently </w:t>
      </w:r>
    </w:p>
    <w:p w:rsidR="00294A71" w:rsidRPr="00925233" w:rsidRDefault="00294A71" w:rsidP="00925233">
      <w:pPr>
        <w:pStyle w:val="ListParagraph"/>
        <w:ind w:left="960"/>
        <w:rPr>
          <w:rFonts w:ascii="Arial" w:hAnsi="Arial" w:cs="Arial"/>
          <w:sz w:val="22"/>
          <w:szCs w:val="22"/>
        </w:rPr>
      </w:pPr>
      <w:r w:rsidRPr="00925233">
        <w:rPr>
          <w:rFonts w:ascii="Arial" w:hAnsi="Arial" w:cs="Arial"/>
          <w:sz w:val="22"/>
          <w:szCs w:val="22"/>
        </w:rPr>
        <w:t>estimated cost of R300 billion; if not, why not; if so, (a) by what amount below or above that mark, (b) will the Government explain what consequences will flow for all those who allowed the target to be overshot by the specified amount and (c) what measures has the Government implemented from 2009 to control the runaway costs;</w:t>
      </w:r>
    </w:p>
    <w:p w:rsidR="00294A71" w:rsidRPr="00925233" w:rsidRDefault="00294A71" w:rsidP="00925233">
      <w:pPr>
        <w:pStyle w:val="ListParagraph"/>
        <w:ind w:left="960"/>
        <w:rPr>
          <w:rFonts w:ascii="Arial" w:hAnsi="Arial" w:cs="Arial"/>
          <w:sz w:val="22"/>
          <w:szCs w:val="22"/>
        </w:rPr>
      </w:pPr>
    </w:p>
    <w:p w:rsidR="00294A71" w:rsidRPr="00925233" w:rsidRDefault="00294A71" w:rsidP="00925233">
      <w:pPr>
        <w:pStyle w:val="ListParagraph"/>
        <w:numPr>
          <w:ilvl w:val="0"/>
          <w:numId w:val="12"/>
        </w:numPr>
        <w:rPr>
          <w:rFonts w:ascii="Arial" w:hAnsi="Arial" w:cs="Arial"/>
          <w:sz w:val="22"/>
          <w:szCs w:val="22"/>
        </w:rPr>
      </w:pPr>
      <w:r w:rsidRPr="00925233">
        <w:rPr>
          <w:rFonts w:ascii="Arial" w:hAnsi="Arial" w:cs="Arial"/>
          <w:sz w:val="22"/>
          <w:szCs w:val="22"/>
        </w:rPr>
        <w:t xml:space="preserve">will she make a statement on the handling and management of Medupi </w:t>
      </w:r>
    </w:p>
    <w:p w:rsidR="00294A71" w:rsidRPr="00925233" w:rsidRDefault="00294A71" w:rsidP="00925233">
      <w:pPr>
        <w:pStyle w:val="ListParagraph"/>
        <w:ind w:left="960"/>
        <w:rPr>
          <w:rFonts w:ascii="Arial" w:hAnsi="Arial" w:cs="Arial"/>
          <w:sz w:val="22"/>
          <w:szCs w:val="22"/>
        </w:rPr>
      </w:pPr>
      <w:r w:rsidRPr="00925233">
        <w:rPr>
          <w:rFonts w:ascii="Arial" w:hAnsi="Arial" w:cs="Arial"/>
          <w:sz w:val="22"/>
          <w:szCs w:val="22"/>
        </w:rPr>
        <w:t>Power Station from its implementation up until the latest specified date for which information is available in light of the Government’s own fiduciary responsibility for Medupi Power Station?                                NW2574E</w:t>
      </w:r>
    </w:p>
    <w:p w:rsidR="00294A71" w:rsidRPr="00925233" w:rsidRDefault="00294A71" w:rsidP="00925233">
      <w:pPr>
        <w:spacing w:after="200" w:line="276" w:lineRule="auto"/>
        <w:jc w:val="both"/>
        <w:rPr>
          <w:rFonts w:ascii="Arial" w:hAnsi="Arial" w:cs="Arial"/>
          <w:b/>
          <w:sz w:val="22"/>
          <w:szCs w:val="22"/>
        </w:rPr>
      </w:pPr>
      <w:r w:rsidRPr="00925233">
        <w:rPr>
          <w:rFonts w:ascii="Arial" w:hAnsi="Arial" w:cs="Arial"/>
          <w:b/>
          <w:sz w:val="22"/>
          <w:szCs w:val="22"/>
        </w:rPr>
        <w:br w:type="page"/>
      </w:r>
    </w:p>
    <w:p w:rsidR="00294A71" w:rsidRPr="007142AF" w:rsidRDefault="00294A71" w:rsidP="00D83175">
      <w:pPr>
        <w:spacing w:after="200" w:line="276" w:lineRule="auto"/>
        <w:rPr>
          <w:rFonts w:ascii="Arial" w:hAnsi="Arial" w:cs="Arial"/>
          <w:b/>
          <w:sz w:val="22"/>
          <w:szCs w:val="22"/>
        </w:rPr>
      </w:pPr>
      <w:r w:rsidRPr="007142AF">
        <w:rPr>
          <w:rFonts w:ascii="Arial" w:hAnsi="Arial" w:cs="Arial"/>
          <w:b/>
          <w:sz w:val="22"/>
          <w:szCs w:val="22"/>
        </w:rPr>
        <w:t>REPLY</w:t>
      </w:r>
    </w:p>
    <w:p w:rsidR="00294A71" w:rsidRPr="00AA634C" w:rsidRDefault="00294A71" w:rsidP="009D1ED5">
      <w:pPr>
        <w:jc w:val="both"/>
        <w:rPr>
          <w:rFonts w:ascii="Tahoma" w:hAnsi="Tahoma" w:cs="Tahoma"/>
          <w:sz w:val="22"/>
          <w:szCs w:val="22"/>
        </w:rPr>
      </w:pPr>
      <w:r w:rsidRPr="00AA634C">
        <w:rPr>
          <w:rFonts w:ascii="Tahoma" w:hAnsi="Tahoma" w:cs="Tahoma"/>
          <w:sz w:val="22"/>
          <w:szCs w:val="22"/>
        </w:rPr>
        <w:t>(1)</w:t>
      </w:r>
      <w:r>
        <w:rPr>
          <w:rFonts w:ascii="Tahoma" w:hAnsi="Tahoma" w:cs="Tahoma"/>
          <w:sz w:val="22"/>
          <w:szCs w:val="22"/>
        </w:rPr>
        <w:t xml:space="preserve"> </w:t>
      </w:r>
      <w:r w:rsidRPr="00AA634C">
        <w:rPr>
          <w:rFonts w:ascii="Tahoma" w:hAnsi="Tahoma" w:cs="Tahoma"/>
          <w:sz w:val="22"/>
          <w:szCs w:val="22"/>
        </w:rPr>
        <w:t>Yes. The cost to completion on the Medupi Project, as with other long term projects, is reviewed on an ongoing basis. The current approved cost to completion is R105bn. The Board of Eskom has not approved any f</w:t>
      </w:r>
      <w:r>
        <w:rPr>
          <w:rFonts w:ascii="Tahoma" w:hAnsi="Tahoma" w:cs="Tahoma"/>
          <w:sz w:val="22"/>
          <w:szCs w:val="22"/>
        </w:rPr>
        <w:t xml:space="preserve">urther revision to the R105bn. </w:t>
      </w:r>
      <w:r w:rsidRPr="00AA634C">
        <w:rPr>
          <w:rFonts w:ascii="Tahoma" w:hAnsi="Tahoma" w:cs="Tahoma"/>
          <w:sz w:val="22"/>
          <w:szCs w:val="22"/>
        </w:rPr>
        <w:t>The most recent review of the costs is currently undergoing internal Governance scrutiny.  Should an increase to the current cost of completion be required, the Board will seek the necessary Shareholder approval through the PFMA process.</w:t>
      </w:r>
    </w:p>
    <w:p w:rsidR="00294A71" w:rsidRPr="00AA634C" w:rsidRDefault="00294A71" w:rsidP="009D1ED5">
      <w:pPr>
        <w:jc w:val="both"/>
        <w:rPr>
          <w:rFonts w:ascii="Tahoma" w:hAnsi="Tahoma" w:cs="Tahoma"/>
          <w:sz w:val="22"/>
          <w:szCs w:val="22"/>
        </w:rPr>
      </w:pPr>
    </w:p>
    <w:p w:rsidR="00294A71" w:rsidRPr="00AA634C" w:rsidRDefault="00294A71" w:rsidP="009D1ED5">
      <w:pPr>
        <w:jc w:val="both"/>
        <w:rPr>
          <w:rFonts w:ascii="Tahoma" w:hAnsi="Tahoma" w:cs="Tahoma"/>
          <w:sz w:val="22"/>
          <w:szCs w:val="22"/>
        </w:rPr>
      </w:pPr>
      <w:r w:rsidRPr="00AA634C">
        <w:rPr>
          <w:rFonts w:ascii="Tahoma" w:hAnsi="Tahoma" w:cs="Tahoma"/>
          <w:sz w:val="22"/>
          <w:szCs w:val="22"/>
        </w:rPr>
        <w:t>(2)</w:t>
      </w:r>
      <w:r>
        <w:rPr>
          <w:rFonts w:ascii="Tahoma" w:hAnsi="Tahoma" w:cs="Tahoma"/>
          <w:sz w:val="22"/>
          <w:szCs w:val="22"/>
        </w:rPr>
        <w:t xml:space="preserve"> </w:t>
      </w:r>
      <w:r w:rsidRPr="00AA634C">
        <w:rPr>
          <w:rFonts w:ascii="Tahoma" w:hAnsi="Tahoma" w:cs="Tahoma"/>
          <w:sz w:val="22"/>
          <w:szCs w:val="22"/>
        </w:rPr>
        <w:t>Eskom is not familiar with the details, assumptions or factors that have been considered in the independent estimate of R300 billion, hence Eskom is not in a position to comment on th</w:t>
      </w:r>
      <w:r>
        <w:rPr>
          <w:rFonts w:ascii="Tahoma" w:hAnsi="Tahoma" w:cs="Tahoma"/>
          <w:sz w:val="22"/>
          <w:szCs w:val="22"/>
        </w:rPr>
        <w:t xml:space="preserve">e credibility of the estimate. </w:t>
      </w:r>
      <w:r w:rsidRPr="00AA634C">
        <w:rPr>
          <w:rFonts w:ascii="Tahoma" w:hAnsi="Tahoma" w:cs="Tahoma"/>
          <w:sz w:val="22"/>
          <w:szCs w:val="22"/>
        </w:rPr>
        <w:t xml:space="preserve">The current approved project cost to completion on the Medupi Project is R105 billion. </w:t>
      </w:r>
    </w:p>
    <w:p w:rsidR="00294A71" w:rsidRPr="00AA634C" w:rsidRDefault="00294A71" w:rsidP="009D1ED5">
      <w:pPr>
        <w:jc w:val="both"/>
        <w:rPr>
          <w:rFonts w:ascii="Tahoma" w:hAnsi="Tahoma" w:cs="Tahoma"/>
          <w:sz w:val="22"/>
          <w:szCs w:val="22"/>
        </w:rPr>
      </w:pPr>
    </w:p>
    <w:p w:rsidR="00294A71" w:rsidRPr="00AA634C" w:rsidRDefault="00294A71" w:rsidP="009D1ED5">
      <w:pPr>
        <w:jc w:val="both"/>
        <w:rPr>
          <w:rFonts w:ascii="Tahoma" w:hAnsi="Tahoma" w:cs="Tahoma"/>
          <w:sz w:val="22"/>
          <w:szCs w:val="22"/>
        </w:rPr>
      </w:pPr>
      <w:r w:rsidRPr="00AA634C">
        <w:rPr>
          <w:rFonts w:ascii="Tahoma" w:hAnsi="Tahoma" w:cs="Tahoma"/>
          <w:sz w:val="22"/>
          <w:szCs w:val="22"/>
        </w:rPr>
        <w:t>(3)</w:t>
      </w:r>
      <w:r>
        <w:rPr>
          <w:rFonts w:ascii="Tahoma" w:hAnsi="Tahoma" w:cs="Tahoma"/>
          <w:sz w:val="22"/>
          <w:szCs w:val="22"/>
        </w:rPr>
        <w:t xml:space="preserve"> </w:t>
      </w:r>
      <w:r w:rsidRPr="00AA634C">
        <w:rPr>
          <w:rFonts w:ascii="Tahoma" w:hAnsi="Tahoma" w:cs="Tahoma"/>
          <w:sz w:val="22"/>
          <w:szCs w:val="22"/>
        </w:rPr>
        <w:t>Eskom’s final cost estimate differs from the quoted independent estimate.</w:t>
      </w:r>
    </w:p>
    <w:p w:rsidR="00294A71" w:rsidRPr="00AA634C" w:rsidRDefault="00294A71" w:rsidP="009D1ED5">
      <w:pPr>
        <w:ind w:left="426" w:hanging="426"/>
        <w:jc w:val="both"/>
        <w:rPr>
          <w:rFonts w:ascii="Tahoma" w:hAnsi="Tahoma" w:cs="Tahoma"/>
          <w:sz w:val="22"/>
          <w:szCs w:val="22"/>
        </w:rPr>
      </w:pPr>
    </w:p>
    <w:p w:rsidR="00294A71" w:rsidRDefault="00294A71" w:rsidP="00EE250B">
      <w:pPr>
        <w:pStyle w:val="ListParagraph"/>
        <w:numPr>
          <w:ilvl w:val="0"/>
          <w:numId w:val="13"/>
        </w:numPr>
        <w:rPr>
          <w:rFonts w:ascii="Tahoma" w:hAnsi="Tahoma" w:cs="Tahoma"/>
          <w:sz w:val="22"/>
          <w:szCs w:val="22"/>
        </w:rPr>
      </w:pPr>
      <w:r w:rsidRPr="00EE250B">
        <w:rPr>
          <w:rFonts w:ascii="Tahoma" w:hAnsi="Tahoma" w:cs="Tahoma"/>
          <w:sz w:val="22"/>
          <w:szCs w:val="22"/>
        </w:rPr>
        <w:t>Eskom’s current approved cost to completion of Medupi of R105bn is R195 billion below the above mentioned independent estimate.</w:t>
      </w:r>
    </w:p>
    <w:p w:rsidR="00294A71" w:rsidRDefault="00294A71" w:rsidP="00EE250B">
      <w:pPr>
        <w:pStyle w:val="ListParagraph"/>
        <w:rPr>
          <w:rFonts w:ascii="Tahoma" w:hAnsi="Tahoma" w:cs="Tahoma"/>
          <w:sz w:val="22"/>
          <w:szCs w:val="22"/>
        </w:rPr>
      </w:pPr>
    </w:p>
    <w:p w:rsidR="00294A71" w:rsidRDefault="00294A71" w:rsidP="009D1ED5">
      <w:pPr>
        <w:pStyle w:val="ListParagraph"/>
        <w:numPr>
          <w:ilvl w:val="0"/>
          <w:numId w:val="13"/>
        </w:numPr>
        <w:rPr>
          <w:rFonts w:ascii="Tahoma" w:hAnsi="Tahoma" w:cs="Tahoma"/>
          <w:sz w:val="22"/>
          <w:szCs w:val="22"/>
        </w:rPr>
      </w:pPr>
      <w:r w:rsidRPr="00EE250B">
        <w:rPr>
          <w:rFonts w:ascii="Tahoma" w:hAnsi="Tahoma" w:cs="Tahoma"/>
          <w:sz w:val="22"/>
          <w:szCs w:val="22"/>
        </w:rPr>
        <w:t>The Government is aware that the Medupi project might have cost overruns due to the various factors and Eskom will provide the detail of cost overruns to the Department in due course when all the Government processes have been completed.</w:t>
      </w:r>
      <w:r>
        <w:rPr>
          <w:rFonts w:ascii="Tahoma" w:hAnsi="Tahoma" w:cs="Tahoma"/>
          <w:sz w:val="22"/>
          <w:szCs w:val="22"/>
        </w:rPr>
        <w:t xml:space="preserve"> </w:t>
      </w:r>
    </w:p>
    <w:p w:rsidR="00294A71" w:rsidRPr="00EE250B" w:rsidRDefault="00294A71" w:rsidP="00EE250B">
      <w:pPr>
        <w:pStyle w:val="ListParagraph"/>
        <w:rPr>
          <w:rFonts w:ascii="Tahoma" w:hAnsi="Tahoma" w:cs="Tahoma"/>
          <w:sz w:val="22"/>
          <w:szCs w:val="22"/>
        </w:rPr>
      </w:pPr>
    </w:p>
    <w:p w:rsidR="00294A71" w:rsidRPr="00EE250B" w:rsidRDefault="00294A71" w:rsidP="009D1ED5">
      <w:pPr>
        <w:pStyle w:val="ListParagraph"/>
        <w:numPr>
          <w:ilvl w:val="0"/>
          <w:numId w:val="13"/>
        </w:numPr>
        <w:rPr>
          <w:rFonts w:ascii="Tahoma" w:hAnsi="Tahoma" w:cs="Tahoma"/>
          <w:sz w:val="22"/>
          <w:szCs w:val="22"/>
        </w:rPr>
      </w:pPr>
      <w:r w:rsidRPr="00EE250B">
        <w:rPr>
          <w:rFonts w:ascii="Tahoma" w:hAnsi="Tahoma" w:cs="Tahoma"/>
          <w:sz w:val="22"/>
          <w:szCs w:val="22"/>
        </w:rPr>
        <w:t>Eskom is consistently incorporating techniques to improve performance and manage costs. These ideas for improvement are derived from lessons learnt on other local and international projects. The following main cost control measures have been implemented:</w:t>
      </w:r>
    </w:p>
    <w:p w:rsidR="00294A71" w:rsidRPr="00AA634C" w:rsidRDefault="00294A71" w:rsidP="009D1ED5">
      <w:pPr>
        <w:spacing w:before="240" w:after="100" w:afterAutospacing="1"/>
        <w:ind w:left="709" w:hanging="709"/>
        <w:jc w:val="both"/>
        <w:rPr>
          <w:rFonts w:ascii="Tahoma" w:hAnsi="Tahoma" w:cs="Tahoma"/>
          <w:sz w:val="22"/>
          <w:szCs w:val="22"/>
        </w:rPr>
      </w:pPr>
      <w:r w:rsidRPr="00AA634C">
        <w:rPr>
          <w:rFonts w:ascii="Tahoma" w:hAnsi="Tahoma" w:cs="Tahoma"/>
          <w:sz w:val="22"/>
          <w:szCs w:val="22"/>
        </w:rPr>
        <w:t>•</w:t>
      </w:r>
      <w:r w:rsidRPr="00AA634C">
        <w:rPr>
          <w:rFonts w:ascii="Tahoma" w:hAnsi="Tahoma" w:cs="Tahoma"/>
          <w:sz w:val="22"/>
          <w:szCs w:val="22"/>
        </w:rPr>
        <w:tab/>
        <w:t>The introduction of additional supervisory resources to manage construction interfaces and the quality of on-site construction activities and off-site fabrication works.</w:t>
      </w:r>
    </w:p>
    <w:p w:rsidR="00294A71" w:rsidRPr="00AA634C" w:rsidRDefault="00294A71" w:rsidP="009D1ED5">
      <w:pPr>
        <w:spacing w:before="240" w:after="100" w:afterAutospacing="1"/>
        <w:jc w:val="both"/>
        <w:rPr>
          <w:rFonts w:ascii="Tahoma" w:hAnsi="Tahoma" w:cs="Tahoma"/>
          <w:sz w:val="22"/>
          <w:szCs w:val="22"/>
        </w:rPr>
      </w:pPr>
      <w:r w:rsidRPr="00AA634C">
        <w:rPr>
          <w:rFonts w:ascii="Tahoma" w:hAnsi="Tahoma" w:cs="Tahoma"/>
          <w:sz w:val="22"/>
          <w:szCs w:val="22"/>
        </w:rPr>
        <w:t>•</w:t>
      </w:r>
      <w:r w:rsidRPr="00AA634C">
        <w:rPr>
          <w:rFonts w:ascii="Tahoma" w:hAnsi="Tahoma" w:cs="Tahoma"/>
          <w:sz w:val="22"/>
          <w:szCs w:val="22"/>
        </w:rPr>
        <w:tab/>
        <w:t>The strengthening of construction techniques within the project.</w:t>
      </w:r>
    </w:p>
    <w:p w:rsidR="00294A71" w:rsidRPr="00AA634C" w:rsidRDefault="00294A71" w:rsidP="009D1ED5">
      <w:pPr>
        <w:spacing w:before="240" w:after="100" w:afterAutospacing="1"/>
        <w:ind w:left="709" w:hanging="709"/>
        <w:jc w:val="both"/>
        <w:rPr>
          <w:rFonts w:ascii="Tahoma" w:hAnsi="Tahoma" w:cs="Tahoma"/>
          <w:sz w:val="22"/>
          <w:szCs w:val="22"/>
        </w:rPr>
      </w:pPr>
      <w:r w:rsidRPr="00AA634C">
        <w:rPr>
          <w:rFonts w:ascii="Tahoma" w:hAnsi="Tahoma" w:cs="Tahoma"/>
          <w:sz w:val="22"/>
          <w:szCs w:val="22"/>
        </w:rPr>
        <w:t>•</w:t>
      </w:r>
      <w:r w:rsidRPr="00AA634C">
        <w:rPr>
          <w:rFonts w:ascii="Tahoma" w:hAnsi="Tahoma" w:cs="Tahoma"/>
          <w:sz w:val="22"/>
          <w:szCs w:val="22"/>
        </w:rPr>
        <w:tab/>
        <w:t>Implementation of a robust claims management strategy.</w:t>
      </w:r>
    </w:p>
    <w:p w:rsidR="00294A71" w:rsidRPr="00AA634C" w:rsidRDefault="00294A71" w:rsidP="009D1ED5">
      <w:pPr>
        <w:spacing w:before="240" w:after="100" w:afterAutospacing="1"/>
        <w:ind w:left="709" w:hanging="709"/>
        <w:jc w:val="both"/>
        <w:rPr>
          <w:rFonts w:ascii="Tahoma" w:hAnsi="Tahoma" w:cs="Tahoma"/>
          <w:sz w:val="22"/>
          <w:szCs w:val="22"/>
        </w:rPr>
      </w:pPr>
      <w:r w:rsidRPr="00AA634C">
        <w:rPr>
          <w:rFonts w:ascii="Tahoma" w:hAnsi="Tahoma" w:cs="Tahoma"/>
          <w:sz w:val="22"/>
          <w:szCs w:val="22"/>
        </w:rPr>
        <w:t>•</w:t>
      </w:r>
      <w:r w:rsidRPr="00AA634C">
        <w:rPr>
          <w:rFonts w:ascii="Tahoma" w:hAnsi="Tahoma" w:cs="Tahoma"/>
          <w:sz w:val="22"/>
          <w:szCs w:val="22"/>
        </w:rPr>
        <w:tab/>
        <w:t>Improved Project oversight and streamlined decision making via the Eskom Board Build Program Review Committee and Eskom’s Executive Build Program Review Committee.</w:t>
      </w:r>
    </w:p>
    <w:p w:rsidR="00294A71" w:rsidRPr="00AA634C" w:rsidRDefault="00294A71">
      <w:pPr>
        <w:spacing w:after="200" w:line="276" w:lineRule="auto"/>
        <w:rPr>
          <w:rFonts w:ascii="Tahoma" w:hAnsi="Tahoma" w:cs="Tahoma"/>
          <w:sz w:val="22"/>
          <w:szCs w:val="22"/>
        </w:rPr>
      </w:pPr>
      <w:r w:rsidRPr="00AA634C">
        <w:rPr>
          <w:rFonts w:ascii="Tahoma" w:hAnsi="Tahoma" w:cs="Tahoma"/>
          <w:sz w:val="22"/>
          <w:szCs w:val="22"/>
        </w:rPr>
        <w:br w:type="page"/>
      </w:r>
    </w:p>
    <w:p w:rsidR="00294A71" w:rsidRPr="00EE250B" w:rsidRDefault="00294A71" w:rsidP="00EE250B">
      <w:pPr>
        <w:rPr>
          <w:rFonts w:ascii="Tahoma" w:hAnsi="Tahoma" w:cs="Tahoma"/>
          <w:sz w:val="22"/>
          <w:szCs w:val="22"/>
        </w:rPr>
      </w:pPr>
      <w:r>
        <w:rPr>
          <w:rFonts w:ascii="Tahoma" w:hAnsi="Tahoma" w:cs="Tahoma"/>
          <w:sz w:val="22"/>
          <w:szCs w:val="22"/>
        </w:rPr>
        <w:t xml:space="preserve">(4) </w:t>
      </w:r>
      <w:r w:rsidRPr="00EE250B">
        <w:rPr>
          <w:rFonts w:ascii="Tahoma" w:hAnsi="Tahoma" w:cs="Tahoma"/>
          <w:sz w:val="22"/>
          <w:szCs w:val="22"/>
        </w:rPr>
        <w:t xml:space="preserve">The Minister will continue with the shareholder oversight pertaining to the progress of the </w:t>
      </w:r>
      <w:r>
        <w:rPr>
          <w:rFonts w:ascii="Tahoma" w:hAnsi="Tahoma" w:cs="Tahoma"/>
          <w:sz w:val="22"/>
          <w:szCs w:val="22"/>
        </w:rPr>
        <w:t xml:space="preserve">Medupi Power Station project. </w:t>
      </w:r>
      <w:r w:rsidRPr="00EE250B">
        <w:rPr>
          <w:rFonts w:ascii="Tahoma" w:hAnsi="Tahoma" w:cs="Tahoma"/>
          <w:sz w:val="22"/>
          <w:szCs w:val="22"/>
        </w:rPr>
        <w:t xml:space="preserve">The operational issues of the project are handled by the Eskom and quarterly progress </w:t>
      </w:r>
      <w:r>
        <w:rPr>
          <w:rFonts w:ascii="Tahoma" w:hAnsi="Tahoma" w:cs="Tahoma"/>
          <w:sz w:val="22"/>
          <w:szCs w:val="22"/>
        </w:rPr>
        <w:t xml:space="preserve">is provided to the Department. </w:t>
      </w:r>
      <w:r w:rsidRPr="00EE250B">
        <w:rPr>
          <w:rFonts w:ascii="Tahoma" w:hAnsi="Tahoma" w:cs="Tahoma"/>
          <w:color w:val="000000"/>
          <w:sz w:val="22"/>
          <w:szCs w:val="22"/>
        </w:rPr>
        <w:t>The Department has undertaken a study to evaluate Eskom’s build programme and there has been lessons learned which are to be implemented to the build programme.</w:t>
      </w:r>
    </w:p>
    <w:p w:rsidR="00294A71" w:rsidRPr="00AA634C" w:rsidRDefault="00294A71" w:rsidP="006508D0">
      <w:pPr>
        <w:spacing w:line="360" w:lineRule="auto"/>
        <w:jc w:val="both"/>
        <w:rPr>
          <w:rFonts w:ascii="Arial" w:hAnsi="Arial" w:cs="Arial"/>
          <w:bCs/>
          <w:sz w:val="22"/>
          <w:szCs w:val="22"/>
          <w:lang w:val="en-ZA"/>
        </w:rPr>
      </w:pPr>
    </w:p>
    <w:p w:rsidR="00294A71" w:rsidRPr="00225750" w:rsidRDefault="00294A71" w:rsidP="006508D0">
      <w:pPr>
        <w:spacing w:line="360" w:lineRule="auto"/>
        <w:jc w:val="both"/>
        <w:rPr>
          <w:rFonts w:ascii="Arial" w:hAnsi="Arial" w:cs="Arial"/>
          <w:bCs/>
          <w:sz w:val="22"/>
          <w:szCs w:val="22"/>
          <w:lang w:val="en-ZA"/>
        </w:rPr>
      </w:pPr>
    </w:p>
    <w:p w:rsidR="00294A71" w:rsidRPr="007142AF" w:rsidRDefault="00294A71" w:rsidP="006508D0">
      <w:pPr>
        <w:ind w:left="360"/>
        <w:rPr>
          <w:rFonts w:ascii="Arial" w:hAnsi="Arial" w:cs="Arial"/>
          <w:b/>
          <w:bCs/>
          <w:sz w:val="22"/>
          <w:szCs w:val="22"/>
          <w:lang w:val="en-ZA"/>
        </w:rPr>
      </w:pPr>
    </w:p>
    <w:p w:rsidR="00294A71" w:rsidRPr="007142AF" w:rsidRDefault="00294A71" w:rsidP="006508D0">
      <w:pPr>
        <w:ind w:left="360"/>
        <w:rPr>
          <w:rFonts w:ascii="Arial" w:hAnsi="Arial" w:cs="Arial"/>
          <w:b/>
          <w:bCs/>
          <w:sz w:val="22"/>
          <w:szCs w:val="22"/>
          <w:lang w:val="en-ZA"/>
        </w:rPr>
      </w:pPr>
    </w:p>
    <w:p w:rsidR="00294A71" w:rsidRDefault="00294A71" w:rsidP="006508D0">
      <w:pPr>
        <w:ind w:left="360"/>
        <w:rPr>
          <w:rFonts w:ascii="Arial" w:hAnsi="Arial" w:cs="Arial"/>
          <w:b/>
          <w:bCs/>
          <w:sz w:val="22"/>
          <w:szCs w:val="22"/>
          <w:lang w:val="en-ZA"/>
        </w:rPr>
      </w:pPr>
    </w:p>
    <w:p w:rsidR="00294A71" w:rsidRPr="007142AF" w:rsidRDefault="00294A71" w:rsidP="00517C20">
      <w:pPr>
        <w:spacing w:line="360" w:lineRule="auto"/>
        <w:ind w:left="720"/>
        <w:jc w:val="both"/>
        <w:rPr>
          <w:rFonts w:ascii="Arial" w:hAnsi="Arial" w:cs="Arial"/>
          <w:bCs/>
          <w:sz w:val="22"/>
          <w:szCs w:val="22"/>
          <w:lang w:val="en-ZA"/>
        </w:rPr>
      </w:pPr>
      <w:bookmarkStart w:id="0" w:name="_GoBack"/>
      <w:bookmarkEnd w:id="0"/>
    </w:p>
    <w:p w:rsidR="00B43D13" w:rsidRDefault="00B43D13" w:rsidP="00294A71"/>
    <w:sectPr w:rsidR="00B43D13" w:rsidSect="007142AF">
      <w:footerReference w:type="default" r:id="rId8"/>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3F" w:rsidRDefault="005D7C3F" w:rsidP="00FC0D1F">
      <w:r>
        <w:separator/>
      </w:r>
    </w:p>
  </w:endnote>
  <w:endnote w:type="continuationSeparator" w:id="0">
    <w:p w:rsidR="005D7C3F" w:rsidRDefault="005D7C3F" w:rsidP="00FC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71" w:rsidRDefault="00294A71">
    <w:pPr>
      <w:pStyle w:val="Footer"/>
      <w:jc w:val="right"/>
    </w:pPr>
    <w:fldSimple w:instr=" PAGE   \* MERGEFORMAT ">
      <w:r w:rsidR="0023649C">
        <w:rPr>
          <w:noProof/>
        </w:rPr>
        <w:t>2</w:t>
      </w:r>
    </w:fldSimple>
  </w:p>
  <w:p w:rsidR="00294A71" w:rsidRDefault="00294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3F" w:rsidRDefault="005D7C3F" w:rsidP="00FC0D1F">
      <w:r>
        <w:separator/>
      </w:r>
    </w:p>
  </w:footnote>
  <w:footnote w:type="continuationSeparator" w:id="0">
    <w:p w:rsidR="005D7C3F" w:rsidRDefault="005D7C3F" w:rsidP="00FC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CFA"/>
    <w:multiLevelType w:val="hybridMultilevel"/>
    <w:tmpl w:val="E5CE8BEC"/>
    <w:lvl w:ilvl="0" w:tplc="ED162446">
      <w:start w:val="2"/>
      <w:numFmt w:val="decimal"/>
      <w:lvlText w:val="%1)"/>
      <w:lvlJc w:val="left"/>
      <w:pPr>
        <w:ind w:left="794" w:hanging="360"/>
      </w:pPr>
      <w:rPr>
        <w:rFonts w:cs="Times New Roman" w:hint="default"/>
      </w:rPr>
    </w:lvl>
    <w:lvl w:ilvl="1" w:tplc="1C090019" w:tentative="1">
      <w:start w:val="1"/>
      <w:numFmt w:val="lowerLetter"/>
      <w:lvlText w:val="%2."/>
      <w:lvlJc w:val="left"/>
      <w:pPr>
        <w:ind w:left="1874" w:hanging="360"/>
      </w:pPr>
      <w:rPr>
        <w:rFonts w:cs="Times New Roman"/>
      </w:rPr>
    </w:lvl>
    <w:lvl w:ilvl="2" w:tplc="1C09001B" w:tentative="1">
      <w:start w:val="1"/>
      <w:numFmt w:val="lowerRoman"/>
      <w:lvlText w:val="%3."/>
      <w:lvlJc w:val="right"/>
      <w:pPr>
        <w:ind w:left="2594" w:hanging="180"/>
      </w:pPr>
      <w:rPr>
        <w:rFonts w:cs="Times New Roman"/>
      </w:rPr>
    </w:lvl>
    <w:lvl w:ilvl="3" w:tplc="1C09000F" w:tentative="1">
      <w:start w:val="1"/>
      <w:numFmt w:val="decimal"/>
      <w:lvlText w:val="%4."/>
      <w:lvlJc w:val="left"/>
      <w:pPr>
        <w:ind w:left="3314" w:hanging="360"/>
      </w:pPr>
      <w:rPr>
        <w:rFonts w:cs="Times New Roman"/>
      </w:rPr>
    </w:lvl>
    <w:lvl w:ilvl="4" w:tplc="1C090019" w:tentative="1">
      <w:start w:val="1"/>
      <w:numFmt w:val="lowerLetter"/>
      <w:lvlText w:val="%5."/>
      <w:lvlJc w:val="left"/>
      <w:pPr>
        <w:ind w:left="4034" w:hanging="360"/>
      </w:pPr>
      <w:rPr>
        <w:rFonts w:cs="Times New Roman"/>
      </w:rPr>
    </w:lvl>
    <w:lvl w:ilvl="5" w:tplc="1C09001B" w:tentative="1">
      <w:start w:val="1"/>
      <w:numFmt w:val="lowerRoman"/>
      <w:lvlText w:val="%6."/>
      <w:lvlJc w:val="right"/>
      <w:pPr>
        <w:ind w:left="4754" w:hanging="180"/>
      </w:pPr>
      <w:rPr>
        <w:rFonts w:cs="Times New Roman"/>
      </w:rPr>
    </w:lvl>
    <w:lvl w:ilvl="6" w:tplc="1C09000F" w:tentative="1">
      <w:start w:val="1"/>
      <w:numFmt w:val="decimal"/>
      <w:lvlText w:val="%7."/>
      <w:lvlJc w:val="left"/>
      <w:pPr>
        <w:ind w:left="5474" w:hanging="360"/>
      </w:pPr>
      <w:rPr>
        <w:rFonts w:cs="Times New Roman"/>
      </w:rPr>
    </w:lvl>
    <w:lvl w:ilvl="7" w:tplc="1C090019" w:tentative="1">
      <w:start w:val="1"/>
      <w:numFmt w:val="lowerLetter"/>
      <w:lvlText w:val="%8."/>
      <w:lvlJc w:val="left"/>
      <w:pPr>
        <w:ind w:left="6194" w:hanging="360"/>
      </w:pPr>
      <w:rPr>
        <w:rFonts w:cs="Times New Roman"/>
      </w:rPr>
    </w:lvl>
    <w:lvl w:ilvl="8" w:tplc="1C09001B" w:tentative="1">
      <w:start w:val="1"/>
      <w:numFmt w:val="lowerRoman"/>
      <w:lvlText w:val="%9."/>
      <w:lvlJc w:val="right"/>
      <w:pPr>
        <w:ind w:left="6914" w:hanging="180"/>
      </w:pPr>
      <w:rPr>
        <w:rFonts w:cs="Times New Roman"/>
      </w:rPr>
    </w:lvl>
  </w:abstractNum>
  <w:abstractNum w:abstractNumId="1">
    <w:nsid w:val="13E565B2"/>
    <w:multiLevelType w:val="hybridMultilevel"/>
    <w:tmpl w:val="A1E08870"/>
    <w:lvl w:ilvl="0" w:tplc="90DA686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7AE3164"/>
    <w:multiLevelType w:val="hybridMultilevel"/>
    <w:tmpl w:val="63AE946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8DB3B7E"/>
    <w:multiLevelType w:val="hybridMultilevel"/>
    <w:tmpl w:val="480422D4"/>
    <w:lvl w:ilvl="0" w:tplc="94D8895E">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2646102C"/>
    <w:multiLevelType w:val="hybridMultilevel"/>
    <w:tmpl w:val="19DA124C"/>
    <w:lvl w:ilvl="0" w:tplc="1FB0E60C">
      <w:start w:val="1"/>
      <w:numFmt w:val="decimal"/>
      <w:lvlText w:val="(%1)"/>
      <w:lvlJc w:val="left"/>
      <w:pPr>
        <w:ind w:left="1125" w:hanging="4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6683F7C"/>
    <w:multiLevelType w:val="hybridMultilevel"/>
    <w:tmpl w:val="12C0BCC8"/>
    <w:lvl w:ilvl="0" w:tplc="AC84ED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F4B0AB4"/>
    <w:multiLevelType w:val="hybridMultilevel"/>
    <w:tmpl w:val="4C606542"/>
    <w:lvl w:ilvl="0" w:tplc="04090011">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F4E061D"/>
    <w:multiLevelType w:val="hybridMultilevel"/>
    <w:tmpl w:val="D7B00822"/>
    <w:lvl w:ilvl="0" w:tplc="EE04A68C">
      <w:start w:val="4"/>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624A7399"/>
    <w:multiLevelType w:val="hybridMultilevel"/>
    <w:tmpl w:val="00EE035A"/>
    <w:lvl w:ilvl="0" w:tplc="6CDEFA96">
      <w:start w:val="1"/>
      <w:numFmt w:val="decimal"/>
      <w:lvlText w:val="(%1)"/>
      <w:lvlJc w:val="left"/>
      <w:pPr>
        <w:ind w:left="885" w:hanging="88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F6E1C40"/>
    <w:multiLevelType w:val="hybridMultilevel"/>
    <w:tmpl w:val="5F78156A"/>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735B45F2"/>
    <w:multiLevelType w:val="hybridMultilevel"/>
    <w:tmpl w:val="67B05BFE"/>
    <w:lvl w:ilvl="0" w:tplc="04090011">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CC440CE"/>
    <w:multiLevelType w:val="hybridMultilevel"/>
    <w:tmpl w:val="743220D2"/>
    <w:lvl w:ilvl="0" w:tplc="1C090011">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7DDB1B3B"/>
    <w:multiLevelType w:val="hybridMultilevel"/>
    <w:tmpl w:val="B2005790"/>
    <w:lvl w:ilvl="0" w:tplc="8C28405E">
      <w:start w:val="1"/>
      <w:numFmt w:val="decimal"/>
      <w:lvlText w:val="(%1)"/>
      <w:lvlJc w:val="left"/>
      <w:pPr>
        <w:ind w:left="960" w:hanging="9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7FEE1887"/>
    <w:multiLevelType w:val="hybridMultilevel"/>
    <w:tmpl w:val="2F10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2"/>
  </w:num>
  <w:num w:numId="6">
    <w:abstractNumId w:val="5"/>
  </w:num>
  <w:num w:numId="7">
    <w:abstractNumId w:val="4"/>
  </w:num>
  <w:num w:numId="8">
    <w:abstractNumId w:val="10"/>
  </w:num>
  <w:num w:numId="9">
    <w:abstractNumId w:val="11"/>
  </w:num>
  <w:num w:numId="10">
    <w:abstractNumId w:val="9"/>
  </w:num>
  <w:num w:numId="11">
    <w:abstractNumId w:val="13"/>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F6321"/>
    <w:rsid w:val="00053DA7"/>
    <w:rsid w:val="00063424"/>
    <w:rsid w:val="000C0FB3"/>
    <w:rsid w:val="000C5074"/>
    <w:rsid w:val="001576BD"/>
    <w:rsid w:val="00191A44"/>
    <w:rsid w:val="00194965"/>
    <w:rsid w:val="001F6321"/>
    <w:rsid w:val="00217E9A"/>
    <w:rsid w:val="00225750"/>
    <w:rsid w:val="0023649C"/>
    <w:rsid w:val="00294A71"/>
    <w:rsid w:val="002E487D"/>
    <w:rsid w:val="0031566F"/>
    <w:rsid w:val="00317E3F"/>
    <w:rsid w:val="00352FC2"/>
    <w:rsid w:val="00377CBD"/>
    <w:rsid w:val="00397068"/>
    <w:rsid w:val="003D2871"/>
    <w:rsid w:val="003D3AD7"/>
    <w:rsid w:val="00416C32"/>
    <w:rsid w:val="00420D54"/>
    <w:rsid w:val="00423378"/>
    <w:rsid w:val="004C0352"/>
    <w:rsid w:val="004F5FAA"/>
    <w:rsid w:val="00513B36"/>
    <w:rsid w:val="00513D9F"/>
    <w:rsid w:val="00517C20"/>
    <w:rsid w:val="00531862"/>
    <w:rsid w:val="00535404"/>
    <w:rsid w:val="0053554A"/>
    <w:rsid w:val="00587DB2"/>
    <w:rsid w:val="0059708F"/>
    <w:rsid w:val="00597512"/>
    <w:rsid w:val="005D7C3F"/>
    <w:rsid w:val="006508D0"/>
    <w:rsid w:val="00652606"/>
    <w:rsid w:val="00661354"/>
    <w:rsid w:val="006673AD"/>
    <w:rsid w:val="006E1731"/>
    <w:rsid w:val="007142AF"/>
    <w:rsid w:val="00764FFE"/>
    <w:rsid w:val="00793244"/>
    <w:rsid w:val="007C44DD"/>
    <w:rsid w:val="00824A51"/>
    <w:rsid w:val="00841364"/>
    <w:rsid w:val="00860E0A"/>
    <w:rsid w:val="008A0000"/>
    <w:rsid w:val="00904EB8"/>
    <w:rsid w:val="0092208F"/>
    <w:rsid w:val="00925233"/>
    <w:rsid w:val="009306D9"/>
    <w:rsid w:val="0095067B"/>
    <w:rsid w:val="009831F2"/>
    <w:rsid w:val="009C76AE"/>
    <w:rsid w:val="009D1ED5"/>
    <w:rsid w:val="009F6A9A"/>
    <w:rsid w:val="00A72078"/>
    <w:rsid w:val="00A7556A"/>
    <w:rsid w:val="00A95A14"/>
    <w:rsid w:val="00AA3B22"/>
    <w:rsid w:val="00AA3B4F"/>
    <w:rsid w:val="00AA3C82"/>
    <w:rsid w:val="00AA634C"/>
    <w:rsid w:val="00AA678D"/>
    <w:rsid w:val="00AB1780"/>
    <w:rsid w:val="00B05BB0"/>
    <w:rsid w:val="00B10734"/>
    <w:rsid w:val="00B10AFA"/>
    <w:rsid w:val="00B43D13"/>
    <w:rsid w:val="00B534D1"/>
    <w:rsid w:val="00B5424F"/>
    <w:rsid w:val="00BB1843"/>
    <w:rsid w:val="00BB4E62"/>
    <w:rsid w:val="00C6638A"/>
    <w:rsid w:val="00C97BC1"/>
    <w:rsid w:val="00CA4F51"/>
    <w:rsid w:val="00CE6B10"/>
    <w:rsid w:val="00CF7DE9"/>
    <w:rsid w:val="00D454D4"/>
    <w:rsid w:val="00D74659"/>
    <w:rsid w:val="00D80C7D"/>
    <w:rsid w:val="00D83175"/>
    <w:rsid w:val="00D90992"/>
    <w:rsid w:val="00DA1AA4"/>
    <w:rsid w:val="00DC7800"/>
    <w:rsid w:val="00DF6D82"/>
    <w:rsid w:val="00E0473D"/>
    <w:rsid w:val="00E10CEF"/>
    <w:rsid w:val="00E63977"/>
    <w:rsid w:val="00EE250B"/>
    <w:rsid w:val="00F14EA0"/>
    <w:rsid w:val="00F26BEC"/>
    <w:rsid w:val="00F33EF8"/>
    <w:rsid w:val="00FA20B4"/>
    <w:rsid w:val="00FB5090"/>
    <w:rsid w:val="00FC0D1F"/>
    <w:rsid w:val="00FD0096"/>
    <w:rsid w:val="00FE0A5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321"/>
    <w:rPr>
      <w:rFonts w:ascii="Times New Roman" w:hAnsi="Times New Roman"/>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FC0D1F"/>
    <w:pPr>
      <w:ind w:left="720"/>
      <w:contextualSpacing/>
      <w:jc w:val="both"/>
    </w:pPr>
    <w:rPr>
      <w:rFonts w:ascii="Arial Narrow" w:hAnsi="Arial Narrow"/>
      <w:color w:val="000000"/>
      <w:szCs w:val="20"/>
      <w:lang w:val="en-ZA"/>
    </w:rPr>
  </w:style>
  <w:style w:type="paragraph" w:styleId="Header">
    <w:name w:val="header"/>
    <w:basedOn w:val="Normal"/>
    <w:link w:val="HeaderChar"/>
    <w:rsid w:val="00FC0D1F"/>
    <w:pPr>
      <w:tabs>
        <w:tab w:val="center" w:pos="4513"/>
        <w:tab w:val="right" w:pos="9026"/>
      </w:tabs>
    </w:pPr>
  </w:style>
  <w:style w:type="character" w:customStyle="1" w:styleId="HeaderChar">
    <w:name w:val="Header Char"/>
    <w:basedOn w:val="DefaultParagraphFont"/>
    <w:link w:val="Header"/>
    <w:locked/>
    <w:rsid w:val="00FC0D1F"/>
    <w:rPr>
      <w:rFonts w:ascii="Times New Roman" w:hAnsi="Times New Roman" w:cs="Times New Roman"/>
      <w:sz w:val="24"/>
      <w:szCs w:val="24"/>
      <w:lang w:val="en-US"/>
    </w:rPr>
  </w:style>
  <w:style w:type="paragraph" w:styleId="Footer">
    <w:name w:val="footer"/>
    <w:basedOn w:val="Normal"/>
    <w:link w:val="FooterChar"/>
    <w:rsid w:val="00FC0D1F"/>
    <w:pPr>
      <w:tabs>
        <w:tab w:val="center" w:pos="4513"/>
        <w:tab w:val="right" w:pos="9026"/>
      </w:tabs>
    </w:pPr>
  </w:style>
  <w:style w:type="character" w:customStyle="1" w:styleId="FooterChar">
    <w:name w:val="Footer Char"/>
    <w:basedOn w:val="DefaultParagraphFont"/>
    <w:link w:val="Footer"/>
    <w:locked/>
    <w:rsid w:val="00FC0D1F"/>
    <w:rPr>
      <w:rFonts w:ascii="Times New Roman" w:hAnsi="Times New Roman" w:cs="Times New Roman"/>
      <w:sz w:val="24"/>
      <w:szCs w:val="24"/>
      <w:lang w:val="en-US"/>
    </w:rPr>
  </w:style>
  <w:style w:type="paragraph" w:styleId="BodyText">
    <w:name w:val="Body Text"/>
    <w:basedOn w:val="Normal"/>
    <w:link w:val="BodyTextChar"/>
    <w:rsid w:val="003D2871"/>
    <w:pPr>
      <w:spacing w:after="120"/>
    </w:pPr>
  </w:style>
  <w:style w:type="character" w:customStyle="1" w:styleId="BodyTextChar">
    <w:name w:val="Body Text Char"/>
    <w:basedOn w:val="DefaultParagraphFont"/>
    <w:link w:val="BodyText"/>
    <w:locked/>
    <w:rsid w:val="003D2871"/>
    <w:rPr>
      <w:rFonts w:ascii="Times New Roman" w:hAnsi="Times New Roman" w:cs="Times New Roman"/>
      <w:sz w:val="24"/>
      <w:szCs w:val="24"/>
      <w:lang w:val="en-US"/>
    </w:rPr>
  </w:style>
  <w:style w:type="paragraph" w:styleId="NoSpacing">
    <w:name w:val="No Spacing"/>
    <w:qFormat/>
    <w:rsid w:val="003D2871"/>
    <w:rPr>
      <w:sz w:val="22"/>
      <w:szCs w:val="22"/>
      <w:lang w:val="en-US" w:eastAsia="en-US"/>
    </w:rPr>
  </w:style>
  <w:style w:type="paragraph" w:styleId="BalloonText">
    <w:name w:val="Balloon Text"/>
    <w:basedOn w:val="Normal"/>
    <w:link w:val="BalloonTextChar"/>
    <w:semiHidden/>
    <w:rsid w:val="00CE6B10"/>
    <w:rPr>
      <w:rFonts w:ascii="Tahoma" w:hAnsi="Tahoma" w:cs="Tahoma"/>
      <w:sz w:val="16"/>
      <w:szCs w:val="16"/>
    </w:rPr>
  </w:style>
  <w:style w:type="character" w:customStyle="1" w:styleId="BalloonTextChar">
    <w:name w:val="Balloon Text Char"/>
    <w:basedOn w:val="DefaultParagraphFont"/>
    <w:link w:val="BalloonText"/>
    <w:semiHidden/>
    <w:locked/>
    <w:rsid w:val="00CE6B1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Nazeema.Ahmed</dc:creator>
  <cp:lastModifiedBy>PUMZA</cp:lastModifiedBy>
  <cp:revision>2</cp:revision>
  <cp:lastPrinted>2015-06-23T05:55:00Z</cp:lastPrinted>
  <dcterms:created xsi:type="dcterms:W3CDTF">2015-07-22T12:55:00Z</dcterms:created>
  <dcterms:modified xsi:type="dcterms:W3CDTF">2015-07-22T12:55:00Z</dcterms:modified>
</cp:coreProperties>
</file>