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FA" w:rsidRPr="00E864CE" w:rsidRDefault="007851FA" w:rsidP="007851FA">
      <w:pPr>
        <w:rPr>
          <w:rFonts w:ascii="Arial" w:hAnsi="Arial" w:cs="Arial"/>
          <w:lang w:eastAsia="en-ZA"/>
        </w:rPr>
      </w:pPr>
      <w:r w:rsidRPr="00E864CE"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51FA" w:rsidRPr="00E864CE" w:rsidRDefault="007851FA" w:rsidP="007851FA">
      <w:pPr>
        <w:autoSpaceDE w:val="0"/>
        <w:autoSpaceDN w:val="0"/>
        <w:adjustRightInd w:val="0"/>
        <w:rPr>
          <w:rFonts w:ascii="Arial" w:hAnsi="Arial" w:cs="Arial"/>
        </w:rPr>
      </w:pPr>
    </w:p>
    <w:p w:rsidR="007851FA" w:rsidRPr="00E864CE" w:rsidRDefault="007851FA" w:rsidP="007851FA">
      <w:pPr>
        <w:rPr>
          <w:rFonts w:ascii="Arial" w:hAnsi="Arial" w:cs="Arial"/>
          <w:b/>
          <w:bCs/>
          <w:color w:val="4F6228"/>
          <w:lang w:eastAsia="en-ZA"/>
        </w:rPr>
      </w:pPr>
    </w:p>
    <w:p w:rsidR="007851FA" w:rsidRPr="00E864CE" w:rsidRDefault="007851FA" w:rsidP="007851FA">
      <w:pPr>
        <w:rPr>
          <w:rFonts w:ascii="Arial" w:hAnsi="Arial" w:cs="Arial"/>
          <w:b/>
          <w:bCs/>
          <w:color w:val="4F6228"/>
          <w:lang w:eastAsia="en-ZA"/>
        </w:rPr>
      </w:pPr>
    </w:p>
    <w:p w:rsidR="007851FA" w:rsidRPr="00E864CE" w:rsidRDefault="007851FA" w:rsidP="007851FA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7851FA" w:rsidRPr="00E864CE" w:rsidRDefault="007851FA" w:rsidP="007851FA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7851FA" w:rsidRPr="00E864CE" w:rsidRDefault="007851FA" w:rsidP="007851FA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7851FA" w:rsidRPr="00E864CE" w:rsidRDefault="007851FA" w:rsidP="007851FA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7851FA" w:rsidRPr="00E864CE" w:rsidRDefault="007851FA" w:rsidP="007851FA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E864CE"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7851FA" w:rsidRPr="00E864CE" w:rsidRDefault="007851FA" w:rsidP="007851FA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7851FA" w:rsidRPr="00E864CE" w:rsidRDefault="007851FA" w:rsidP="007851FA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ab/>
      </w:r>
      <w:r w:rsidRPr="00E864CE">
        <w:rPr>
          <w:rFonts w:ascii="Arial" w:hAnsi="Arial" w:cs="Arial"/>
          <w:b/>
          <w:bCs/>
          <w:color w:val="4F6228"/>
          <w:lang w:eastAsia="en-ZA"/>
        </w:rPr>
        <w:t xml:space="preserve">REPUBLIC OF SOUTH AFRICA </w:t>
      </w:r>
      <w:r>
        <w:rPr>
          <w:rFonts w:ascii="Arial" w:hAnsi="Arial" w:cs="Arial"/>
          <w:b/>
          <w:bCs/>
          <w:color w:val="4F6228"/>
          <w:lang w:eastAsia="en-ZA"/>
        </w:rPr>
        <w:tab/>
      </w:r>
    </w:p>
    <w:p w:rsidR="007851FA" w:rsidRPr="00E864CE" w:rsidRDefault="007851FA" w:rsidP="007851FA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 w:rsidRPr="00E864CE"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7851FA" w:rsidRPr="00E864CE" w:rsidRDefault="007851FA" w:rsidP="007851FA">
      <w:pPr>
        <w:jc w:val="center"/>
        <w:outlineLvl w:val="0"/>
        <w:rPr>
          <w:rFonts w:ascii="Arial" w:hAnsi="Arial" w:cs="Arial"/>
          <w:lang w:eastAsia="en-ZA"/>
        </w:rPr>
      </w:pPr>
      <w:r w:rsidRPr="00E864CE"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 w:rsidRPr="00E864CE">
        <w:rPr>
          <w:rFonts w:ascii="Arial" w:hAnsi="Arial" w:cs="Arial"/>
          <w:lang w:eastAsia="en-ZA"/>
        </w:rPr>
        <w:t xml:space="preserve">Fax: (021) 466 3610 </w:t>
      </w:r>
    </w:p>
    <w:p w:rsidR="007851FA" w:rsidRDefault="007851FA" w:rsidP="007851FA">
      <w:pPr>
        <w:rPr>
          <w:rFonts w:ascii="Arial" w:hAnsi="Arial" w:cs="Arial"/>
          <w:lang w:val="en-US"/>
        </w:rPr>
      </w:pPr>
    </w:p>
    <w:p w:rsidR="007851FA" w:rsidRPr="00E864CE" w:rsidRDefault="007851FA" w:rsidP="007851FA">
      <w:pPr>
        <w:rPr>
          <w:rFonts w:ascii="Arial" w:hAnsi="Arial" w:cs="Arial"/>
          <w:lang w:val="en-US"/>
        </w:rPr>
      </w:pPr>
    </w:p>
    <w:p w:rsidR="007851FA" w:rsidRPr="002B21D7" w:rsidRDefault="007851FA" w:rsidP="007851FA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  <w:r w:rsidRPr="002B21D7">
        <w:rPr>
          <w:rFonts w:ascii="Arial" w:hAnsi="Arial" w:cs="Arial"/>
          <w:b/>
        </w:rPr>
        <w:t>NATIONAL ASSEMBLY</w:t>
      </w:r>
    </w:p>
    <w:p w:rsidR="007851FA" w:rsidRPr="002B21D7" w:rsidRDefault="007851FA" w:rsidP="007851FA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2B21D7">
        <w:rPr>
          <w:rFonts w:ascii="Arial" w:hAnsi="Arial" w:cs="Arial"/>
          <w:b/>
        </w:rPr>
        <w:t>QUESTION FOR WRITTEN REPLY</w:t>
      </w:r>
    </w:p>
    <w:p w:rsidR="007851FA" w:rsidRPr="002B21D7" w:rsidRDefault="007851FA" w:rsidP="007851FA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NUMBER: 2214</w:t>
      </w:r>
    </w:p>
    <w:p w:rsidR="007851FA" w:rsidRPr="002B21D7" w:rsidRDefault="007851FA" w:rsidP="007851FA">
      <w:pPr>
        <w:pStyle w:val="Heading1"/>
        <w:ind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DATE OF PUBLICATION:  10</w:t>
      </w:r>
      <w:r w:rsidRPr="002B21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September </w:t>
      </w:r>
      <w:r w:rsidRPr="002B21D7">
        <w:rPr>
          <w:rFonts w:ascii="Arial" w:hAnsi="Arial" w:cs="Arial"/>
        </w:rPr>
        <w:t>2021</w:t>
      </w:r>
    </w:p>
    <w:p w:rsidR="007851FA" w:rsidRDefault="007851FA" w:rsidP="007851F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bdr w:val="nil"/>
          <w:lang w:val="en-US"/>
        </w:rPr>
      </w:pPr>
    </w:p>
    <w:p w:rsidR="007851FA" w:rsidRPr="002B21D7" w:rsidRDefault="007851FA" w:rsidP="007851F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REPLY</w:t>
      </w:r>
      <w:r w:rsidRPr="002B21D7">
        <w:rPr>
          <w:rFonts w:ascii="Arial" w:eastAsia="Arial Unicode MS" w:hAnsi="Arial" w:cs="Arial"/>
          <w:b/>
          <w:bCs/>
          <w:bdr w:val="nil"/>
          <w:lang w:val="en-US"/>
        </w:rPr>
        <w:t>:</w:t>
      </w:r>
      <w:r w:rsidRPr="002B21D7"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 xml:space="preserve">20 October </w:t>
      </w:r>
      <w:r w:rsidRPr="002B21D7">
        <w:rPr>
          <w:rFonts w:ascii="Arial" w:eastAsia="Arial Unicode MS" w:hAnsi="Arial" w:cs="Arial"/>
          <w:b/>
          <w:bCs/>
          <w:bdr w:val="nil"/>
          <w:lang w:val="en-US"/>
        </w:rPr>
        <w:t>2021</w:t>
      </w:r>
    </w:p>
    <w:p w:rsidR="0097616D" w:rsidRPr="00F10CE6" w:rsidRDefault="0097616D" w:rsidP="00F81F28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</w:p>
    <w:p w:rsidR="0020607B" w:rsidRPr="00F10CE6" w:rsidRDefault="00570A75" w:rsidP="00F81F2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Ms E L Powell (DA) to ask the Minister of Human Settlements</w:t>
      </w:r>
      <w:r w:rsidR="00621B86" w:rsidRPr="00F10CE6">
        <w:rPr>
          <w:rFonts w:ascii="Arial" w:hAnsi="Arial" w:cs="Arial"/>
          <w:b/>
          <w:lang w:val="en-US"/>
        </w:rPr>
        <w:fldChar w:fldCharType="begin"/>
      </w:r>
      <w:r w:rsidR="0020607B" w:rsidRPr="00F10CE6">
        <w:rPr>
          <w:rFonts w:ascii="Arial" w:hAnsi="Arial" w:cs="Arial"/>
        </w:rPr>
        <w:instrText xml:space="preserve"> XE "</w:instrText>
      </w:r>
      <w:r w:rsidR="0020607B" w:rsidRPr="00F10CE6">
        <w:rPr>
          <w:rFonts w:ascii="Arial" w:hAnsi="Arial" w:cs="Arial"/>
          <w:b/>
        </w:rPr>
        <w:instrText>Water and Sanitation</w:instrText>
      </w:r>
      <w:r w:rsidR="0020607B" w:rsidRPr="00F10CE6">
        <w:rPr>
          <w:rFonts w:ascii="Arial" w:hAnsi="Arial" w:cs="Arial"/>
        </w:rPr>
        <w:instrText xml:space="preserve">" </w:instrText>
      </w:r>
      <w:r w:rsidR="00621B86" w:rsidRPr="00F10CE6">
        <w:rPr>
          <w:rFonts w:ascii="Arial" w:hAnsi="Arial" w:cs="Arial"/>
          <w:b/>
          <w:lang w:val="en-US"/>
        </w:rPr>
        <w:fldChar w:fldCharType="end"/>
      </w:r>
      <w:r w:rsidR="0020607B" w:rsidRPr="00F10CE6">
        <w:rPr>
          <w:rFonts w:ascii="Arial" w:hAnsi="Arial" w:cs="Arial"/>
          <w:b/>
          <w:lang w:val="en-US"/>
        </w:rPr>
        <w:t>:</w:t>
      </w:r>
    </w:p>
    <w:p w:rsidR="00570A75" w:rsidRDefault="00570A75" w:rsidP="00F81F28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Whether her department has distributed the money allocated to the Residential Rental Relief Scheme, which was announced on 21 July 2020, to tenants of affordable rental housing; if not (a) why not and (b) by what date will the specified measure be implemented; if so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what (</w:t>
      </w:r>
      <w:proofErr w:type="spellStart"/>
      <w:r>
        <w:rPr>
          <w:rFonts w:ascii="Arial" w:hAnsi="Arial" w:cs="Arial"/>
        </w:rPr>
        <w:t>aa</w:t>
      </w:r>
      <w:proofErr w:type="spellEnd"/>
      <w:r>
        <w:rPr>
          <w:rFonts w:ascii="Arial" w:hAnsi="Arial" w:cs="Arial"/>
        </w:rPr>
        <w:t>) total number of tenants have benefited from the specified scheme to date and (bb) criteria were used to identify the qualifying tenants and (ii) who have been the recipients?</w:t>
      </w:r>
      <w:r w:rsidR="0020607B" w:rsidRPr="00F10CE6">
        <w:rPr>
          <w:rFonts w:ascii="Arial" w:hAnsi="Arial" w:cs="Arial"/>
        </w:rPr>
        <w:tab/>
      </w:r>
    </w:p>
    <w:p w:rsidR="00F10CE6" w:rsidRPr="00F10CE6" w:rsidRDefault="0020607B" w:rsidP="00F81F28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b/>
          <w:bCs/>
        </w:rPr>
      </w:pPr>
      <w:r w:rsidRPr="00F10CE6">
        <w:rPr>
          <w:rFonts w:ascii="Arial" w:hAnsi="Arial" w:cs="Arial"/>
        </w:rPr>
        <w:t xml:space="preserve">       </w:t>
      </w:r>
      <w:r w:rsidR="00F10CE6">
        <w:rPr>
          <w:rFonts w:ascii="Arial" w:hAnsi="Arial" w:cs="Arial"/>
        </w:rPr>
        <w:tab/>
      </w:r>
      <w:r w:rsidR="00F10CE6">
        <w:rPr>
          <w:rFonts w:ascii="Arial" w:hAnsi="Arial" w:cs="Arial"/>
        </w:rPr>
        <w:tab/>
      </w:r>
      <w:r w:rsidR="00F10CE6">
        <w:rPr>
          <w:rFonts w:ascii="Arial" w:hAnsi="Arial" w:cs="Arial"/>
        </w:rPr>
        <w:tab/>
      </w:r>
      <w:r w:rsidR="00F10CE6">
        <w:rPr>
          <w:rFonts w:ascii="Arial" w:hAnsi="Arial" w:cs="Arial"/>
        </w:rPr>
        <w:tab/>
      </w:r>
      <w:r w:rsidR="00F10CE6">
        <w:rPr>
          <w:rFonts w:ascii="Arial" w:hAnsi="Arial" w:cs="Arial"/>
        </w:rPr>
        <w:tab/>
      </w:r>
      <w:r w:rsidR="00F10CE6">
        <w:rPr>
          <w:rFonts w:ascii="Arial" w:hAnsi="Arial" w:cs="Arial"/>
        </w:rPr>
        <w:tab/>
      </w:r>
      <w:r w:rsidRPr="00F10CE6">
        <w:rPr>
          <w:rFonts w:ascii="Arial" w:hAnsi="Arial" w:cs="Arial"/>
        </w:rPr>
        <w:t xml:space="preserve"> </w:t>
      </w:r>
      <w:r w:rsidR="00570A75">
        <w:rPr>
          <w:rFonts w:ascii="Arial" w:hAnsi="Arial" w:cs="Arial"/>
        </w:rPr>
        <w:tab/>
      </w:r>
      <w:r w:rsidR="00570A75">
        <w:rPr>
          <w:rFonts w:ascii="Arial" w:hAnsi="Arial" w:cs="Arial"/>
        </w:rPr>
        <w:tab/>
      </w:r>
      <w:r w:rsidR="00570A75">
        <w:rPr>
          <w:rFonts w:ascii="Arial" w:hAnsi="Arial" w:cs="Arial"/>
        </w:rPr>
        <w:tab/>
      </w:r>
      <w:r w:rsidR="00570A75">
        <w:rPr>
          <w:rFonts w:ascii="Arial" w:hAnsi="Arial" w:cs="Arial"/>
        </w:rPr>
        <w:tab/>
      </w:r>
      <w:r w:rsidR="00570A75">
        <w:rPr>
          <w:rFonts w:ascii="Arial" w:hAnsi="Arial" w:cs="Arial"/>
        </w:rPr>
        <w:tab/>
      </w:r>
      <w:r w:rsidRPr="00F10CE6">
        <w:rPr>
          <w:rFonts w:ascii="Arial" w:hAnsi="Arial" w:cs="Arial"/>
        </w:rPr>
        <w:t xml:space="preserve"> </w:t>
      </w:r>
      <w:r w:rsidRPr="00F10CE6">
        <w:rPr>
          <w:rFonts w:ascii="Arial" w:hAnsi="Arial" w:cs="Arial"/>
          <w:sz w:val="20"/>
        </w:rPr>
        <w:t>NW</w:t>
      </w:r>
      <w:r w:rsidR="00570A75">
        <w:rPr>
          <w:rFonts w:ascii="Arial" w:hAnsi="Arial" w:cs="Arial"/>
          <w:sz w:val="20"/>
        </w:rPr>
        <w:t>2517E</w:t>
      </w:r>
      <w:r w:rsidR="0097616D" w:rsidRPr="00F10CE6">
        <w:rPr>
          <w:rFonts w:ascii="Arial" w:hAnsi="Arial" w:cs="Arial"/>
          <w:bCs/>
        </w:rPr>
        <w:t xml:space="preserve">                                                            </w:t>
      </w:r>
      <w:r w:rsidR="0097616D" w:rsidRPr="00F10CE6">
        <w:rPr>
          <w:rFonts w:ascii="Arial" w:hAnsi="Arial" w:cs="Arial"/>
          <w:bCs/>
        </w:rPr>
        <w:tab/>
      </w:r>
      <w:r w:rsidR="0097616D" w:rsidRPr="00F10CE6">
        <w:rPr>
          <w:rFonts w:ascii="Arial" w:hAnsi="Arial" w:cs="Arial"/>
          <w:bCs/>
        </w:rPr>
        <w:tab/>
      </w:r>
    </w:p>
    <w:p w:rsidR="0097616D" w:rsidRPr="00F10CE6" w:rsidRDefault="00AF2241" w:rsidP="007851FA">
      <w:pPr>
        <w:spacing w:before="100" w:beforeAutospacing="1" w:after="100" w:afterAutospacing="1"/>
        <w:outlineLvl w:val="0"/>
        <w:rPr>
          <w:rFonts w:ascii="Arial" w:hAnsi="Arial" w:cs="Arial"/>
          <w:b/>
          <w:bCs/>
        </w:rPr>
      </w:pPr>
      <w:r w:rsidRPr="00F10CE6">
        <w:rPr>
          <w:rFonts w:ascii="Arial" w:hAnsi="Arial" w:cs="Arial"/>
          <w:b/>
          <w:bCs/>
        </w:rPr>
        <w:t>Reply:</w:t>
      </w:r>
    </w:p>
    <w:p w:rsidR="000D64E8" w:rsidRPr="00F10CE6" w:rsidRDefault="000D64E8" w:rsidP="00F81F28">
      <w:pPr>
        <w:pStyle w:val="NoSpacing"/>
        <w:jc w:val="both"/>
        <w:rPr>
          <w:rFonts w:ascii="Arial" w:hAnsi="Arial" w:cs="Arial"/>
        </w:rPr>
      </w:pPr>
    </w:p>
    <w:p w:rsidR="00570A75" w:rsidRDefault="00570A75" w:rsidP="00F81F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Based on</w:t>
      </w:r>
      <w:r w:rsidRPr="00CE32CE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provisions of the</w:t>
      </w:r>
      <w:r w:rsidRPr="00CE32CE">
        <w:rPr>
          <w:rFonts w:ascii="Arial" w:hAnsi="Arial" w:cs="Arial"/>
        </w:rPr>
        <w:t xml:space="preserve"> Residential Rent Relie</w:t>
      </w:r>
      <w:r>
        <w:rPr>
          <w:rFonts w:ascii="Arial" w:hAnsi="Arial" w:cs="Arial"/>
        </w:rPr>
        <w:t xml:space="preserve">f </w:t>
      </w:r>
      <w:r w:rsidR="00AF2241">
        <w:rPr>
          <w:rFonts w:ascii="Arial" w:hAnsi="Arial" w:cs="Arial"/>
        </w:rPr>
        <w:t>Programme</w:t>
      </w:r>
      <w:r>
        <w:rPr>
          <w:rFonts w:ascii="Arial" w:hAnsi="Arial" w:cs="Arial"/>
        </w:rPr>
        <w:t xml:space="preserve"> (RRR</w:t>
      </w:r>
      <w:r w:rsidR="00AF2241">
        <w:rPr>
          <w:rFonts w:ascii="Arial" w:hAnsi="Arial" w:cs="Arial"/>
        </w:rPr>
        <w:t>P</w:t>
      </w:r>
      <w:r>
        <w:rPr>
          <w:rFonts w:ascii="Arial" w:hAnsi="Arial" w:cs="Arial"/>
        </w:rPr>
        <w:t>),</w:t>
      </w:r>
      <w:r w:rsidRPr="00CE32CE">
        <w:rPr>
          <w:rFonts w:ascii="Arial" w:hAnsi="Arial" w:cs="Arial"/>
        </w:rPr>
        <w:t xml:space="preserve"> the S</w:t>
      </w:r>
      <w:r>
        <w:rPr>
          <w:rFonts w:ascii="Arial" w:hAnsi="Arial" w:cs="Arial"/>
        </w:rPr>
        <w:t xml:space="preserve">ocial </w:t>
      </w:r>
      <w:r w:rsidRPr="00CE32CE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ousing </w:t>
      </w:r>
      <w:r w:rsidRPr="00CE32C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egulatory </w:t>
      </w:r>
      <w:r w:rsidRPr="00CE32C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uthority (SHRA), an entity of the </w:t>
      </w:r>
      <w:r w:rsidR="00AF2241">
        <w:rPr>
          <w:rFonts w:ascii="Arial" w:hAnsi="Arial" w:cs="Arial"/>
        </w:rPr>
        <w:t xml:space="preserve">National </w:t>
      </w:r>
      <w:r>
        <w:rPr>
          <w:rFonts w:ascii="Arial" w:hAnsi="Arial" w:cs="Arial"/>
        </w:rPr>
        <w:t>Department, has been appointed as the designated programme manager for the RRR</w:t>
      </w:r>
      <w:r w:rsidR="00AF2241">
        <w:rPr>
          <w:rFonts w:ascii="Arial" w:hAnsi="Arial" w:cs="Arial"/>
        </w:rPr>
        <w:t>P</w:t>
      </w:r>
      <w:r>
        <w:rPr>
          <w:rFonts w:ascii="Arial" w:hAnsi="Arial" w:cs="Arial"/>
        </w:rPr>
        <w:t>. The SHRA</w:t>
      </w:r>
      <w:r w:rsidRPr="00CE32CE">
        <w:rPr>
          <w:rFonts w:ascii="Arial" w:hAnsi="Arial" w:cs="Arial"/>
        </w:rPr>
        <w:t xml:space="preserve"> utilise</w:t>
      </w:r>
      <w:r>
        <w:rPr>
          <w:rFonts w:ascii="Arial" w:hAnsi="Arial" w:cs="Arial"/>
        </w:rPr>
        <w:t>s</w:t>
      </w:r>
      <w:r w:rsidRPr="00CE3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applicable accredited </w:t>
      </w:r>
      <w:r w:rsidRPr="00CE32CE">
        <w:rPr>
          <w:rFonts w:ascii="Arial" w:hAnsi="Arial" w:cs="Arial"/>
        </w:rPr>
        <w:t xml:space="preserve">Social Housing </w:t>
      </w:r>
      <w:r>
        <w:rPr>
          <w:rFonts w:ascii="Arial" w:hAnsi="Arial" w:cs="Arial"/>
        </w:rPr>
        <w:t>Institutions</w:t>
      </w:r>
      <w:r w:rsidRPr="00CE3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(SHI’s) or Other Development Agents (ODA’s), </w:t>
      </w:r>
      <w:r w:rsidRPr="00CE32CE">
        <w:rPr>
          <w:rFonts w:ascii="Arial" w:hAnsi="Arial" w:cs="Arial"/>
        </w:rPr>
        <w:t xml:space="preserve">as the conduits to receive and submit applications on behalf </w:t>
      </w:r>
      <w:r>
        <w:rPr>
          <w:rFonts w:ascii="Arial" w:hAnsi="Arial" w:cs="Arial"/>
        </w:rPr>
        <w:t xml:space="preserve">and for the benefit of </w:t>
      </w:r>
      <w:r w:rsidRPr="00CE32CE">
        <w:rPr>
          <w:rFonts w:ascii="Arial" w:hAnsi="Arial" w:cs="Arial"/>
        </w:rPr>
        <w:t xml:space="preserve">tenants. </w:t>
      </w:r>
      <w:r>
        <w:rPr>
          <w:rFonts w:ascii="Arial" w:hAnsi="Arial" w:cs="Arial"/>
        </w:rPr>
        <w:t>An SHI and/or ODA are the landlords for units regulated by the SHRA. The s</w:t>
      </w:r>
      <w:r w:rsidRPr="00CE32CE">
        <w:rPr>
          <w:rFonts w:ascii="Arial" w:hAnsi="Arial" w:cs="Arial"/>
        </w:rPr>
        <w:t>uccessful applica</w:t>
      </w:r>
      <w:r>
        <w:rPr>
          <w:rFonts w:ascii="Arial" w:hAnsi="Arial" w:cs="Arial"/>
        </w:rPr>
        <w:t>nts</w:t>
      </w:r>
      <w:r w:rsidRPr="00CE3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then</w:t>
      </w:r>
      <w:r w:rsidRPr="00CE32CE">
        <w:rPr>
          <w:rFonts w:ascii="Arial" w:hAnsi="Arial" w:cs="Arial"/>
        </w:rPr>
        <w:t xml:space="preserve"> notified</w:t>
      </w:r>
      <w:r>
        <w:rPr>
          <w:rFonts w:ascii="Arial" w:hAnsi="Arial" w:cs="Arial"/>
        </w:rPr>
        <w:t>,</w:t>
      </w:r>
      <w:r w:rsidRPr="00CE32CE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d approved payments are then </w:t>
      </w:r>
      <w:r w:rsidRPr="00CE32CE">
        <w:rPr>
          <w:rFonts w:ascii="Arial" w:hAnsi="Arial" w:cs="Arial"/>
        </w:rPr>
        <w:t xml:space="preserve">made to the landlord </w:t>
      </w:r>
      <w:r>
        <w:rPr>
          <w:rFonts w:ascii="Arial" w:hAnsi="Arial" w:cs="Arial"/>
        </w:rPr>
        <w:t>in favour of the tenant’s account.</w:t>
      </w:r>
    </w:p>
    <w:p w:rsidR="00570A75" w:rsidRPr="00CE32CE" w:rsidRDefault="00570A75" w:rsidP="00F81F28">
      <w:pPr>
        <w:jc w:val="both"/>
        <w:rPr>
          <w:rFonts w:ascii="Arial" w:hAnsi="Arial" w:cs="Arial"/>
        </w:rPr>
      </w:pPr>
    </w:p>
    <w:p w:rsidR="00570A75" w:rsidRDefault="00570A75" w:rsidP="00F81F28">
      <w:pPr>
        <w:jc w:val="both"/>
        <w:rPr>
          <w:rFonts w:ascii="Arial" w:hAnsi="Arial" w:cs="Arial"/>
        </w:rPr>
      </w:pPr>
      <w:r w:rsidRPr="00CE32CE">
        <w:rPr>
          <w:rFonts w:ascii="Arial" w:hAnsi="Arial" w:cs="Arial"/>
        </w:rPr>
        <w:t>The National Department of Human Settlements ha</w:t>
      </w:r>
      <w:r>
        <w:rPr>
          <w:rFonts w:ascii="Arial" w:hAnsi="Arial" w:cs="Arial"/>
        </w:rPr>
        <w:t>s</w:t>
      </w:r>
      <w:r w:rsidRPr="00CE3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transferred the RRR</w:t>
      </w:r>
      <w:r w:rsidR="00AF224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</w:t>
      </w:r>
      <w:r w:rsidRPr="00CE32CE">
        <w:rPr>
          <w:rFonts w:ascii="Arial" w:hAnsi="Arial" w:cs="Arial"/>
        </w:rPr>
        <w:t xml:space="preserve">funds to the SHRA </w:t>
      </w:r>
      <w:r>
        <w:rPr>
          <w:rFonts w:ascii="Arial" w:hAnsi="Arial" w:cs="Arial"/>
        </w:rPr>
        <w:t>in the 2020/21 financial year. The SHRA</w:t>
      </w:r>
      <w:r w:rsidR="00AF2241">
        <w:rPr>
          <w:rFonts w:ascii="Arial" w:hAnsi="Arial" w:cs="Arial"/>
        </w:rPr>
        <w:t xml:space="preserve"> has advised the Department that it</w:t>
      </w:r>
      <w:r>
        <w:rPr>
          <w:rFonts w:ascii="Arial" w:hAnsi="Arial" w:cs="Arial"/>
        </w:rPr>
        <w:t xml:space="preserve"> has </w:t>
      </w:r>
      <w:r w:rsidR="003C7AED">
        <w:rPr>
          <w:rFonts w:ascii="Arial" w:hAnsi="Arial" w:cs="Arial"/>
        </w:rPr>
        <w:t xml:space="preserve">not distributed the </w:t>
      </w:r>
      <w:r w:rsidR="00AF2241">
        <w:rPr>
          <w:rFonts w:ascii="Arial" w:hAnsi="Arial" w:cs="Arial"/>
        </w:rPr>
        <w:t>money to</w:t>
      </w:r>
      <w:r w:rsidR="003C7AED">
        <w:rPr>
          <w:rFonts w:ascii="Arial" w:hAnsi="Arial" w:cs="Arial"/>
        </w:rPr>
        <w:t xml:space="preserve"> the tenants of the affordable housing. However, SHRA has </w:t>
      </w:r>
      <w:r>
        <w:rPr>
          <w:rFonts w:ascii="Arial" w:hAnsi="Arial" w:cs="Arial"/>
        </w:rPr>
        <w:t>since procured the required resources to assist with implementation of the RRR</w:t>
      </w:r>
      <w:r w:rsidR="00AF224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.  To date, the SHRA has </w:t>
      </w:r>
      <w:r w:rsidRPr="00CE32CE">
        <w:rPr>
          <w:rFonts w:ascii="Arial" w:hAnsi="Arial" w:cs="Arial"/>
        </w:rPr>
        <w:t>considered application</w:t>
      </w:r>
      <w:r>
        <w:rPr>
          <w:rFonts w:ascii="Arial" w:hAnsi="Arial" w:cs="Arial"/>
        </w:rPr>
        <w:t>s received in two</w:t>
      </w:r>
      <w:r w:rsidRPr="00CE32CE">
        <w:rPr>
          <w:rFonts w:ascii="Arial" w:hAnsi="Arial" w:cs="Arial"/>
        </w:rPr>
        <w:t xml:space="preserve"> rounds</w:t>
      </w:r>
      <w:r>
        <w:rPr>
          <w:rFonts w:ascii="Arial" w:hAnsi="Arial" w:cs="Arial"/>
        </w:rPr>
        <w:t xml:space="preserve"> of requests to tenants,</w:t>
      </w:r>
      <w:r w:rsidRPr="00CE3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months of </w:t>
      </w:r>
      <w:r w:rsidRPr="00CE32CE">
        <w:rPr>
          <w:rFonts w:ascii="Arial" w:hAnsi="Arial" w:cs="Arial"/>
        </w:rPr>
        <w:t>July 2021 and August 2021</w:t>
      </w:r>
      <w:r>
        <w:rPr>
          <w:rFonts w:ascii="Arial" w:hAnsi="Arial" w:cs="Arial"/>
        </w:rPr>
        <w:t xml:space="preserve">. </w:t>
      </w:r>
    </w:p>
    <w:p w:rsidR="00570A75" w:rsidRDefault="00570A75" w:rsidP="00F81F28">
      <w:pPr>
        <w:jc w:val="both"/>
        <w:rPr>
          <w:rFonts w:ascii="Arial" w:hAnsi="Arial" w:cs="Arial"/>
        </w:rPr>
      </w:pPr>
    </w:p>
    <w:p w:rsidR="00AF2241" w:rsidRDefault="00AF2241" w:rsidP="00F81F28">
      <w:pPr>
        <w:jc w:val="both"/>
        <w:rPr>
          <w:rFonts w:ascii="Arial" w:hAnsi="Arial" w:cs="Arial"/>
        </w:rPr>
      </w:pPr>
    </w:p>
    <w:p w:rsidR="00570A75" w:rsidRDefault="00570A75" w:rsidP="00F81F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E32CE">
        <w:rPr>
          <w:rFonts w:ascii="Arial" w:hAnsi="Arial" w:cs="Arial"/>
        </w:rPr>
        <w:t xml:space="preserve"> total of 144 applications</w:t>
      </w:r>
      <w:r>
        <w:rPr>
          <w:rFonts w:ascii="Arial" w:hAnsi="Arial" w:cs="Arial"/>
        </w:rPr>
        <w:t xml:space="preserve"> were received and assessed</w:t>
      </w:r>
      <w:r w:rsidRPr="00CE32CE">
        <w:rPr>
          <w:rFonts w:ascii="Arial" w:hAnsi="Arial" w:cs="Arial"/>
        </w:rPr>
        <w:t xml:space="preserve">. Of these 144 applications, 54 tenants (37.5%) have </w:t>
      </w:r>
      <w:r w:rsidR="00AF2241" w:rsidRPr="00CE32CE">
        <w:rPr>
          <w:rFonts w:ascii="Arial" w:hAnsi="Arial" w:cs="Arial"/>
        </w:rPr>
        <w:t>been approved</w:t>
      </w:r>
      <w:r w:rsidRPr="00CE32CE">
        <w:rPr>
          <w:rFonts w:ascii="Arial" w:hAnsi="Arial" w:cs="Arial"/>
        </w:rPr>
        <w:t xml:space="preserve"> </w:t>
      </w:r>
      <w:r w:rsidR="003C7AED">
        <w:rPr>
          <w:rFonts w:ascii="Arial" w:hAnsi="Arial" w:cs="Arial"/>
        </w:rPr>
        <w:t xml:space="preserve">and are to receive </w:t>
      </w:r>
      <w:r w:rsidRPr="00CE32CE">
        <w:rPr>
          <w:rFonts w:ascii="Arial" w:hAnsi="Arial" w:cs="Arial"/>
        </w:rPr>
        <w:t>a</w:t>
      </w:r>
      <w:r w:rsidR="003C7AED">
        <w:rPr>
          <w:rFonts w:ascii="Arial" w:hAnsi="Arial" w:cs="Arial"/>
        </w:rPr>
        <w:t xml:space="preserve"> rent relief</w:t>
      </w:r>
      <w:r w:rsidRPr="00CE32CE">
        <w:rPr>
          <w:rFonts w:ascii="Arial" w:hAnsi="Arial" w:cs="Arial"/>
        </w:rPr>
        <w:t xml:space="preserve"> award </w:t>
      </w:r>
      <w:r w:rsidR="003C7AED">
        <w:rPr>
          <w:rFonts w:ascii="Arial" w:hAnsi="Arial" w:cs="Arial"/>
        </w:rPr>
        <w:t xml:space="preserve">to a total value </w:t>
      </w:r>
      <w:r w:rsidRPr="00CE32CE">
        <w:rPr>
          <w:rFonts w:ascii="Arial" w:hAnsi="Arial" w:cs="Arial"/>
        </w:rPr>
        <w:t xml:space="preserve">of R324 118.53 </w:t>
      </w:r>
      <w:r w:rsidR="003C7AED">
        <w:rPr>
          <w:rFonts w:ascii="Arial" w:hAnsi="Arial" w:cs="Arial"/>
        </w:rPr>
        <w:t xml:space="preserve">The </w:t>
      </w:r>
      <w:r w:rsidRPr="00CE32CE">
        <w:rPr>
          <w:rFonts w:ascii="Arial" w:hAnsi="Arial" w:cs="Arial"/>
        </w:rPr>
        <w:t>table below</w:t>
      </w:r>
      <w:r w:rsidR="003C7AED">
        <w:rPr>
          <w:rFonts w:ascii="Arial" w:hAnsi="Arial" w:cs="Arial"/>
        </w:rPr>
        <w:t xml:space="preserve"> provides the details</w:t>
      </w:r>
      <w:r w:rsidRPr="00CE32CE">
        <w:rPr>
          <w:rFonts w:ascii="Arial" w:hAnsi="Arial" w:cs="Arial"/>
        </w:rPr>
        <w:t>.</w:t>
      </w:r>
    </w:p>
    <w:p w:rsidR="00F81F28" w:rsidRDefault="00F81F28" w:rsidP="00F81F28">
      <w:pPr>
        <w:jc w:val="both"/>
        <w:rPr>
          <w:rFonts w:ascii="Arial" w:hAnsi="Arial" w:cs="Arial"/>
        </w:rPr>
      </w:pPr>
    </w:p>
    <w:p w:rsidR="00F81F28" w:rsidRDefault="00F81F28" w:rsidP="00F81F28">
      <w:pPr>
        <w:jc w:val="both"/>
        <w:rPr>
          <w:rFonts w:ascii="Arial" w:hAnsi="Arial" w:cs="Arial"/>
        </w:rPr>
      </w:pPr>
    </w:p>
    <w:p w:rsidR="00F81F28" w:rsidRPr="00CE32CE" w:rsidRDefault="00F81F28" w:rsidP="00F81F28">
      <w:pPr>
        <w:jc w:val="both"/>
        <w:rPr>
          <w:rFonts w:ascii="Arial" w:hAnsi="Arial" w:cs="Arial"/>
        </w:rPr>
      </w:pPr>
    </w:p>
    <w:p w:rsidR="00570A75" w:rsidRPr="00B65887" w:rsidRDefault="00570A75" w:rsidP="00F81F28">
      <w:pPr>
        <w:pStyle w:val="Caption"/>
        <w:keepNext/>
        <w:jc w:val="both"/>
        <w:rPr>
          <w:rFonts w:ascii="Arial" w:hAnsi="Arial" w:cs="Arial"/>
          <w:i w:val="0"/>
          <w:iCs w:val="0"/>
        </w:rPr>
      </w:pPr>
      <w:r w:rsidRPr="00B65887">
        <w:rPr>
          <w:rFonts w:ascii="Arial" w:hAnsi="Arial" w:cs="Arial"/>
          <w:i w:val="0"/>
          <w:iCs w:val="0"/>
        </w:rPr>
        <w:t xml:space="preserve">Table </w:t>
      </w:r>
      <w:r w:rsidR="00621B86" w:rsidRPr="00B65887">
        <w:rPr>
          <w:rFonts w:ascii="Arial" w:hAnsi="Arial" w:cs="Arial"/>
          <w:i w:val="0"/>
          <w:iCs w:val="0"/>
        </w:rPr>
        <w:fldChar w:fldCharType="begin"/>
      </w:r>
      <w:r w:rsidRPr="00B65887">
        <w:rPr>
          <w:rFonts w:ascii="Arial" w:hAnsi="Arial" w:cs="Arial"/>
          <w:i w:val="0"/>
          <w:iCs w:val="0"/>
        </w:rPr>
        <w:instrText xml:space="preserve"> SEQ Table \* ARABIC </w:instrText>
      </w:r>
      <w:r w:rsidR="00621B86" w:rsidRPr="00B65887">
        <w:rPr>
          <w:rFonts w:ascii="Arial" w:hAnsi="Arial" w:cs="Arial"/>
          <w:i w:val="0"/>
          <w:iCs w:val="0"/>
        </w:rPr>
        <w:fldChar w:fldCharType="separate"/>
      </w:r>
      <w:r w:rsidRPr="00B65887">
        <w:rPr>
          <w:rFonts w:ascii="Arial" w:hAnsi="Arial" w:cs="Arial"/>
          <w:i w:val="0"/>
          <w:iCs w:val="0"/>
          <w:noProof/>
        </w:rPr>
        <w:t>1</w:t>
      </w:r>
      <w:r w:rsidR="00621B86" w:rsidRPr="00B65887">
        <w:rPr>
          <w:rFonts w:ascii="Arial" w:hAnsi="Arial" w:cs="Arial"/>
          <w:i w:val="0"/>
          <w:iCs w:val="0"/>
        </w:rPr>
        <w:fldChar w:fldCharType="end"/>
      </w:r>
      <w:r w:rsidRPr="00B65887">
        <w:rPr>
          <w:rFonts w:ascii="Arial" w:hAnsi="Arial" w:cs="Arial"/>
          <w:i w:val="0"/>
          <w:iCs w:val="0"/>
        </w:rPr>
        <w:t xml:space="preserve">: Applications Rent Relief for Social Housing Tenants by province and institution - </w:t>
      </w:r>
      <w:r>
        <w:rPr>
          <w:rFonts w:ascii="Arial" w:hAnsi="Arial" w:cs="Arial"/>
          <w:i w:val="0"/>
          <w:iCs w:val="0"/>
        </w:rPr>
        <w:t>31</w:t>
      </w:r>
      <w:r w:rsidRPr="00B65887">
        <w:rPr>
          <w:rFonts w:ascii="Arial" w:hAnsi="Arial" w:cs="Arial"/>
          <w:i w:val="0"/>
          <w:iCs w:val="0"/>
        </w:rPr>
        <w:t xml:space="preserve"> August 2021</w:t>
      </w:r>
    </w:p>
    <w:tbl>
      <w:tblPr>
        <w:tblW w:w="10980" w:type="dxa"/>
        <w:tblInd w:w="-725" w:type="dxa"/>
        <w:tblLayout w:type="fixed"/>
        <w:tblLook w:val="04A0"/>
      </w:tblPr>
      <w:tblGrid>
        <w:gridCol w:w="4264"/>
        <w:gridCol w:w="1226"/>
        <w:gridCol w:w="1350"/>
        <w:gridCol w:w="1350"/>
        <w:gridCol w:w="1350"/>
        <w:gridCol w:w="1440"/>
      </w:tblGrid>
      <w:tr w:rsidR="00570A75" w:rsidRPr="00CE32CE" w:rsidTr="00FB7789">
        <w:trPr>
          <w:trHeight w:val="703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0A75" w:rsidRPr="00B65887" w:rsidRDefault="00570A75" w:rsidP="00F81F2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B658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Province / Project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0A75" w:rsidRPr="00B65887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B658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No. of Approved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70A75" w:rsidRPr="00B65887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B658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Value of Grant Award Approved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0A75" w:rsidRPr="00B65887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B658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No. of Pending Application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0A75" w:rsidRPr="00B65887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B658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No. of Pending Application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0A75" w:rsidRPr="00B65887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B658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 No. of Tenant Applications</w:t>
            </w:r>
          </w:p>
          <w:p w:rsidR="00570A75" w:rsidRPr="00B65887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570A75" w:rsidRPr="00CE32CE" w:rsidTr="00FB7789">
        <w:trPr>
          <w:trHeight w:val="30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9</w:t>
            </w:r>
            <w:r w:rsidRPr="00CE32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500.00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570A75" w:rsidRPr="00CE32CE" w:rsidTr="00FB7789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E32CE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</w:t>
            </w: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ousing Authority of East London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</w:t>
            </w:r>
            <w:r w:rsidRPr="00CE32CE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570A75" w:rsidRPr="00CE32CE" w:rsidTr="00FB7789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SOHCO Property Investment NPC: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570A75" w:rsidRPr="00CE32CE" w:rsidTr="00FB7789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142</w:t>
            </w:r>
            <w:r w:rsidRPr="00CE32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641.25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92</w:t>
            </w:r>
          </w:p>
        </w:tc>
      </w:tr>
      <w:tr w:rsidR="00570A75" w:rsidRPr="00CE32CE" w:rsidTr="00FB7789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Johannesburg Housing Company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</w:t>
            </w:r>
            <w:r w:rsidRPr="00CE32CE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33</w:t>
            </w:r>
          </w:p>
        </w:tc>
      </w:tr>
      <w:tr w:rsidR="00570A75" w:rsidRPr="00CE32CE" w:rsidTr="00FB7789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Madulammoho Housing </w:t>
            </w:r>
            <w:r w:rsidRPr="00CE32CE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</w:t>
            </w: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ssociation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  <w:r w:rsidRPr="00CE32CE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771.25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49</w:t>
            </w:r>
          </w:p>
        </w:tc>
      </w:tr>
      <w:tr w:rsidR="00570A75" w:rsidRPr="00CE32CE" w:rsidTr="00FB7789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Norvena Property Consortium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</w:t>
            </w:r>
            <w:r w:rsidRPr="00CE32CE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270.00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</w:t>
            </w:r>
          </w:p>
        </w:tc>
      </w:tr>
      <w:tr w:rsidR="00570A75" w:rsidRPr="00CE32CE" w:rsidTr="00FB7789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Kwazulu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-</w:t>
            </w: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Natal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31</w:t>
            </w:r>
            <w:r w:rsidRPr="00CE32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567.42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7</w:t>
            </w:r>
          </w:p>
        </w:tc>
      </w:tr>
      <w:tr w:rsidR="00570A75" w:rsidRPr="00CE32CE" w:rsidTr="00FB7789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KwaZulu Natal Social Housing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</w:t>
            </w:r>
            <w:r w:rsidRPr="00CE32CE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570A75" w:rsidRPr="00CE32CE" w:rsidTr="00FB7789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SOHCO Property Investment NPC: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</w:t>
            </w:r>
            <w:r w:rsidRPr="00CE32CE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867.42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</w:tr>
      <w:tr w:rsidR="00570A75" w:rsidRPr="00CE32CE" w:rsidTr="00FB7789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140</w:t>
            </w:r>
            <w:r w:rsidRPr="00CE32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409.86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42</w:t>
            </w:r>
          </w:p>
        </w:tc>
      </w:tr>
      <w:tr w:rsidR="00570A75" w:rsidRPr="00CE32CE" w:rsidTr="00FB7789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Madulammoho Housing Association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119</w:t>
            </w:r>
            <w:r w:rsidRPr="00CE32CE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559.82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34</w:t>
            </w:r>
          </w:p>
        </w:tc>
      </w:tr>
      <w:tr w:rsidR="00570A75" w:rsidRPr="00CE32CE" w:rsidTr="00FB7789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SOHCO Property Investment NPC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</w:t>
            </w:r>
            <w:r w:rsidRPr="00CE32CE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850.04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</w:t>
            </w:r>
          </w:p>
        </w:tc>
      </w:tr>
      <w:tr w:rsidR="00570A75" w:rsidRPr="00CE32CE" w:rsidTr="00FB7789">
        <w:trPr>
          <w:trHeight w:val="30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otal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54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324</w:t>
            </w:r>
            <w:r w:rsidRPr="00CE32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118.53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62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0A75" w:rsidRPr="00BB1145" w:rsidRDefault="00570A75" w:rsidP="00F81F2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B11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144</w:t>
            </w:r>
          </w:p>
        </w:tc>
      </w:tr>
    </w:tbl>
    <w:p w:rsidR="00570A75" w:rsidRPr="00CE32CE" w:rsidRDefault="00570A75" w:rsidP="00F81F28">
      <w:pPr>
        <w:jc w:val="both"/>
        <w:rPr>
          <w:rFonts w:ascii="Arial" w:hAnsi="Arial" w:cs="Arial"/>
        </w:rPr>
      </w:pPr>
    </w:p>
    <w:p w:rsidR="00570A75" w:rsidRPr="00CE32CE" w:rsidRDefault="00570A75" w:rsidP="00F81F28">
      <w:pPr>
        <w:jc w:val="both"/>
        <w:rPr>
          <w:rFonts w:ascii="Arial" w:hAnsi="Arial" w:cs="Arial"/>
        </w:rPr>
      </w:pPr>
      <w:r w:rsidRPr="00CE32CE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Based on the provisions of the RRR</w:t>
      </w:r>
      <w:r w:rsidR="003C7AE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no</w:t>
      </w:r>
      <w:r w:rsidRPr="00CE32CE">
        <w:rPr>
          <w:rFonts w:ascii="Arial" w:hAnsi="Arial" w:cs="Arial"/>
        </w:rPr>
        <w:t xml:space="preserve"> funds have been disbursed in favour of </w:t>
      </w:r>
      <w:r w:rsidR="00AF2241" w:rsidRPr="00CE32CE">
        <w:rPr>
          <w:rFonts w:ascii="Arial" w:hAnsi="Arial" w:cs="Arial"/>
        </w:rPr>
        <w:t xml:space="preserve">the </w:t>
      </w:r>
      <w:r w:rsidR="00AF2241">
        <w:rPr>
          <w:rFonts w:ascii="Arial" w:hAnsi="Arial" w:cs="Arial"/>
        </w:rPr>
        <w:t>tenants</w:t>
      </w:r>
      <w:r w:rsidRPr="00CE32CE">
        <w:rPr>
          <w:rFonts w:ascii="Arial" w:hAnsi="Arial" w:cs="Arial"/>
        </w:rPr>
        <w:t xml:space="preserve"> to date for the following reasons:</w:t>
      </w:r>
    </w:p>
    <w:p w:rsidR="00570A75" w:rsidRDefault="00570A75" w:rsidP="00F81F28">
      <w:pPr>
        <w:pStyle w:val="ListParagraph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 xml:space="preserve">The waiting period for </w:t>
      </w:r>
      <w:r w:rsidRPr="00CE32CE">
        <w:rPr>
          <w:rFonts w:ascii="Arial" w:hAnsi="Arial" w:cs="Arial"/>
        </w:rPr>
        <w:t xml:space="preserve">National Treasury approval for the roll-over of </w:t>
      </w:r>
      <w:r w:rsidR="00F81F28">
        <w:rPr>
          <w:rFonts w:ascii="Arial" w:hAnsi="Arial" w:cs="Arial"/>
        </w:rPr>
        <w:t>f</w:t>
      </w:r>
      <w:r w:rsidRPr="00CE32CE">
        <w:rPr>
          <w:rFonts w:ascii="Arial" w:hAnsi="Arial" w:cs="Arial"/>
        </w:rPr>
        <w:t xml:space="preserve">unds </w:t>
      </w:r>
      <w:r>
        <w:rPr>
          <w:rFonts w:ascii="Arial" w:hAnsi="Arial" w:cs="Arial"/>
        </w:rPr>
        <w:tab/>
      </w:r>
      <w:r w:rsidRPr="00CE32CE">
        <w:rPr>
          <w:rFonts w:ascii="Arial" w:hAnsi="Arial" w:cs="Arial"/>
        </w:rPr>
        <w:t>allocated in the prior financial year is required;</w:t>
      </w:r>
      <w:r>
        <w:rPr>
          <w:rFonts w:ascii="Arial" w:hAnsi="Arial" w:cs="Arial"/>
        </w:rPr>
        <w:t xml:space="preserve"> and</w:t>
      </w:r>
    </w:p>
    <w:p w:rsidR="00570A75" w:rsidRDefault="00570A75" w:rsidP="00F81F28">
      <w:pPr>
        <w:pStyle w:val="ListParagraph"/>
        <w:jc w:val="both"/>
        <w:rPr>
          <w:rFonts w:ascii="Arial" w:hAnsi="Arial" w:cs="Arial"/>
        </w:rPr>
      </w:pPr>
    </w:p>
    <w:p w:rsidR="00570A75" w:rsidRDefault="00570A75" w:rsidP="00F81F28">
      <w:pPr>
        <w:pStyle w:val="ListParagraph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1A4610">
        <w:rPr>
          <w:rFonts w:ascii="Arial" w:hAnsi="Arial" w:cs="Arial"/>
        </w:rPr>
        <w:t xml:space="preserve">Lower than anticipated </w:t>
      </w:r>
      <w:r>
        <w:rPr>
          <w:rFonts w:ascii="Arial" w:hAnsi="Arial" w:cs="Arial"/>
        </w:rPr>
        <w:t xml:space="preserve">number of </w:t>
      </w:r>
      <w:r w:rsidRPr="001A4610">
        <w:rPr>
          <w:rFonts w:ascii="Arial" w:hAnsi="Arial" w:cs="Arial"/>
        </w:rPr>
        <w:t xml:space="preserve">applications have been received due to </w:t>
      </w:r>
      <w:r>
        <w:rPr>
          <w:rFonts w:ascii="Arial" w:hAnsi="Arial" w:cs="Arial"/>
        </w:rPr>
        <w:t xml:space="preserve">lack of </w:t>
      </w:r>
      <w:r w:rsidRPr="001A4610">
        <w:rPr>
          <w:rFonts w:ascii="Arial" w:hAnsi="Arial" w:cs="Arial"/>
        </w:rPr>
        <w:t>general awareness of the programme</w:t>
      </w:r>
      <w:r>
        <w:rPr>
          <w:rFonts w:ascii="Arial" w:hAnsi="Arial" w:cs="Arial"/>
        </w:rPr>
        <w:t>,</w:t>
      </w:r>
      <w:r w:rsidRPr="001A4610">
        <w:rPr>
          <w:rFonts w:ascii="Arial" w:hAnsi="Arial" w:cs="Arial"/>
        </w:rPr>
        <w:t xml:space="preserve"> and qualification </w:t>
      </w:r>
      <w:r>
        <w:rPr>
          <w:rFonts w:ascii="Arial" w:hAnsi="Arial" w:cs="Arial"/>
        </w:rPr>
        <w:t xml:space="preserve">criteria </w:t>
      </w:r>
      <w:r w:rsidRPr="001A4610">
        <w:rPr>
          <w:rFonts w:ascii="Arial" w:hAnsi="Arial" w:cs="Arial"/>
        </w:rPr>
        <w:t xml:space="preserve">in terms of eligibility as per the qualification criterion </w:t>
      </w:r>
      <w:r>
        <w:rPr>
          <w:rFonts w:ascii="Arial" w:hAnsi="Arial" w:cs="Arial"/>
        </w:rPr>
        <w:t>which includes:</w:t>
      </w:r>
    </w:p>
    <w:p w:rsidR="00570A75" w:rsidRDefault="00570A75" w:rsidP="00F81F28">
      <w:pPr>
        <w:pStyle w:val="ListParagraph"/>
        <w:jc w:val="both"/>
        <w:rPr>
          <w:rFonts w:ascii="Arial" w:hAnsi="Arial" w:cs="Arial"/>
        </w:rPr>
      </w:pPr>
    </w:p>
    <w:p w:rsidR="00570A75" w:rsidRDefault="00570A75" w:rsidP="00F81F28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Pr="001A4610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A tenant in </w:t>
      </w:r>
      <w:r w:rsidRPr="001A4610">
        <w:rPr>
          <w:rFonts w:ascii="Arial" w:hAnsi="Arial" w:cs="Arial"/>
        </w:rPr>
        <w:t>good standing requirement and</w:t>
      </w:r>
      <w:r>
        <w:rPr>
          <w:rFonts w:ascii="Arial" w:hAnsi="Arial" w:cs="Arial"/>
        </w:rPr>
        <w:t>;</w:t>
      </w:r>
    </w:p>
    <w:p w:rsidR="00570A75" w:rsidRDefault="00570A75" w:rsidP="00F81F28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4610">
        <w:rPr>
          <w:rFonts w:ascii="Arial" w:hAnsi="Arial" w:cs="Arial"/>
        </w:rPr>
        <w:t xml:space="preserve"> b) </w:t>
      </w:r>
      <w:r>
        <w:rPr>
          <w:rFonts w:ascii="Arial" w:hAnsi="Arial" w:cs="Arial"/>
        </w:rPr>
        <w:t xml:space="preserve">The </w:t>
      </w:r>
      <w:r w:rsidRPr="001A4610">
        <w:rPr>
          <w:rFonts w:ascii="Arial" w:hAnsi="Arial" w:cs="Arial"/>
        </w:rPr>
        <w:t>period of application</w:t>
      </w:r>
      <w:r>
        <w:rPr>
          <w:rFonts w:ascii="Arial" w:hAnsi="Arial" w:cs="Arial"/>
        </w:rPr>
        <w:t xml:space="preserve"> being 01</w:t>
      </w:r>
      <w:r w:rsidRPr="00D202A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2020 to</w:t>
      </w:r>
      <w:r w:rsidRPr="001A46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 w:rsidRPr="001A4610">
        <w:rPr>
          <w:rFonts w:ascii="Arial" w:hAnsi="Arial" w:cs="Arial"/>
        </w:rPr>
        <w:t xml:space="preserve"> September 2020 </w:t>
      </w:r>
    </w:p>
    <w:p w:rsidR="00F81F28" w:rsidRDefault="00570A75" w:rsidP="00F81F28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c) M</w:t>
      </w:r>
      <w:r w:rsidRPr="001A4610">
        <w:rPr>
          <w:rFonts w:ascii="Arial" w:hAnsi="Arial" w:cs="Arial"/>
        </w:rPr>
        <w:t xml:space="preserve">any tenants were not in good standing at the start of the hard lock </w:t>
      </w:r>
    </w:p>
    <w:p w:rsidR="00F81F28" w:rsidRDefault="00F81F28" w:rsidP="00F81F28">
      <w:pPr>
        <w:pStyle w:val="ListParagraph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70A75" w:rsidRPr="001A4610">
        <w:rPr>
          <w:rFonts w:ascii="Arial" w:hAnsi="Arial" w:cs="Arial"/>
        </w:rPr>
        <w:t>down or the impacts o</w:t>
      </w:r>
      <w:r w:rsidR="00570A75">
        <w:rPr>
          <w:rFonts w:ascii="Arial" w:hAnsi="Arial" w:cs="Arial"/>
        </w:rPr>
        <w:t xml:space="preserve">f </w:t>
      </w:r>
      <w:r w:rsidR="00570A75" w:rsidRPr="001A4610">
        <w:rPr>
          <w:rFonts w:ascii="Arial" w:hAnsi="Arial" w:cs="Arial"/>
        </w:rPr>
        <w:t xml:space="preserve">the COVID-19 pandemic </w:t>
      </w:r>
      <w:r w:rsidR="00570A75">
        <w:rPr>
          <w:rFonts w:ascii="Arial" w:hAnsi="Arial" w:cs="Arial"/>
        </w:rPr>
        <w:t>manifesting</w:t>
      </w:r>
      <w:r w:rsidR="00570A75" w:rsidRPr="001A4610">
        <w:rPr>
          <w:rFonts w:ascii="Arial" w:hAnsi="Arial" w:cs="Arial"/>
        </w:rPr>
        <w:t xml:space="preserve"> post </w:t>
      </w:r>
      <w:r>
        <w:rPr>
          <w:rFonts w:ascii="Arial" w:hAnsi="Arial" w:cs="Arial"/>
        </w:rPr>
        <w:t xml:space="preserve"> </w:t>
      </w:r>
    </w:p>
    <w:p w:rsidR="00570A75" w:rsidRPr="001A4610" w:rsidRDefault="00F81F28" w:rsidP="00F81F28">
      <w:pPr>
        <w:pStyle w:val="ListParagraph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570A75" w:rsidRPr="001A4610">
        <w:rPr>
          <w:rFonts w:ascii="Arial" w:hAnsi="Arial" w:cs="Arial"/>
        </w:rPr>
        <w:t>September 2020</w:t>
      </w:r>
    </w:p>
    <w:p w:rsidR="00570A75" w:rsidRPr="00CE32CE" w:rsidRDefault="00570A75" w:rsidP="00F81F28">
      <w:pPr>
        <w:pStyle w:val="ListParagraph"/>
        <w:ind w:left="0"/>
        <w:jc w:val="both"/>
        <w:rPr>
          <w:rFonts w:ascii="Arial" w:hAnsi="Arial" w:cs="Arial"/>
        </w:rPr>
      </w:pPr>
    </w:p>
    <w:p w:rsidR="00570A75" w:rsidRPr="00D202A4" w:rsidRDefault="00570A75" w:rsidP="00F81F28">
      <w:pPr>
        <w:jc w:val="both"/>
        <w:rPr>
          <w:rFonts w:ascii="Arial" w:hAnsi="Arial" w:cs="Arial"/>
          <w:b/>
          <w:bCs/>
        </w:rPr>
      </w:pPr>
      <w:r w:rsidRPr="00CE32CE">
        <w:rPr>
          <w:rFonts w:ascii="Arial" w:hAnsi="Arial" w:cs="Arial"/>
        </w:rPr>
        <w:t xml:space="preserve">(b) </w:t>
      </w:r>
      <w:r w:rsidRPr="00CE32CE">
        <w:rPr>
          <w:rFonts w:ascii="Arial" w:hAnsi="Arial" w:cs="Arial"/>
          <w:b/>
          <w:bCs/>
        </w:rPr>
        <w:t>Duration of the Programme</w:t>
      </w:r>
    </w:p>
    <w:p w:rsidR="00570A75" w:rsidRDefault="00570A75" w:rsidP="00F8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E32CE">
        <w:rPr>
          <w:rFonts w:ascii="Arial" w:hAnsi="Arial" w:cs="Arial"/>
        </w:rPr>
        <w:t xml:space="preserve">This Programme is a temporary </w:t>
      </w:r>
      <w:r>
        <w:rPr>
          <w:rFonts w:ascii="Arial" w:hAnsi="Arial" w:cs="Arial"/>
        </w:rPr>
        <w:t xml:space="preserve">relief </w:t>
      </w:r>
      <w:r w:rsidRPr="00CE32CE">
        <w:rPr>
          <w:rFonts w:ascii="Arial" w:hAnsi="Arial" w:cs="Arial"/>
        </w:rPr>
        <w:t>measure</w:t>
      </w:r>
      <w:r>
        <w:rPr>
          <w:rFonts w:ascii="Arial" w:hAnsi="Arial" w:cs="Arial"/>
        </w:rPr>
        <w:t xml:space="preserve"> based on the impact of the various state of disasters declared to combat the COVID-19 pandemic</w:t>
      </w:r>
      <w:r w:rsidRPr="00CE32CE">
        <w:rPr>
          <w:rFonts w:ascii="Arial" w:hAnsi="Arial" w:cs="Arial"/>
        </w:rPr>
        <w:t xml:space="preserve">. Applications will only be considered until funds in terms of the funding allocation made by National Treasury in terms of reprioritised grant funding are exhausted. No expectation </w:t>
      </w:r>
      <w:r>
        <w:rPr>
          <w:rFonts w:ascii="Arial" w:hAnsi="Arial" w:cs="Arial"/>
        </w:rPr>
        <w:t xml:space="preserve">must </w:t>
      </w:r>
      <w:r w:rsidRPr="00CE32CE">
        <w:rPr>
          <w:rFonts w:ascii="Arial" w:hAnsi="Arial" w:cs="Arial"/>
        </w:rPr>
        <w:t xml:space="preserve">be created that the </w:t>
      </w:r>
      <w:r>
        <w:rPr>
          <w:rFonts w:ascii="Arial" w:hAnsi="Arial" w:cs="Arial"/>
        </w:rPr>
        <w:t>Residential Rental Relief Programme</w:t>
      </w:r>
      <w:r w:rsidRPr="00CE32CE">
        <w:rPr>
          <w:rFonts w:ascii="Arial" w:hAnsi="Arial" w:cs="Arial"/>
        </w:rPr>
        <w:t xml:space="preserve"> will be extended beyond the </w:t>
      </w:r>
      <w:r>
        <w:rPr>
          <w:rFonts w:ascii="Arial" w:hAnsi="Arial" w:cs="Arial"/>
        </w:rPr>
        <w:t xml:space="preserve">approved </w:t>
      </w:r>
      <w:r w:rsidRPr="00CE32CE">
        <w:rPr>
          <w:rFonts w:ascii="Arial" w:hAnsi="Arial" w:cs="Arial"/>
        </w:rPr>
        <w:t>stipulated time period, and/or exhaustion of the available funds allocated by the National Treasury</w:t>
      </w:r>
    </w:p>
    <w:p w:rsidR="00F81F28" w:rsidRDefault="00F81F28" w:rsidP="00F81F28">
      <w:pPr>
        <w:jc w:val="both"/>
        <w:rPr>
          <w:rFonts w:ascii="Arial" w:hAnsi="Arial" w:cs="Arial"/>
        </w:rPr>
      </w:pPr>
    </w:p>
    <w:p w:rsidR="00570A75" w:rsidRDefault="00570A75" w:rsidP="00F81F28">
      <w:pPr>
        <w:jc w:val="both"/>
        <w:rPr>
          <w:rFonts w:ascii="Arial" w:hAnsi="Arial" w:cs="Arial"/>
        </w:rPr>
      </w:pPr>
      <w:r w:rsidRPr="00CE32CE">
        <w:rPr>
          <w:rFonts w:ascii="Arial" w:hAnsi="Arial" w:cs="Arial"/>
        </w:rPr>
        <w:t xml:space="preserve">Given the intent of the programme to provide for those impacted by the </w:t>
      </w:r>
      <w:r>
        <w:rPr>
          <w:rFonts w:ascii="Arial" w:hAnsi="Arial" w:cs="Arial"/>
        </w:rPr>
        <w:t xml:space="preserve">state of disaster </w:t>
      </w:r>
      <w:r w:rsidR="00AF2241" w:rsidRPr="00CE32CE">
        <w:rPr>
          <w:rFonts w:ascii="Arial" w:hAnsi="Arial" w:cs="Arial"/>
        </w:rPr>
        <w:t>hard lockdowns</w:t>
      </w:r>
      <w:r w:rsidRPr="00CE32CE">
        <w:rPr>
          <w:rFonts w:ascii="Arial" w:hAnsi="Arial" w:cs="Arial"/>
        </w:rPr>
        <w:t xml:space="preserve"> in 2020, </w:t>
      </w:r>
      <w:r>
        <w:rPr>
          <w:rFonts w:ascii="Arial" w:hAnsi="Arial" w:cs="Arial"/>
        </w:rPr>
        <w:t xml:space="preserve">the </w:t>
      </w:r>
      <w:r w:rsidR="003C7AED">
        <w:rPr>
          <w:rFonts w:ascii="Arial" w:hAnsi="Arial" w:cs="Arial"/>
        </w:rPr>
        <w:t>Programme</w:t>
      </w:r>
      <w:r w:rsidR="00AF2241">
        <w:rPr>
          <w:rFonts w:ascii="Arial" w:hAnsi="Arial" w:cs="Arial"/>
        </w:rPr>
        <w:t xml:space="preserve"> </w:t>
      </w:r>
      <w:r w:rsidRPr="00CE32CE">
        <w:rPr>
          <w:rFonts w:ascii="Arial" w:hAnsi="Arial" w:cs="Arial"/>
        </w:rPr>
        <w:t xml:space="preserve">is to be rolled out within the 2021/22 year and </w:t>
      </w:r>
      <w:r>
        <w:rPr>
          <w:rFonts w:ascii="Arial" w:hAnsi="Arial" w:cs="Arial"/>
        </w:rPr>
        <w:t xml:space="preserve">the intention is not to </w:t>
      </w:r>
      <w:r w:rsidRPr="00CE32CE">
        <w:rPr>
          <w:rFonts w:ascii="Arial" w:hAnsi="Arial" w:cs="Arial"/>
        </w:rPr>
        <w:t xml:space="preserve">extend </w:t>
      </w:r>
      <w:r>
        <w:rPr>
          <w:rFonts w:ascii="Arial" w:hAnsi="Arial" w:cs="Arial"/>
        </w:rPr>
        <w:t>the RRR</w:t>
      </w:r>
      <w:r w:rsidR="003C7AE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</w:t>
      </w:r>
      <w:r w:rsidRPr="00CE32CE">
        <w:rPr>
          <w:rFonts w:ascii="Arial" w:hAnsi="Arial" w:cs="Arial"/>
        </w:rPr>
        <w:t>beyond March 2022.</w:t>
      </w:r>
    </w:p>
    <w:p w:rsidR="00F81F28" w:rsidRDefault="00F81F28" w:rsidP="00F81F28">
      <w:pPr>
        <w:jc w:val="both"/>
        <w:rPr>
          <w:rFonts w:ascii="Arial" w:hAnsi="Arial" w:cs="Arial"/>
        </w:rPr>
      </w:pPr>
    </w:p>
    <w:p w:rsidR="00F81F28" w:rsidRDefault="00F81F28" w:rsidP="00F81F28">
      <w:pPr>
        <w:jc w:val="both"/>
        <w:rPr>
          <w:rFonts w:ascii="Arial" w:hAnsi="Arial" w:cs="Arial"/>
        </w:rPr>
      </w:pPr>
    </w:p>
    <w:p w:rsidR="00AF2241" w:rsidRPr="00CE32CE" w:rsidRDefault="00AF2241" w:rsidP="00F81F28">
      <w:pPr>
        <w:jc w:val="both"/>
        <w:rPr>
          <w:rFonts w:ascii="Arial" w:hAnsi="Arial" w:cs="Arial"/>
        </w:rPr>
      </w:pPr>
    </w:p>
    <w:p w:rsidR="00570A75" w:rsidRPr="00CE32CE" w:rsidRDefault="00570A75" w:rsidP="00F81F28">
      <w:pPr>
        <w:jc w:val="both"/>
        <w:rPr>
          <w:rFonts w:ascii="Arial" w:hAnsi="Arial" w:cs="Arial"/>
          <w:b/>
          <w:bCs/>
        </w:rPr>
      </w:pPr>
      <w:r w:rsidRPr="00CE32CE">
        <w:rPr>
          <w:rFonts w:ascii="Arial" w:hAnsi="Arial" w:cs="Arial"/>
        </w:rPr>
        <w:t xml:space="preserve">(bb) </w:t>
      </w:r>
      <w:r w:rsidRPr="00CE32CE">
        <w:rPr>
          <w:rFonts w:ascii="Arial" w:hAnsi="Arial" w:cs="Arial"/>
          <w:b/>
          <w:bCs/>
        </w:rPr>
        <w:t>Qualification Criteria</w:t>
      </w:r>
    </w:p>
    <w:p w:rsidR="00570A75" w:rsidRPr="00F81F28" w:rsidRDefault="00570A75" w:rsidP="00F81F28">
      <w:pPr>
        <w:pStyle w:val="BodyText"/>
        <w:spacing w:before="224" w:line="276" w:lineRule="auto"/>
        <w:ind w:left="109"/>
        <w:jc w:val="both"/>
        <w:rPr>
          <w:rFonts w:ascii="Arial" w:hAnsi="Arial" w:cs="Arial"/>
        </w:rPr>
      </w:pPr>
      <w:r w:rsidRPr="00F81F28">
        <w:rPr>
          <w:rFonts w:ascii="Arial" w:hAnsi="Arial" w:cs="Arial"/>
        </w:rPr>
        <w:t>The following tenants qualify to apply for rent relief: -</w:t>
      </w:r>
    </w:p>
    <w:p w:rsidR="00570A75" w:rsidRPr="00CE32CE" w:rsidRDefault="00570A75" w:rsidP="00F81F28">
      <w:pPr>
        <w:pStyle w:val="BodyText"/>
        <w:spacing w:before="3" w:line="276" w:lineRule="auto"/>
        <w:jc w:val="both"/>
        <w:rPr>
          <w:sz w:val="22"/>
          <w:szCs w:val="22"/>
        </w:rPr>
      </w:pPr>
    </w:p>
    <w:p w:rsidR="00570A75" w:rsidRPr="00CE32CE" w:rsidRDefault="00570A75" w:rsidP="00F81F28">
      <w:pPr>
        <w:pStyle w:val="ListParagraph"/>
        <w:widowControl w:val="0"/>
        <w:numPr>
          <w:ilvl w:val="2"/>
          <w:numId w:val="29"/>
        </w:numPr>
        <w:tabs>
          <w:tab w:val="left" w:pos="809"/>
        </w:tabs>
        <w:autoSpaceDE w:val="0"/>
        <w:autoSpaceDN w:val="0"/>
        <w:ind w:left="814" w:right="118" w:hanging="349"/>
        <w:contextualSpacing w:val="0"/>
        <w:jc w:val="both"/>
        <w:rPr>
          <w:rFonts w:ascii="Arial" w:hAnsi="Arial" w:cs="Arial"/>
        </w:rPr>
      </w:pPr>
      <w:r w:rsidRPr="00CE32CE">
        <w:rPr>
          <w:rFonts w:ascii="Arial" w:hAnsi="Arial" w:cs="Arial"/>
        </w:rPr>
        <w:t>The</w:t>
      </w:r>
      <w:r w:rsidRPr="00CE32CE">
        <w:rPr>
          <w:rFonts w:ascii="Arial" w:hAnsi="Arial" w:cs="Arial"/>
          <w:spacing w:val="-10"/>
        </w:rPr>
        <w:t xml:space="preserve"> </w:t>
      </w:r>
      <w:r w:rsidRPr="00CE32CE">
        <w:rPr>
          <w:rFonts w:ascii="Arial" w:hAnsi="Arial" w:cs="Arial"/>
        </w:rPr>
        <w:t>tenant</w:t>
      </w:r>
      <w:r w:rsidRPr="00CE32CE">
        <w:rPr>
          <w:rFonts w:ascii="Arial" w:hAnsi="Arial" w:cs="Arial"/>
          <w:spacing w:val="-5"/>
        </w:rPr>
        <w:t xml:space="preserve"> </w:t>
      </w:r>
      <w:r w:rsidRPr="00CE32CE">
        <w:rPr>
          <w:rFonts w:ascii="Arial" w:hAnsi="Arial" w:cs="Arial"/>
        </w:rPr>
        <w:t>must</w:t>
      </w:r>
      <w:r w:rsidRPr="00CE32CE">
        <w:rPr>
          <w:rFonts w:ascii="Arial" w:hAnsi="Arial" w:cs="Arial"/>
          <w:spacing w:val="-10"/>
        </w:rPr>
        <w:t xml:space="preserve"> </w:t>
      </w:r>
      <w:r w:rsidRPr="00CE32CE">
        <w:rPr>
          <w:rFonts w:ascii="Arial" w:hAnsi="Arial" w:cs="Arial"/>
        </w:rPr>
        <w:t>be</w:t>
      </w:r>
      <w:r w:rsidRPr="00CE32CE">
        <w:rPr>
          <w:rFonts w:ascii="Arial" w:hAnsi="Arial" w:cs="Arial"/>
          <w:spacing w:val="-14"/>
        </w:rPr>
        <w:t xml:space="preserve"> </w:t>
      </w:r>
      <w:r w:rsidRPr="00CE32CE">
        <w:rPr>
          <w:rFonts w:ascii="Arial" w:hAnsi="Arial" w:cs="Arial"/>
        </w:rPr>
        <w:t>a</w:t>
      </w:r>
      <w:r w:rsidRPr="00CE32CE">
        <w:rPr>
          <w:rFonts w:ascii="Arial" w:hAnsi="Arial" w:cs="Arial"/>
          <w:spacing w:val="-18"/>
        </w:rPr>
        <w:t xml:space="preserve"> </w:t>
      </w:r>
      <w:r w:rsidRPr="00CE32CE">
        <w:rPr>
          <w:rFonts w:ascii="Arial" w:hAnsi="Arial" w:cs="Arial"/>
        </w:rPr>
        <w:t>South</w:t>
      </w:r>
      <w:r w:rsidRPr="00CE32CE">
        <w:rPr>
          <w:rFonts w:ascii="Arial" w:hAnsi="Arial" w:cs="Arial"/>
          <w:spacing w:val="-10"/>
        </w:rPr>
        <w:t xml:space="preserve"> </w:t>
      </w:r>
      <w:r w:rsidRPr="00CE32CE">
        <w:rPr>
          <w:rFonts w:ascii="Arial" w:hAnsi="Arial" w:cs="Arial"/>
        </w:rPr>
        <w:t>African</w:t>
      </w:r>
      <w:r w:rsidRPr="00CE32CE">
        <w:rPr>
          <w:rFonts w:ascii="Arial" w:hAnsi="Arial" w:cs="Arial"/>
          <w:spacing w:val="-14"/>
        </w:rPr>
        <w:t xml:space="preserve"> </w:t>
      </w:r>
      <w:r w:rsidRPr="00CE32CE">
        <w:rPr>
          <w:rFonts w:ascii="Arial" w:hAnsi="Arial" w:cs="Arial"/>
        </w:rPr>
        <w:t>citizen</w:t>
      </w:r>
      <w:r w:rsidRPr="00CE32CE">
        <w:rPr>
          <w:rFonts w:ascii="Arial" w:hAnsi="Arial" w:cs="Arial"/>
          <w:spacing w:val="-14"/>
        </w:rPr>
        <w:t xml:space="preserve"> </w:t>
      </w:r>
      <w:r w:rsidRPr="00CE32CE">
        <w:rPr>
          <w:rFonts w:ascii="Arial" w:hAnsi="Arial" w:cs="Arial"/>
        </w:rPr>
        <w:t>or</w:t>
      </w:r>
      <w:r w:rsidRPr="00CE32CE">
        <w:rPr>
          <w:rFonts w:ascii="Arial" w:hAnsi="Arial" w:cs="Arial"/>
          <w:spacing w:val="-13"/>
        </w:rPr>
        <w:t xml:space="preserve"> </w:t>
      </w:r>
      <w:r w:rsidRPr="00CE32CE">
        <w:rPr>
          <w:rFonts w:ascii="Arial" w:hAnsi="Arial" w:cs="Arial"/>
        </w:rPr>
        <w:t>in</w:t>
      </w:r>
      <w:r w:rsidRPr="00CE32CE">
        <w:rPr>
          <w:rFonts w:ascii="Arial" w:hAnsi="Arial" w:cs="Arial"/>
          <w:spacing w:val="-18"/>
        </w:rPr>
        <w:t xml:space="preserve"> </w:t>
      </w:r>
      <w:r w:rsidRPr="00CE32CE">
        <w:rPr>
          <w:rFonts w:ascii="Arial" w:hAnsi="Arial" w:cs="Arial"/>
        </w:rPr>
        <w:t>possession</w:t>
      </w:r>
      <w:r w:rsidRPr="00CE32CE">
        <w:rPr>
          <w:rFonts w:ascii="Arial" w:hAnsi="Arial" w:cs="Arial"/>
          <w:spacing w:val="-4"/>
        </w:rPr>
        <w:t xml:space="preserve"> </w:t>
      </w:r>
      <w:r w:rsidRPr="00CE32CE">
        <w:rPr>
          <w:rFonts w:ascii="Arial" w:hAnsi="Arial" w:cs="Arial"/>
        </w:rPr>
        <w:t>of</w:t>
      </w:r>
      <w:r w:rsidRPr="00CE32CE">
        <w:rPr>
          <w:rFonts w:ascii="Arial" w:hAnsi="Arial" w:cs="Arial"/>
          <w:spacing w:val="9"/>
        </w:rPr>
        <w:t xml:space="preserve"> </w:t>
      </w:r>
      <w:r w:rsidRPr="00CE32CE">
        <w:rPr>
          <w:rFonts w:ascii="Arial" w:hAnsi="Arial" w:cs="Arial"/>
        </w:rPr>
        <w:t>a</w:t>
      </w:r>
      <w:r w:rsidRPr="00CE32CE">
        <w:rPr>
          <w:rFonts w:ascii="Arial" w:hAnsi="Arial" w:cs="Arial"/>
          <w:spacing w:val="-18"/>
        </w:rPr>
        <w:t xml:space="preserve"> </w:t>
      </w:r>
      <w:r w:rsidRPr="00CE32CE">
        <w:rPr>
          <w:rFonts w:ascii="Arial" w:hAnsi="Arial" w:cs="Arial"/>
        </w:rPr>
        <w:t>valid</w:t>
      </w:r>
      <w:r w:rsidRPr="00CE32CE">
        <w:rPr>
          <w:rFonts w:ascii="Arial" w:hAnsi="Arial" w:cs="Arial"/>
          <w:spacing w:val="-16"/>
        </w:rPr>
        <w:t xml:space="preserve"> </w:t>
      </w:r>
      <w:r w:rsidRPr="00CE32CE">
        <w:rPr>
          <w:rFonts w:ascii="Arial" w:hAnsi="Arial" w:cs="Arial"/>
        </w:rPr>
        <w:t>South</w:t>
      </w:r>
      <w:r w:rsidRPr="00CE32CE">
        <w:rPr>
          <w:rFonts w:ascii="Arial" w:hAnsi="Arial" w:cs="Arial"/>
          <w:spacing w:val="-10"/>
        </w:rPr>
        <w:t xml:space="preserve"> </w:t>
      </w:r>
      <w:r w:rsidRPr="00CE32CE">
        <w:rPr>
          <w:rFonts w:ascii="Arial" w:hAnsi="Arial" w:cs="Arial"/>
        </w:rPr>
        <w:t>African</w:t>
      </w:r>
      <w:r w:rsidRPr="00CE32CE">
        <w:rPr>
          <w:rFonts w:ascii="Arial" w:hAnsi="Arial" w:cs="Arial"/>
          <w:spacing w:val="-15"/>
        </w:rPr>
        <w:t xml:space="preserve"> </w:t>
      </w:r>
      <w:r w:rsidRPr="00CE32CE">
        <w:rPr>
          <w:rFonts w:ascii="Arial" w:hAnsi="Arial" w:cs="Arial"/>
        </w:rPr>
        <w:t>permanent residence</w:t>
      </w:r>
      <w:r w:rsidRPr="00CE32CE">
        <w:rPr>
          <w:rFonts w:ascii="Arial" w:hAnsi="Arial" w:cs="Arial"/>
          <w:spacing w:val="31"/>
        </w:rPr>
        <w:t xml:space="preserve"> </w:t>
      </w:r>
      <w:r w:rsidRPr="00CE32CE">
        <w:rPr>
          <w:rFonts w:ascii="Arial" w:hAnsi="Arial" w:cs="Arial"/>
        </w:rPr>
        <w:t>permit.</w:t>
      </w:r>
    </w:p>
    <w:p w:rsidR="00570A75" w:rsidRPr="00CE32CE" w:rsidRDefault="00570A75" w:rsidP="00F81F28">
      <w:pPr>
        <w:pStyle w:val="ListParagraph"/>
        <w:widowControl w:val="0"/>
        <w:numPr>
          <w:ilvl w:val="2"/>
          <w:numId w:val="29"/>
        </w:numPr>
        <w:tabs>
          <w:tab w:val="left" w:pos="809"/>
        </w:tabs>
        <w:autoSpaceDE w:val="0"/>
        <w:autoSpaceDN w:val="0"/>
        <w:spacing w:before="25"/>
        <w:ind w:left="819" w:right="120"/>
        <w:contextualSpacing w:val="0"/>
        <w:jc w:val="both"/>
        <w:rPr>
          <w:rFonts w:ascii="Arial" w:hAnsi="Arial" w:cs="Arial"/>
        </w:rPr>
      </w:pPr>
      <w:r w:rsidRPr="00CE32CE">
        <w:rPr>
          <w:rFonts w:ascii="Arial" w:hAnsi="Arial" w:cs="Arial"/>
        </w:rPr>
        <w:t>The tenant must have been renting the property for his/her private and primary residential use since</w:t>
      </w:r>
      <w:r w:rsidRPr="00CE32CE">
        <w:rPr>
          <w:rFonts w:ascii="Arial" w:hAnsi="Arial" w:cs="Arial"/>
          <w:spacing w:val="-4"/>
        </w:rPr>
        <w:t xml:space="preserve"> </w:t>
      </w:r>
      <w:r w:rsidRPr="00CE32CE">
        <w:rPr>
          <w:rFonts w:ascii="Arial" w:hAnsi="Arial" w:cs="Arial"/>
        </w:rPr>
        <w:t>31</w:t>
      </w:r>
      <w:r w:rsidRPr="00CE32CE">
        <w:rPr>
          <w:rFonts w:ascii="Arial" w:hAnsi="Arial" w:cs="Arial"/>
          <w:spacing w:val="2"/>
        </w:rPr>
        <w:t xml:space="preserve"> </w:t>
      </w:r>
      <w:r w:rsidRPr="00CE32CE">
        <w:rPr>
          <w:rFonts w:ascii="Arial" w:hAnsi="Arial" w:cs="Arial"/>
        </w:rPr>
        <w:t>March</w:t>
      </w:r>
      <w:r w:rsidRPr="00CE32CE">
        <w:rPr>
          <w:rFonts w:ascii="Arial" w:hAnsi="Arial" w:cs="Arial"/>
          <w:spacing w:val="-2"/>
        </w:rPr>
        <w:t xml:space="preserve"> </w:t>
      </w:r>
      <w:r w:rsidRPr="00CE32CE">
        <w:rPr>
          <w:rFonts w:ascii="Arial" w:hAnsi="Arial" w:cs="Arial"/>
        </w:rPr>
        <w:t>2020</w:t>
      </w:r>
      <w:r w:rsidRPr="00CE32CE">
        <w:rPr>
          <w:rFonts w:ascii="Arial" w:hAnsi="Arial" w:cs="Arial"/>
          <w:spacing w:val="-17"/>
        </w:rPr>
        <w:t xml:space="preserve"> </w:t>
      </w:r>
      <w:r w:rsidRPr="00CE32CE">
        <w:rPr>
          <w:rFonts w:ascii="Arial" w:hAnsi="Arial" w:cs="Arial"/>
        </w:rPr>
        <w:t>(or</w:t>
      </w:r>
      <w:r w:rsidRPr="00CE32CE">
        <w:rPr>
          <w:rFonts w:ascii="Arial" w:hAnsi="Arial" w:cs="Arial"/>
          <w:spacing w:val="-6"/>
        </w:rPr>
        <w:t xml:space="preserve"> </w:t>
      </w:r>
      <w:r w:rsidRPr="00CE32CE">
        <w:rPr>
          <w:rFonts w:ascii="Arial" w:hAnsi="Arial" w:cs="Arial"/>
        </w:rPr>
        <w:t>before),</w:t>
      </w:r>
      <w:r w:rsidRPr="00CE32CE">
        <w:rPr>
          <w:rFonts w:ascii="Arial" w:hAnsi="Arial" w:cs="Arial"/>
          <w:spacing w:val="-11"/>
        </w:rPr>
        <w:t xml:space="preserve"> </w:t>
      </w:r>
      <w:r w:rsidRPr="00CE32CE">
        <w:rPr>
          <w:rFonts w:ascii="Arial" w:hAnsi="Arial" w:cs="Arial"/>
        </w:rPr>
        <w:t>in</w:t>
      </w:r>
      <w:r w:rsidRPr="00CE32CE">
        <w:rPr>
          <w:rFonts w:ascii="Arial" w:hAnsi="Arial" w:cs="Arial"/>
          <w:spacing w:val="-4"/>
        </w:rPr>
        <w:t xml:space="preserve"> </w:t>
      </w:r>
      <w:r w:rsidRPr="00CE32CE">
        <w:rPr>
          <w:rFonts w:ascii="Arial" w:hAnsi="Arial" w:cs="Arial"/>
        </w:rPr>
        <w:t>terms</w:t>
      </w:r>
      <w:r w:rsidRPr="00CE32CE">
        <w:rPr>
          <w:rFonts w:ascii="Arial" w:hAnsi="Arial" w:cs="Arial"/>
          <w:spacing w:val="-8"/>
        </w:rPr>
        <w:t xml:space="preserve"> </w:t>
      </w:r>
      <w:r w:rsidRPr="00CE32CE">
        <w:rPr>
          <w:rFonts w:ascii="Arial" w:hAnsi="Arial" w:cs="Arial"/>
        </w:rPr>
        <w:t>of</w:t>
      </w:r>
      <w:r w:rsidRPr="00CE32CE">
        <w:rPr>
          <w:rFonts w:ascii="Arial" w:hAnsi="Arial" w:cs="Arial"/>
          <w:spacing w:val="-2"/>
        </w:rPr>
        <w:t xml:space="preserve"> </w:t>
      </w:r>
      <w:r w:rsidRPr="00CE32CE">
        <w:rPr>
          <w:rFonts w:ascii="Arial" w:hAnsi="Arial" w:cs="Arial"/>
        </w:rPr>
        <w:t>a</w:t>
      </w:r>
      <w:r w:rsidRPr="00CE32CE">
        <w:rPr>
          <w:rFonts w:ascii="Arial" w:hAnsi="Arial" w:cs="Arial"/>
          <w:spacing w:val="-13"/>
        </w:rPr>
        <w:t xml:space="preserve"> </w:t>
      </w:r>
      <w:r w:rsidRPr="00CE32CE">
        <w:rPr>
          <w:rFonts w:ascii="Arial" w:hAnsi="Arial" w:cs="Arial"/>
        </w:rPr>
        <w:t>valid</w:t>
      </w:r>
      <w:r w:rsidRPr="00CE32CE">
        <w:rPr>
          <w:rFonts w:ascii="Arial" w:hAnsi="Arial" w:cs="Arial"/>
          <w:spacing w:val="1"/>
        </w:rPr>
        <w:t xml:space="preserve"> </w:t>
      </w:r>
      <w:r w:rsidRPr="00CE32CE">
        <w:rPr>
          <w:rFonts w:ascii="Arial" w:hAnsi="Arial" w:cs="Arial"/>
        </w:rPr>
        <w:t>lease agreement.</w:t>
      </w:r>
    </w:p>
    <w:p w:rsidR="00570A75" w:rsidRPr="00CE32CE" w:rsidRDefault="00570A75" w:rsidP="00F81F28">
      <w:pPr>
        <w:pStyle w:val="ListParagraph"/>
        <w:widowControl w:val="0"/>
        <w:numPr>
          <w:ilvl w:val="2"/>
          <w:numId w:val="29"/>
        </w:numPr>
        <w:tabs>
          <w:tab w:val="left" w:pos="809"/>
        </w:tabs>
        <w:autoSpaceDE w:val="0"/>
        <w:autoSpaceDN w:val="0"/>
        <w:spacing w:before="25"/>
        <w:ind w:left="816" w:right="106" w:hanging="351"/>
        <w:contextualSpacing w:val="0"/>
        <w:jc w:val="both"/>
        <w:rPr>
          <w:rFonts w:ascii="Arial" w:hAnsi="Arial" w:cs="Arial"/>
        </w:rPr>
      </w:pPr>
      <w:r w:rsidRPr="00CE32CE">
        <w:rPr>
          <w:rFonts w:ascii="Arial" w:hAnsi="Arial" w:cs="Arial"/>
        </w:rPr>
        <w:t xml:space="preserve">The tenant must have been in good standing at the date of the commencement of the state of disaster and </w:t>
      </w:r>
      <w:r>
        <w:rPr>
          <w:rFonts w:ascii="Arial" w:hAnsi="Arial" w:cs="Arial"/>
        </w:rPr>
        <w:t>l</w:t>
      </w:r>
      <w:r w:rsidRPr="00CE32CE">
        <w:rPr>
          <w:rFonts w:ascii="Arial" w:hAnsi="Arial" w:cs="Arial"/>
        </w:rPr>
        <w:t>evel 5 lockdown</w:t>
      </w:r>
      <w:r>
        <w:rPr>
          <w:rFonts w:ascii="Arial" w:hAnsi="Arial" w:cs="Arial"/>
        </w:rPr>
        <w:t xml:space="preserve">, as at </w:t>
      </w:r>
      <w:r w:rsidRPr="00CE32CE">
        <w:rPr>
          <w:rFonts w:ascii="Arial" w:hAnsi="Arial" w:cs="Arial"/>
        </w:rPr>
        <w:t>31 March</w:t>
      </w:r>
      <w:r w:rsidRPr="00CE32CE">
        <w:rPr>
          <w:rFonts w:ascii="Arial" w:hAnsi="Arial" w:cs="Arial"/>
          <w:spacing w:val="-22"/>
        </w:rPr>
        <w:t xml:space="preserve"> </w:t>
      </w:r>
      <w:r w:rsidRPr="00CE32CE">
        <w:rPr>
          <w:rFonts w:ascii="Arial" w:hAnsi="Arial" w:cs="Arial"/>
        </w:rPr>
        <w:t>2020.</w:t>
      </w:r>
    </w:p>
    <w:p w:rsidR="00570A75" w:rsidRPr="00CE32CE" w:rsidRDefault="00570A75" w:rsidP="00F81F28">
      <w:pPr>
        <w:pStyle w:val="ListParagraph"/>
        <w:widowControl w:val="0"/>
        <w:numPr>
          <w:ilvl w:val="2"/>
          <w:numId w:val="29"/>
        </w:numPr>
        <w:tabs>
          <w:tab w:val="left" w:pos="808"/>
          <w:tab w:val="left" w:pos="809"/>
        </w:tabs>
        <w:autoSpaceDE w:val="0"/>
        <w:autoSpaceDN w:val="0"/>
        <w:spacing w:before="20"/>
        <w:ind w:left="808" w:hanging="343"/>
        <w:contextualSpacing w:val="0"/>
        <w:jc w:val="both"/>
        <w:rPr>
          <w:rFonts w:ascii="Arial" w:hAnsi="Arial" w:cs="Arial"/>
        </w:rPr>
      </w:pPr>
      <w:r w:rsidRPr="00CE32CE">
        <w:rPr>
          <w:rFonts w:ascii="Arial" w:hAnsi="Arial" w:cs="Arial"/>
        </w:rPr>
        <w:t xml:space="preserve">The tenant's combined </w:t>
      </w:r>
      <w:r>
        <w:rPr>
          <w:rFonts w:ascii="Arial" w:hAnsi="Arial" w:cs="Arial"/>
        </w:rPr>
        <w:t xml:space="preserve">gross </w:t>
      </w:r>
      <w:r w:rsidRPr="00CE32CE">
        <w:rPr>
          <w:rFonts w:ascii="Arial" w:hAnsi="Arial" w:cs="Arial"/>
        </w:rPr>
        <w:t>household income must be R15 000 per month or</w:t>
      </w:r>
      <w:r w:rsidRPr="00CE32CE">
        <w:rPr>
          <w:rFonts w:ascii="Arial" w:hAnsi="Arial" w:cs="Arial"/>
          <w:spacing w:val="-8"/>
        </w:rPr>
        <w:t xml:space="preserve"> </w:t>
      </w:r>
      <w:r w:rsidRPr="00CE32CE">
        <w:rPr>
          <w:rFonts w:ascii="Arial" w:hAnsi="Arial" w:cs="Arial"/>
        </w:rPr>
        <w:t>less.</w:t>
      </w:r>
    </w:p>
    <w:p w:rsidR="00570A75" w:rsidRPr="00CE32CE" w:rsidRDefault="00570A75" w:rsidP="00F81F28">
      <w:pPr>
        <w:pStyle w:val="ListParagraph"/>
        <w:widowControl w:val="0"/>
        <w:numPr>
          <w:ilvl w:val="2"/>
          <w:numId w:val="29"/>
        </w:numPr>
        <w:tabs>
          <w:tab w:val="left" w:pos="809"/>
        </w:tabs>
        <w:autoSpaceDE w:val="0"/>
        <w:autoSpaceDN w:val="0"/>
        <w:spacing w:before="90"/>
        <w:ind w:left="815" w:right="104" w:hanging="350"/>
        <w:contextualSpacing w:val="0"/>
        <w:jc w:val="both"/>
        <w:rPr>
          <w:rFonts w:ascii="Arial" w:hAnsi="Arial" w:cs="Arial"/>
        </w:rPr>
      </w:pPr>
      <w:r w:rsidRPr="00CE32CE">
        <w:rPr>
          <w:rFonts w:ascii="Arial" w:hAnsi="Arial" w:cs="Arial"/>
          <w:w w:val="105"/>
        </w:rPr>
        <w:t>The</w:t>
      </w:r>
      <w:r w:rsidRPr="00CE32CE">
        <w:rPr>
          <w:rFonts w:ascii="Arial" w:hAnsi="Arial" w:cs="Arial"/>
          <w:spacing w:val="-25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tenant</w:t>
      </w:r>
      <w:r w:rsidRPr="00CE32CE">
        <w:rPr>
          <w:rFonts w:ascii="Arial" w:hAnsi="Arial" w:cs="Arial"/>
          <w:spacing w:val="-18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must</w:t>
      </w:r>
      <w:r w:rsidRPr="00CE32CE">
        <w:rPr>
          <w:rFonts w:ascii="Arial" w:hAnsi="Arial" w:cs="Arial"/>
          <w:spacing w:val="-17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submit</w:t>
      </w:r>
      <w:r w:rsidRPr="00CE32CE">
        <w:rPr>
          <w:rFonts w:ascii="Arial" w:hAnsi="Arial" w:cs="Arial"/>
          <w:spacing w:val="-16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proof</w:t>
      </w:r>
      <w:r w:rsidRPr="00CE32CE">
        <w:rPr>
          <w:rFonts w:ascii="Arial" w:hAnsi="Arial" w:cs="Arial"/>
          <w:spacing w:val="-25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that</w:t>
      </w:r>
      <w:r w:rsidRPr="00CE32CE">
        <w:rPr>
          <w:rFonts w:ascii="Arial" w:hAnsi="Arial" w:cs="Arial"/>
          <w:spacing w:val="-21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her/his</w:t>
      </w:r>
      <w:r w:rsidRPr="00CE32CE">
        <w:rPr>
          <w:rFonts w:ascii="Arial" w:hAnsi="Arial" w:cs="Arial"/>
          <w:spacing w:val="-20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household</w:t>
      </w:r>
      <w:r w:rsidRPr="00CE32CE">
        <w:rPr>
          <w:rFonts w:ascii="Arial" w:hAnsi="Arial" w:cs="Arial"/>
          <w:spacing w:val="-23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income</w:t>
      </w:r>
      <w:r w:rsidRPr="00CE32CE">
        <w:rPr>
          <w:rFonts w:ascii="Arial" w:hAnsi="Arial" w:cs="Arial"/>
          <w:spacing w:val="-18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reduced</w:t>
      </w:r>
      <w:r w:rsidRPr="00CE32CE">
        <w:rPr>
          <w:rFonts w:ascii="Arial" w:hAnsi="Arial" w:cs="Arial"/>
          <w:spacing w:val="-16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by</w:t>
      </w:r>
      <w:r w:rsidRPr="00CE32CE">
        <w:rPr>
          <w:rFonts w:ascii="Arial" w:hAnsi="Arial" w:cs="Arial"/>
          <w:spacing w:val="-32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at</w:t>
      </w:r>
      <w:r w:rsidRPr="00CE32CE">
        <w:rPr>
          <w:rFonts w:ascii="Arial" w:hAnsi="Arial" w:cs="Arial"/>
          <w:spacing w:val="-21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least</w:t>
      </w:r>
      <w:r w:rsidRPr="00CE32CE">
        <w:rPr>
          <w:rFonts w:ascii="Arial" w:hAnsi="Arial" w:cs="Arial"/>
          <w:spacing w:val="-20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50%</w:t>
      </w:r>
      <w:r w:rsidRPr="00CE32CE">
        <w:rPr>
          <w:rFonts w:ascii="Arial" w:hAnsi="Arial" w:cs="Arial"/>
          <w:spacing w:val="-26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due</w:t>
      </w:r>
      <w:r w:rsidRPr="00CE32CE">
        <w:rPr>
          <w:rFonts w:ascii="Arial" w:hAnsi="Arial" w:cs="Arial"/>
          <w:spacing w:val="-23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to the state of disaster resulting from the Covid - 19 pandemic - the material period for determinations</w:t>
      </w:r>
      <w:r w:rsidRPr="00CE32CE">
        <w:rPr>
          <w:rFonts w:ascii="Arial" w:hAnsi="Arial" w:cs="Arial"/>
          <w:spacing w:val="-10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of</w:t>
      </w:r>
      <w:r w:rsidRPr="00CE32CE">
        <w:rPr>
          <w:rFonts w:ascii="Arial" w:hAnsi="Arial" w:cs="Arial"/>
          <w:spacing w:val="3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loss</w:t>
      </w:r>
      <w:r w:rsidRPr="00CE32CE">
        <w:rPr>
          <w:rFonts w:ascii="Arial" w:hAnsi="Arial" w:cs="Arial"/>
          <w:spacing w:val="-12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of</w:t>
      </w:r>
      <w:r w:rsidRPr="00CE32CE">
        <w:rPr>
          <w:rFonts w:ascii="Arial" w:hAnsi="Arial" w:cs="Arial"/>
          <w:spacing w:val="-11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income</w:t>
      </w:r>
      <w:r w:rsidRPr="00CE32CE">
        <w:rPr>
          <w:rFonts w:ascii="Arial" w:hAnsi="Arial" w:cs="Arial"/>
          <w:spacing w:val="1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is</w:t>
      </w:r>
      <w:r w:rsidRPr="00CE32CE">
        <w:rPr>
          <w:rFonts w:ascii="Arial" w:hAnsi="Arial" w:cs="Arial"/>
          <w:spacing w:val="-20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the</w:t>
      </w:r>
      <w:r w:rsidRPr="00CE32CE">
        <w:rPr>
          <w:rFonts w:ascii="Arial" w:hAnsi="Arial" w:cs="Arial"/>
          <w:spacing w:val="-7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period</w:t>
      </w:r>
      <w:r w:rsidRPr="00CE32CE">
        <w:rPr>
          <w:rFonts w:ascii="Arial" w:hAnsi="Arial" w:cs="Arial"/>
          <w:spacing w:val="-8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for</w:t>
      </w:r>
      <w:r w:rsidRPr="00CE32CE">
        <w:rPr>
          <w:rFonts w:ascii="Arial" w:hAnsi="Arial" w:cs="Arial"/>
          <w:spacing w:val="-4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which</w:t>
      </w:r>
      <w:r w:rsidRPr="00CE32CE">
        <w:rPr>
          <w:rFonts w:ascii="Arial" w:hAnsi="Arial" w:cs="Arial"/>
          <w:spacing w:val="-4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relief</w:t>
      </w:r>
      <w:r w:rsidRPr="00CE32CE">
        <w:rPr>
          <w:rFonts w:ascii="Arial" w:hAnsi="Arial" w:cs="Arial"/>
          <w:spacing w:val="-7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is</w:t>
      </w:r>
      <w:r w:rsidRPr="00CE32CE">
        <w:rPr>
          <w:rFonts w:ascii="Arial" w:hAnsi="Arial" w:cs="Arial"/>
          <w:spacing w:val="-7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sought</w:t>
      </w:r>
      <w:r w:rsidRPr="00CE32CE">
        <w:rPr>
          <w:rFonts w:ascii="Arial" w:hAnsi="Arial" w:cs="Arial"/>
          <w:spacing w:val="-5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(and</w:t>
      </w:r>
      <w:r w:rsidRPr="00CE32CE">
        <w:rPr>
          <w:rFonts w:ascii="Arial" w:hAnsi="Arial" w:cs="Arial"/>
          <w:spacing w:val="-9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not</w:t>
      </w:r>
      <w:r w:rsidRPr="00CE32CE">
        <w:rPr>
          <w:rFonts w:ascii="Arial" w:hAnsi="Arial" w:cs="Arial"/>
          <w:spacing w:val="-7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income</w:t>
      </w:r>
      <w:r w:rsidRPr="00CE32CE">
        <w:rPr>
          <w:rFonts w:ascii="Arial" w:hAnsi="Arial" w:cs="Arial"/>
          <w:spacing w:val="-4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at the time of</w:t>
      </w:r>
      <w:r w:rsidRPr="00CE32CE">
        <w:rPr>
          <w:rFonts w:ascii="Arial" w:hAnsi="Arial" w:cs="Arial"/>
          <w:spacing w:val="-35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applications).</w:t>
      </w:r>
    </w:p>
    <w:p w:rsidR="00570A75" w:rsidRPr="00CE32CE" w:rsidRDefault="00570A75" w:rsidP="00F81F28">
      <w:pPr>
        <w:pStyle w:val="ListParagraph"/>
        <w:widowControl w:val="0"/>
        <w:numPr>
          <w:ilvl w:val="2"/>
          <w:numId w:val="29"/>
        </w:numPr>
        <w:tabs>
          <w:tab w:val="left" w:pos="814"/>
        </w:tabs>
        <w:autoSpaceDE w:val="0"/>
        <w:autoSpaceDN w:val="0"/>
        <w:spacing w:before="16"/>
        <w:ind w:left="815" w:right="105" w:hanging="350"/>
        <w:contextualSpacing w:val="0"/>
        <w:jc w:val="both"/>
        <w:rPr>
          <w:rFonts w:ascii="Arial" w:hAnsi="Arial" w:cs="Arial"/>
        </w:rPr>
      </w:pPr>
      <w:r w:rsidRPr="00CE32CE">
        <w:rPr>
          <w:rFonts w:ascii="Arial" w:hAnsi="Arial" w:cs="Arial"/>
        </w:rPr>
        <w:t>The tenant must not have been in rental arrears, as of 29 February 2020, OR have been less than 30 days in arrears by end of March</w:t>
      </w:r>
      <w:r w:rsidRPr="00CE32CE">
        <w:rPr>
          <w:rFonts w:ascii="Arial" w:hAnsi="Arial" w:cs="Arial"/>
          <w:spacing w:val="-11"/>
        </w:rPr>
        <w:t xml:space="preserve"> </w:t>
      </w:r>
      <w:r w:rsidRPr="00CE32CE">
        <w:rPr>
          <w:rFonts w:ascii="Arial" w:hAnsi="Arial" w:cs="Arial"/>
        </w:rPr>
        <w:t>2020.</w:t>
      </w:r>
    </w:p>
    <w:p w:rsidR="00570A75" w:rsidRPr="00CE32CE" w:rsidRDefault="00570A75" w:rsidP="00F81F28">
      <w:pPr>
        <w:pStyle w:val="ListParagraph"/>
        <w:widowControl w:val="0"/>
        <w:numPr>
          <w:ilvl w:val="2"/>
          <w:numId w:val="29"/>
        </w:numPr>
        <w:tabs>
          <w:tab w:val="left" w:pos="813"/>
          <w:tab w:val="left" w:pos="814"/>
        </w:tabs>
        <w:autoSpaceDE w:val="0"/>
        <w:autoSpaceDN w:val="0"/>
        <w:spacing w:before="16"/>
        <w:ind w:left="813" w:hanging="348"/>
        <w:contextualSpacing w:val="0"/>
        <w:jc w:val="both"/>
        <w:rPr>
          <w:rFonts w:ascii="Arial" w:hAnsi="Arial" w:cs="Arial"/>
        </w:rPr>
      </w:pPr>
      <w:r w:rsidRPr="00CE32CE">
        <w:rPr>
          <w:rFonts w:ascii="Arial" w:hAnsi="Arial" w:cs="Arial"/>
        </w:rPr>
        <w:t>The tenant must have a repayment agreement in</w:t>
      </w:r>
      <w:r w:rsidRPr="00CE32CE">
        <w:rPr>
          <w:rFonts w:ascii="Arial" w:hAnsi="Arial" w:cs="Arial"/>
          <w:spacing w:val="11"/>
        </w:rPr>
        <w:t xml:space="preserve"> </w:t>
      </w:r>
      <w:r w:rsidRPr="00CE32CE">
        <w:rPr>
          <w:rFonts w:ascii="Arial" w:hAnsi="Arial" w:cs="Arial"/>
        </w:rPr>
        <w:t>place.</w:t>
      </w:r>
    </w:p>
    <w:p w:rsidR="00570A75" w:rsidRPr="00CE32CE" w:rsidRDefault="00570A75" w:rsidP="00F81F28">
      <w:pPr>
        <w:pStyle w:val="ListParagraph"/>
        <w:widowControl w:val="0"/>
        <w:numPr>
          <w:ilvl w:val="2"/>
          <w:numId w:val="29"/>
        </w:numPr>
        <w:tabs>
          <w:tab w:val="left" w:pos="809"/>
        </w:tabs>
        <w:autoSpaceDE w:val="0"/>
        <w:autoSpaceDN w:val="0"/>
        <w:spacing w:before="90"/>
        <w:ind w:left="810" w:right="118" w:hanging="345"/>
        <w:contextualSpacing w:val="0"/>
        <w:jc w:val="both"/>
        <w:rPr>
          <w:rFonts w:ascii="Arial" w:hAnsi="Arial" w:cs="Arial"/>
        </w:rPr>
      </w:pPr>
      <w:r w:rsidRPr="00CE32CE">
        <w:rPr>
          <w:rFonts w:ascii="Arial" w:hAnsi="Arial" w:cs="Arial"/>
        </w:rPr>
        <w:t xml:space="preserve">The tenant must display that she/he has been unable to pay full rental during the lockdown because of loss of income caused by the economic downturn associated with the </w:t>
      </w:r>
      <w:r>
        <w:rPr>
          <w:rFonts w:ascii="Arial" w:hAnsi="Arial" w:cs="Arial"/>
        </w:rPr>
        <w:t xml:space="preserve">state of disaster on the </w:t>
      </w:r>
      <w:r w:rsidRPr="00CE32CE">
        <w:rPr>
          <w:rFonts w:ascii="Arial" w:hAnsi="Arial" w:cs="Arial"/>
        </w:rPr>
        <w:t>COVID-19 pandemic.</w:t>
      </w:r>
    </w:p>
    <w:p w:rsidR="00570A75" w:rsidRPr="00CE32CE" w:rsidRDefault="00570A75" w:rsidP="00F81F28">
      <w:pPr>
        <w:pStyle w:val="ListParagraph"/>
        <w:widowControl w:val="0"/>
        <w:numPr>
          <w:ilvl w:val="2"/>
          <w:numId w:val="29"/>
        </w:numPr>
        <w:tabs>
          <w:tab w:val="left" w:pos="808"/>
          <w:tab w:val="left" w:pos="809"/>
        </w:tabs>
        <w:autoSpaceDE w:val="0"/>
        <w:autoSpaceDN w:val="0"/>
        <w:spacing w:before="16"/>
        <w:ind w:left="808" w:hanging="339"/>
        <w:contextualSpacing w:val="0"/>
        <w:jc w:val="both"/>
        <w:rPr>
          <w:rFonts w:ascii="Arial" w:hAnsi="Arial" w:cs="Arial"/>
        </w:rPr>
      </w:pPr>
      <w:r w:rsidRPr="00CE32CE">
        <w:rPr>
          <w:rFonts w:ascii="Arial" w:hAnsi="Arial" w:cs="Arial"/>
        </w:rPr>
        <w:t xml:space="preserve">The tenant must be over 18 years of age on the date of lodging an application for rent </w:t>
      </w:r>
      <w:r w:rsidRPr="00CE32CE">
        <w:rPr>
          <w:rFonts w:ascii="Arial" w:hAnsi="Arial" w:cs="Arial"/>
          <w:spacing w:val="12"/>
        </w:rPr>
        <w:t>relief</w:t>
      </w:r>
      <w:r w:rsidRPr="00CE32CE">
        <w:rPr>
          <w:rFonts w:ascii="Arial" w:hAnsi="Arial" w:cs="Arial"/>
        </w:rPr>
        <w:t>.</w:t>
      </w:r>
    </w:p>
    <w:p w:rsidR="00570A75" w:rsidRPr="00CE32CE" w:rsidRDefault="00570A75" w:rsidP="00F81F28">
      <w:pPr>
        <w:pStyle w:val="ListParagraph"/>
        <w:widowControl w:val="0"/>
        <w:numPr>
          <w:ilvl w:val="2"/>
          <w:numId w:val="29"/>
        </w:numPr>
        <w:tabs>
          <w:tab w:val="left" w:pos="819"/>
        </w:tabs>
        <w:autoSpaceDE w:val="0"/>
        <w:autoSpaceDN w:val="0"/>
        <w:spacing w:before="90"/>
        <w:ind w:left="816" w:right="105" w:hanging="347"/>
        <w:contextualSpacing w:val="0"/>
        <w:jc w:val="both"/>
        <w:rPr>
          <w:rFonts w:ascii="Arial" w:hAnsi="Arial" w:cs="Arial"/>
        </w:rPr>
      </w:pPr>
      <w:r w:rsidRPr="00CE32CE">
        <w:rPr>
          <w:rFonts w:ascii="Arial" w:hAnsi="Arial" w:cs="Arial"/>
        </w:rPr>
        <w:t>The tenant must not currently own any residential property in full ownership, leasehold or deed of</w:t>
      </w:r>
      <w:r w:rsidRPr="00CE32CE">
        <w:rPr>
          <w:rFonts w:ascii="Arial" w:hAnsi="Arial" w:cs="Arial"/>
          <w:spacing w:val="26"/>
        </w:rPr>
        <w:t xml:space="preserve"> </w:t>
      </w:r>
      <w:r w:rsidRPr="00CE32CE">
        <w:rPr>
          <w:rFonts w:ascii="Arial" w:hAnsi="Arial" w:cs="Arial"/>
        </w:rPr>
        <w:t>grant.</w:t>
      </w:r>
    </w:p>
    <w:p w:rsidR="00570A75" w:rsidRPr="00CE32CE" w:rsidRDefault="00570A75" w:rsidP="00F81F28">
      <w:pPr>
        <w:pStyle w:val="ListParagraph"/>
        <w:widowControl w:val="0"/>
        <w:numPr>
          <w:ilvl w:val="2"/>
          <w:numId w:val="29"/>
        </w:numPr>
        <w:autoSpaceDE w:val="0"/>
        <w:autoSpaceDN w:val="0"/>
        <w:spacing w:before="90"/>
        <w:ind w:left="816" w:right="105" w:hanging="347"/>
        <w:contextualSpacing w:val="0"/>
        <w:jc w:val="both"/>
        <w:rPr>
          <w:rFonts w:ascii="Arial" w:hAnsi="Arial" w:cs="Arial"/>
        </w:rPr>
      </w:pPr>
      <w:r w:rsidRPr="00CE32CE">
        <w:rPr>
          <w:rFonts w:ascii="Arial" w:hAnsi="Arial" w:cs="Arial"/>
        </w:rPr>
        <w:t>Special Provisions:</w:t>
      </w:r>
    </w:p>
    <w:p w:rsidR="00570A75" w:rsidRPr="00CE32CE" w:rsidRDefault="00570A75" w:rsidP="00F81F28">
      <w:pPr>
        <w:pStyle w:val="ListParagraph"/>
        <w:widowControl w:val="0"/>
        <w:numPr>
          <w:ilvl w:val="3"/>
          <w:numId w:val="29"/>
        </w:numPr>
        <w:tabs>
          <w:tab w:val="left" w:pos="1549"/>
        </w:tabs>
        <w:autoSpaceDE w:val="0"/>
        <w:autoSpaceDN w:val="0"/>
        <w:spacing w:before="93"/>
        <w:ind w:right="111"/>
        <w:contextualSpacing w:val="0"/>
        <w:jc w:val="both"/>
        <w:rPr>
          <w:rFonts w:ascii="Arial" w:hAnsi="Arial" w:cs="Arial"/>
        </w:rPr>
      </w:pPr>
      <w:r w:rsidRPr="00CE32CE">
        <w:rPr>
          <w:rFonts w:ascii="Arial" w:hAnsi="Arial" w:cs="Arial"/>
          <w:w w:val="105"/>
        </w:rPr>
        <w:t xml:space="preserve">The fact that a lessee may have previously benefitted from any </w:t>
      </w:r>
      <w:r w:rsidRPr="00CE32CE">
        <w:rPr>
          <w:rFonts w:ascii="Arial" w:hAnsi="Arial" w:cs="Arial"/>
          <w:w w:val="105"/>
        </w:rPr>
        <w:lastRenderedPageBreak/>
        <w:t>form of housing assistance</w:t>
      </w:r>
      <w:r w:rsidRPr="00CE32CE">
        <w:rPr>
          <w:rFonts w:ascii="Arial" w:hAnsi="Arial" w:cs="Arial"/>
          <w:spacing w:val="-17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from</w:t>
      </w:r>
      <w:r w:rsidRPr="00CE32CE">
        <w:rPr>
          <w:rFonts w:ascii="Arial" w:hAnsi="Arial" w:cs="Arial"/>
          <w:spacing w:val="-22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the</w:t>
      </w:r>
      <w:r w:rsidRPr="00CE32CE">
        <w:rPr>
          <w:rFonts w:ascii="Arial" w:hAnsi="Arial" w:cs="Arial"/>
          <w:spacing w:val="-22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Government</w:t>
      </w:r>
      <w:r w:rsidRPr="00CE32CE">
        <w:rPr>
          <w:rFonts w:ascii="Arial" w:hAnsi="Arial" w:cs="Arial"/>
          <w:spacing w:val="-15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of</w:t>
      </w:r>
      <w:r w:rsidRPr="00CE32CE">
        <w:rPr>
          <w:rFonts w:ascii="Arial" w:hAnsi="Arial" w:cs="Arial"/>
          <w:spacing w:val="-15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the</w:t>
      </w:r>
      <w:r w:rsidRPr="00CE32CE">
        <w:rPr>
          <w:rFonts w:ascii="Arial" w:hAnsi="Arial" w:cs="Arial"/>
          <w:spacing w:val="-23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Republic</w:t>
      </w:r>
      <w:r w:rsidRPr="00CE32CE">
        <w:rPr>
          <w:rFonts w:ascii="Arial" w:hAnsi="Arial" w:cs="Arial"/>
          <w:spacing w:val="-18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of</w:t>
      </w:r>
      <w:r w:rsidRPr="00CE32CE">
        <w:rPr>
          <w:rFonts w:ascii="Arial" w:hAnsi="Arial" w:cs="Arial"/>
          <w:spacing w:val="-24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South</w:t>
      </w:r>
      <w:r w:rsidRPr="00CE32CE">
        <w:rPr>
          <w:rFonts w:ascii="Arial" w:hAnsi="Arial" w:cs="Arial"/>
          <w:spacing w:val="-13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Africa,</w:t>
      </w:r>
      <w:r w:rsidRPr="00CE32CE">
        <w:rPr>
          <w:rFonts w:ascii="Arial" w:hAnsi="Arial" w:cs="Arial"/>
          <w:spacing w:val="-18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shall</w:t>
      </w:r>
      <w:r w:rsidRPr="00CE32CE">
        <w:rPr>
          <w:rFonts w:ascii="Arial" w:hAnsi="Arial" w:cs="Arial"/>
          <w:spacing w:val="-27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not</w:t>
      </w:r>
      <w:r w:rsidRPr="00CE32CE">
        <w:rPr>
          <w:rFonts w:ascii="Arial" w:hAnsi="Arial" w:cs="Arial"/>
          <w:spacing w:val="-18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disqualify him/her from receiving a rent relief grant. Being a beneficiary of the Rent Relief Programme in no way whatsoever will disqualify a qualifying lessee from future participation</w:t>
      </w:r>
      <w:r w:rsidRPr="00CE32CE">
        <w:rPr>
          <w:rFonts w:ascii="Arial" w:hAnsi="Arial" w:cs="Arial"/>
          <w:spacing w:val="-33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in</w:t>
      </w:r>
      <w:r w:rsidRPr="00CE32CE">
        <w:rPr>
          <w:rFonts w:ascii="Arial" w:hAnsi="Arial" w:cs="Arial"/>
          <w:spacing w:val="-34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another</w:t>
      </w:r>
      <w:r w:rsidRPr="00CE32CE">
        <w:rPr>
          <w:rFonts w:ascii="Arial" w:hAnsi="Arial" w:cs="Arial"/>
          <w:spacing w:val="-35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National</w:t>
      </w:r>
      <w:r w:rsidRPr="00CE32CE">
        <w:rPr>
          <w:rFonts w:ascii="Arial" w:hAnsi="Arial" w:cs="Arial"/>
          <w:spacing w:val="-37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Housing</w:t>
      </w:r>
      <w:r w:rsidRPr="00CE32CE">
        <w:rPr>
          <w:rFonts w:ascii="Arial" w:hAnsi="Arial" w:cs="Arial"/>
          <w:spacing w:val="-37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Programme.</w:t>
      </w:r>
    </w:p>
    <w:p w:rsidR="00570A75" w:rsidRPr="00CE32CE" w:rsidRDefault="00570A75" w:rsidP="00F81F28">
      <w:pPr>
        <w:pStyle w:val="ListParagraph"/>
        <w:widowControl w:val="0"/>
        <w:numPr>
          <w:ilvl w:val="3"/>
          <w:numId w:val="29"/>
        </w:numPr>
        <w:tabs>
          <w:tab w:val="left" w:pos="1548"/>
        </w:tabs>
        <w:autoSpaceDE w:val="0"/>
        <w:autoSpaceDN w:val="0"/>
        <w:spacing w:before="4"/>
        <w:ind w:right="112"/>
        <w:contextualSpacing w:val="0"/>
        <w:jc w:val="both"/>
        <w:rPr>
          <w:rFonts w:ascii="Arial" w:hAnsi="Arial" w:cs="Arial"/>
        </w:rPr>
      </w:pPr>
      <w:r w:rsidRPr="00CE32CE">
        <w:rPr>
          <w:rFonts w:ascii="Arial" w:hAnsi="Arial" w:cs="Arial"/>
          <w:w w:val="105"/>
        </w:rPr>
        <w:t>Preferential</w:t>
      </w:r>
      <w:r w:rsidRPr="00CE32CE">
        <w:rPr>
          <w:rFonts w:ascii="Arial" w:hAnsi="Arial" w:cs="Arial"/>
          <w:spacing w:val="-5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treatment</w:t>
      </w:r>
      <w:r w:rsidRPr="00CE32CE">
        <w:rPr>
          <w:rFonts w:ascii="Arial" w:hAnsi="Arial" w:cs="Arial"/>
          <w:spacing w:val="9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will</w:t>
      </w:r>
      <w:r w:rsidRPr="00CE32CE">
        <w:rPr>
          <w:rFonts w:ascii="Arial" w:hAnsi="Arial" w:cs="Arial"/>
          <w:spacing w:val="-12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be</w:t>
      </w:r>
      <w:r w:rsidRPr="00CE32CE">
        <w:rPr>
          <w:rFonts w:ascii="Arial" w:hAnsi="Arial" w:cs="Arial"/>
          <w:spacing w:val="-10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given</w:t>
      </w:r>
      <w:r w:rsidRPr="00CE32CE">
        <w:rPr>
          <w:rFonts w:ascii="Arial" w:hAnsi="Arial" w:cs="Arial"/>
          <w:spacing w:val="-6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in</w:t>
      </w:r>
      <w:r w:rsidRPr="00CE32CE">
        <w:rPr>
          <w:rFonts w:ascii="Arial" w:hAnsi="Arial" w:cs="Arial"/>
          <w:spacing w:val="-11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cases</w:t>
      </w:r>
      <w:r w:rsidRPr="00CE32CE">
        <w:rPr>
          <w:rFonts w:ascii="Arial" w:hAnsi="Arial" w:cs="Arial"/>
          <w:spacing w:val="-13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of</w:t>
      </w:r>
      <w:r w:rsidRPr="00CE32CE">
        <w:rPr>
          <w:rFonts w:ascii="Arial" w:hAnsi="Arial" w:cs="Arial"/>
          <w:spacing w:val="-3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tenants</w:t>
      </w:r>
      <w:r w:rsidRPr="00CE32CE">
        <w:rPr>
          <w:rFonts w:ascii="Arial" w:hAnsi="Arial" w:cs="Arial"/>
          <w:spacing w:val="-2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who</w:t>
      </w:r>
      <w:r w:rsidRPr="00CE32CE">
        <w:rPr>
          <w:rFonts w:ascii="Arial" w:hAnsi="Arial" w:cs="Arial"/>
          <w:spacing w:val="1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are</w:t>
      </w:r>
      <w:r w:rsidRPr="00CE32CE">
        <w:rPr>
          <w:rFonts w:ascii="Arial" w:hAnsi="Arial" w:cs="Arial"/>
          <w:spacing w:val="-2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pensioners</w:t>
      </w:r>
      <w:r w:rsidRPr="00CE32CE">
        <w:rPr>
          <w:rFonts w:ascii="Arial" w:hAnsi="Arial" w:cs="Arial"/>
          <w:spacing w:val="4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and</w:t>
      </w:r>
      <w:r w:rsidRPr="00CE32CE">
        <w:rPr>
          <w:rFonts w:ascii="Arial" w:hAnsi="Arial" w:cs="Arial"/>
          <w:spacing w:val="-7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or disabled,</w:t>
      </w:r>
      <w:r w:rsidRPr="00CE32CE">
        <w:rPr>
          <w:rFonts w:ascii="Arial" w:hAnsi="Arial" w:cs="Arial"/>
          <w:spacing w:val="-28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or</w:t>
      </w:r>
      <w:r w:rsidRPr="00CE32CE">
        <w:rPr>
          <w:rFonts w:ascii="Arial" w:hAnsi="Arial" w:cs="Arial"/>
          <w:spacing w:val="-26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who</w:t>
      </w:r>
      <w:r w:rsidRPr="00CE32CE">
        <w:rPr>
          <w:rFonts w:ascii="Arial" w:hAnsi="Arial" w:cs="Arial"/>
          <w:spacing w:val="-27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have</w:t>
      </w:r>
      <w:r w:rsidRPr="00CE32CE">
        <w:rPr>
          <w:rFonts w:ascii="Arial" w:hAnsi="Arial" w:cs="Arial"/>
          <w:spacing w:val="-23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pensioners</w:t>
      </w:r>
      <w:r w:rsidRPr="00CE32CE">
        <w:rPr>
          <w:rFonts w:ascii="Arial" w:hAnsi="Arial" w:cs="Arial"/>
          <w:spacing w:val="-25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and/or</w:t>
      </w:r>
      <w:r w:rsidRPr="00CE32CE">
        <w:rPr>
          <w:rFonts w:ascii="Arial" w:hAnsi="Arial" w:cs="Arial"/>
          <w:spacing w:val="-25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disabled</w:t>
      </w:r>
      <w:r w:rsidRPr="00CE32CE">
        <w:rPr>
          <w:rFonts w:ascii="Arial" w:hAnsi="Arial" w:cs="Arial"/>
          <w:spacing w:val="-24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persons</w:t>
      </w:r>
      <w:r w:rsidRPr="00CE32CE">
        <w:rPr>
          <w:rFonts w:ascii="Arial" w:hAnsi="Arial" w:cs="Arial"/>
          <w:spacing w:val="-23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as</w:t>
      </w:r>
      <w:r w:rsidRPr="00CE32CE">
        <w:rPr>
          <w:rFonts w:ascii="Arial" w:hAnsi="Arial" w:cs="Arial"/>
          <w:spacing w:val="-31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part</w:t>
      </w:r>
      <w:r w:rsidRPr="00CE32CE">
        <w:rPr>
          <w:rFonts w:ascii="Arial" w:hAnsi="Arial" w:cs="Arial"/>
          <w:spacing w:val="-28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of</w:t>
      </w:r>
      <w:r w:rsidRPr="00CE32CE">
        <w:rPr>
          <w:rFonts w:ascii="Arial" w:hAnsi="Arial" w:cs="Arial"/>
          <w:spacing w:val="-32"/>
          <w:w w:val="105"/>
        </w:rPr>
        <w:t xml:space="preserve"> </w:t>
      </w:r>
      <w:r w:rsidRPr="00CE32CE">
        <w:rPr>
          <w:rFonts w:ascii="Arial" w:hAnsi="Arial" w:cs="Arial"/>
          <w:w w:val="105"/>
        </w:rPr>
        <w:t>their</w:t>
      </w:r>
      <w:r w:rsidRPr="00CE32CE">
        <w:rPr>
          <w:rFonts w:ascii="Arial" w:hAnsi="Arial" w:cs="Arial"/>
          <w:spacing w:val="-26"/>
          <w:w w:val="105"/>
        </w:rPr>
        <w:t xml:space="preserve"> </w:t>
      </w:r>
      <w:r w:rsidRPr="00CE32CE">
        <w:rPr>
          <w:rFonts w:ascii="Arial" w:hAnsi="Arial" w:cs="Arial"/>
          <w:w w:val="105"/>
        </w:rPr>
        <w:t xml:space="preserve">household </w:t>
      </w:r>
    </w:p>
    <w:p w:rsidR="000D64E8" w:rsidRDefault="000D64E8" w:rsidP="00F81F28">
      <w:pPr>
        <w:pStyle w:val="NoSpacing"/>
        <w:jc w:val="both"/>
        <w:rPr>
          <w:rFonts w:ascii="Arial" w:hAnsi="Arial" w:cs="Arial"/>
        </w:rPr>
      </w:pPr>
    </w:p>
    <w:p w:rsidR="000D64E8" w:rsidRDefault="000D64E8" w:rsidP="00F81F28">
      <w:pPr>
        <w:pStyle w:val="NoSpacing"/>
        <w:jc w:val="both"/>
        <w:rPr>
          <w:rFonts w:ascii="Arial" w:hAnsi="Arial" w:cs="Arial"/>
        </w:rPr>
      </w:pPr>
    </w:p>
    <w:p w:rsidR="000D64E8" w:rsidRDefault="009F2A70" w:rsidP="00F81F28">
      <w:pPr>
        <w:pStyle w:val="NoSpacing"/>
        <w:tabs>
          <w:tab w:val="left" w:pos="34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64E8" w:rsidRDefault="000D64E8" w:rsidP="00F81F28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</w:p>
    <w:sectPr w:rsidR="000D64E8" w:rsidSect="00F30CB2">
      <w:pgSz w:w="11909" w:h="16834" w:code="9"/>
      <w:pgMar w:top="1134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AEA"/>
    <w:multiLevelType w:val="hybridMultilevel"/>
    <w:tmpl w:val="2A6CF4DA"/>
    <w:lvl w:ilvl="0" w:tplc="37D442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7D58"/>
    <w:multiLevelType w:val="hybridMultilevel"/>
    <w:tmpl w:val="CDA609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57698"/>
    <w:multiLevelType w:val="hybridMultilevel"/>
    <w:tmpl w:val="FB187D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24963"/>
    <w:multiLevelType w:val="hybridMultilevel"/>
    <w:tmpl w:val="05F00E14"/>
    <w:lvl w:ilvl="0" w:tplc="5CF211F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5F42"/>
    <w:multiLevelType w:val="hybridMultilevel"/>
    <w:tmpl w:val="1042356A"/>
    <w:lvl w:ilvl="0" w:tplc="40D464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2772"/>
    <w:multiLevelType w:val="hybridMultilevel"/>
    <w:tmpl w:val="19DA2A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C04C9A"/>
    <w:multiLevelType w:val="hybridMultilevel"/>
    <w:tmpl w:val="99584DAA"/>
    <w:lvl w:ilvl="0" w:tplc="093CB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335C0"/>
    <w:multiLevelType w:val="hybridMultilevel"/>
    <w:tmpl w:val="0C9073DA"/>
    <w:lvl w:ilvl="0" w:tplc="4720F6FE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92F3A05"/>
    <w:multiLevelType w:val="multilevel"/>
    <w:tmpl w:val="0838D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F47196"/>
    <w:multiLevelType w:val="hybridMultilevel"/>
    <w:tmpl w:val="D7F42648"/>
    <w:lvl w:ilvl="0" w:tplc="09CACD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965BA1"/>
    <w:multiLevelType w:val="hybridMultilevel"/>
    <w:tmpl w:val="14B0E13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85B6B"/>
    <w:multiLevelType w:val="hybridMultilevel"/>
    <w:tmpl w:val="B4ACA7F6"/>
    <w:lvl w:ilvl="0" w:tplc="BFCC90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EB60FD"/>
    <w:multiLevelType w:val="hybridMultilevel"/>
    <w:tmpl w:val="123C0F0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126898"/>
    <w:multiLevelType w:val="hybridMultilevel"/>
    <w:tmpl w:val="77C8BDFE"/>
    <w:lvl w:ilvl="0" w:tplc="6F7200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84137D"/>
    <w:multiLevelType w:val="hybridMultilevel"/>
    <w:tmpl w:val="9E84A8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A609C"/>
    <w:multiLevelType w:val="hybridMultilevel"/>
    <w:tmpl w:val="F9F83AB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B7C4A"/>
    <w:multiLevelType w:val="hybridMultilevel"/>
    <w:tmpl w:val="CA909D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50D32"/>
    <w:multiLevelType w:val="hybridMultilevel"/>
    <w:tmpl w:val="FEEEAF48"/>
    <w:lvl w:ilvl="0" w:tplc="C96A95E6">
      <w:start w:val="25"/>
      <w:numFmt w:val="decimal"/>
      <w:lvlText w:val="%1."/>
      <w:lvlJc w:val="left"/>
      <w:pPr>
        <w:ind w:left="785" w:hanging="654"/>
        <w:jc w:val="left"/>
      </w:pPr>
      <w:rPr>
        <w:rFonts w:ascii="Arial" w:eastAsia="Arial" w:hAnsi="Arial" w:cs="Arial" w:hint="default"/>
        <w:color w:val="525252"/>
        <w:w w:val="98"/>
        <w:sz w:val="20"/>
        <w:szCs w:val="20"/>
      </w:rPr>
    </w:lvl>
    <w:lvl w:ilvl="1" w:tplc="350EDF8A">
      <w:start w:val="3"/>
      <w:numFmt w:val="decimal"/>
      <w:lvlText w:val="%2."/>
      <w:lvlJc w:val="left"/>
      <w:pPr>
        <w:ind w:left="681" w:hanging="354"/>
        <w:jc w:val="right"/>
      </w:pPr>
      <w:rPr>
        <w:rFonts w:hint="default"/>
        <w:b/>
        <w:bCs/>
        <w:w w:val="107"/>
      </w:rPr>
    </w:lvl>
    <w:lvl w:ilvl="2" w:tplc="0409000F">
      <w:start w:val="1"/>
      <w:numFmt w:val="decimal"/>
      <w:lvlText w:val="%3."/>
      <w:lvlJc w:val="left"/>
      <w:pPr>
        <w:ind w:left="832" w:hanging="360"/>
      </w:pPr>
      <w:rPr>
        <w:rFonts w:hint="default"/>
        <w:w w:val="104"/>
      </w:rPr>
    </w:lvl>
    <w:lvl w:ilvl="3" w:tplc="73A05360">
      <w:numFmt w:val="bullet"/>
      <w:lvlText w:val="o"/>
      <w:lvlJc w:val="left"/>
      <w:pPr>
        <w:ind w:left="1549" w:hanging="354"/>
      </w:pPr>
      <w:rPr>
        <w:rFonts w:hint="default"/>
        <w:w w:val="99"/>
      </w:rPr>
    </w:lvl>
    <w:lvl w:ilvl="4" w:tplc="EC32E396">
      <w:numFmt w:val="bullet"/>
      <w:lvlText w:val="•"/>
      <w:lvlJc w:val="left"/>
      <w:pPr>
        <w:ind w:left="820" w:hanging="354"/>
      </w:pPr>
      <w:rPr>
        <w:rFonts w:hint="default"/>
      </w:rPr>
    </w:lvl>
    <w:lvl w:ilvl="5" w:tplc="9B70B49A">
      <w:numFmt w:val="bullet"/>
      <w:lvlText w:val="•"/>
      <w:lvlJc w:val="left"/>
      <w:pPr>
        <w:ind w:left="1180" w:hanging="354"/>
      </w:pPr>
      <w:rPr>
        <w:rFonts w:hint="default"/>
      </w:rPr>
    </w:lvl>
    <w:lvl w:ilvl="6" w:tplc="207CA016">
      <w:numFmt w:val="bullet"/>
      <w:lvlText w:val="•"/>
      <w:lvlJc w:val="left"/>
      <w:pPr>
        <w:ind w:left="1460" w:hanging="354"/>
      </w:pPr>
      <w:rPr>
        <w:rFonts w:hint="default"/>
      </w:rPr>
    </w:lvl>
    <w:lvl w:ilvl="7" w:tplc="0ED8C348">
      <w:numFmt w:val="bullet"/>
      <w:lvlText w:val="•"/>
      <w:lvlJc w:val="left"/>
      <w:pPr>
        <w:ind w:left="1540" w:hanging="354"/>
      </w:pPr>
      <w:rPr>
        <w:rFonts w:hint="default"/>
      </w:rPr>
    </w:lvl>
    <w:lvl w:ilvl="8" w:tplc="3D1224C4">
      <w:numFmt w:val="bullet"/>
      <w:lvlText w:val="•"/>
      <w:lvlJc w:val="left"/>
      <w:pPr>
        <w:ind w:left="3140" w:hanging="354"/>
      </w:pPr>
      <w:rPr>
        <w:rFonts w:hint="default"/>
      </w:rPr>
    </w:lvl>
  </w:abstractNum>
  <w:abstractNum w:abstractNumId="18">
    <w:nsid w:val="4B6B1B0B"/>
    <w:multiLevelType w:val="hybridMultilevel"/>
    <w:tmpl w:val="A7E48372"/>
    <w:lvl w:ilvl="0" w:tplc="A58A4D3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5F2"/>
    <w:multiLevelType w:val="multilevel"/>
    <w:tmpl w:val="C458D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27C38AB"/>
    <w:multiLevelType w:val="multilevel"/>
    <w:tmpl w:val="397E118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8" w:hanging="73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772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7" w:hanging="1800"/>
      </w:pPr>
      <w:rPr>
        <w:rFonts w:hint="default"/>
      </w:rPr>
    </w:lvl>
  </w:abstractNum>
  <w:abstractNum w:abstractNumId="21">
    <w:nsid w:val="554A2D04"/>
    <w:multiLevelType w:val="hybridMultilevel"/>
    <w:tmpl w:val="E320FF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42108"/>
    <w:multiLevelType w:val="hybridMultilevel"/>
    <w:tmpl w:val="F9BADBA6"/>
    <w:lvl w:ilvl="0" w:tplc="4BE61C5A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252BDD"/>
    <w:multiLevelType w:val="hybridMultilevel"/>
    <w:tmpl w:val="4770E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32DC8"/>
    <w:multiLevelType w:val="hybridMultilevel"/>
    <w:tmpl w:val="0144EDE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B30453"/>
    <w:multiLevelType w:val="hybridMultilevel"/>
    <w:tmpl w:val="A4EC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258C4"/>
    <w:multiLevelType w:val="hybridMultilevel"/>
    <w:tmpl w:val="0F045C0C"/>
    <w:lvl w:ilvl="0" w:tplc="4442F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C5AFF"/>
    <w:multiLevelType w:val="hybridMultilevel"/>
    <w:tmpl w:val="7382D3D6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9BE3385"/>
    <w:multiLevelType w:val="hybridMultilevel"/>
    <w:tmpl w:val="4F9A41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5"/>
  </w:num>
  <w:num w:numId="8">
    <w:abstractNumId w:val="22"/>
  </w:num>
  <w:num w:numId="9">
    <w:abstractNumId w:val="18"/>
  </w:num>
  <w:num w:numId="10">
    <w:abstractNumId w:val="16"/>
  </w:num>
  <w:num w:numId="11">
    <w:abstractNumId w:val="0"/>
  </w:num>
  <w:num w:numId="12">
    <w:abstractNumId w:val="28"/>
  </w:num>
  <w:num w:numId="13">
    <w:abstractNumId w:val="27"/>
  </w:num>
  <w:num w:numId="14">
    <w:abstractNumId w:val="9"/>
  </w:num>
  <w:num w:numId="15">
    <w:abstractNumId w:val="5"/>
  </w:num>
  <w:num w:numId="16">
    <w:abstractNumId w:val="19"/>
  </w:num>
  <w:num w:numId="17">
    <w:abstractNumId w:val="23"/>
  </w:num>
  <w:num w:numId="18">
    <w:abstractNumId w:val="6"/>
  </w:num>
  <w:num w:numId="19">
    <w:abstractNumId w:val="8"/>
  </w:num>
  <w:num w:numId="20">
    <w:abstractNumId w:val="12"/>
  </w:num>
  <w:num w:numId="21">
    <w:abstractNumId w:val="1"/>
  </w:num>
  <w:num w:numId="22">
    <w:abstractNumId w:val="24"/>
  </w:num>
  <w:num w:numId="23">
    <w:abstractNumId w:val="26"/>
  </w:num>
  <w:num w:numId="24">
    <w:abstractNumId w:val="4"/>
  </w:num>
  <w:num w:numId="25">
    <w:abstractNumId w:val="15"/>
  </w:num>
  <w:num w:numId="26">
    <w:abstractNumId w:val="10"/>
  </w:num>
  <w:num w:numId="27">
    <w:abstractNumId w:val="20"/>
  </w:num>
  <w:num w:numId="28">
    <w:abstractNumId w:val="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EC0"/>
    <w:rsid w:val="000016CA"/>
    <w:rsid w:val="00023AD2"/>
    <w:rsid w:val="0003359F"/>
    <w:rsid w:val="000439E8"/>
    <w:rsid w:val="000A4441"/>
    <w:rsid w:val="000D64E8"/>
    <w:rsid w:val="000E342A"/>
    <w:rsid w:val="000E3EC0"/>
    <w:rsid w:val="001344C7"/>
    <w:rsid w:val="00134846"/>
    <w:rsid w:val="00135E9A"/>
    <w:rsid w:val="00142311"/>
    <w:rsid w:val="00164676"/>
    <w:rsid w:val="001700F8"/>
    <w:rsid w:val="001930B4"/>
    <w:rsid w:val="001A1755"/>
    <w:rsid w:val="001B3BA1"/>
    <w:rsid w:val="001C2D14"/>
    <w:rsid w:val="0020607B"/>
    <w:rsid w:val="00232147"/>
    <w:rsid w:val="0024546A"/>
    <w:rsid w:val="0027064F"/>
    <w:rsid w:val="00272F68"/>
    <w:rsid w:val="002A76D9"/>
    <w:rsid w:val="002C049B"/>
    <w:rsid w:val="002E25CC"/>
    <w:rsid w:val="002E5923"/>
    <w:rsid w:val="003070B5"/>
    <w:rsid w:val="0031707C"/>
    <w:rsid w:val="00323E86"/>
    <w:rsid w:val="003436D4"/>
    <w:rsid w:val="00347C9B"/>
    <w:rsid w:val="00380532"/>
    <w:rsid w:val="00381D72"/>
    <w:rsid w:val="003C7AED"/>
    <w:rsid w:val="003E312A"/>
    <w:rsid w:val="0041148A"/>
    <w:rsid w:val="00422083"/>
    <w:rsid w:val="00423A2E"/>
    <w:rsid w:val="00424D4D"/>
    <w:rsid w:val="00432D02"/>
    <w:rsid w:val="004475E3"/>
    <w:rsid w:val="00460B58"/>
    <w:rsid w:val="00470CD1"/>
    <w:rsid w:val="00493496"/>
    <w:rsid w:val="004E5109"/>
    <w:rsid w:val="004F79E5"/>
    <w:rsid w:val="005300DA"/>
    <w:rsid w:val="00545D49"/>
    <w:rsid w:val="005536E6"/>
    <w:rsid w:val="00570A75"/>
    <w:rsid w:val="005A0877"/>
    <w:rsid w:val="005D49FB"/>
    <w:rsid w:val="00606123"/>
    <w:rsid w:val="00621B86"/>
    <w:rsid w:val="00653E84"/>
    <w:rsid w:val="0066200E"/>
    <w:rsid w:val="006A721E"/>
    <w:rsid w:val="006B72AF"/>
    <w:rsid w:val="00713895"/>
    <w:rsid w:val="007377CC"/>
    <w:rsid w:val="007577B7"/>
    <w:rsid w:val="00777691"/>
    <w:rsid w:val="007851FA"/>
    <w:rsid w:val="008444AB"/>
    <w:rsid w:val="008854B9"/>
    <w:rsid w:val="00891D10"/>
    <w:rsid w:val="00895BEE"/>
    <w:rsid w:val="008A3761"/>
    <w:rsid w:val="008E3FBB"/>
    <w:rsid w:val="00954429"/>
    <w:rsid w:val="0097616D"/>
    <w:rsid w:val="00976928"/>
    <w:rsid w:val="009B50CF"/>
    <w:rsid w:val="009C6CE9"/>
    <w:rsid w:val="009F2A70"/>
    <w:rsid w:val="00A336F4"/>
    <w:rsid w:val="00A61EB8"/>
    <w:rsid w:val="00AD0576"/>
    <w:rsid w:val="00AF2241"/>
    <w:rsid w:val="00B16A0D"/>
    <w:rsid w:val="00B40B1F"/>
    <w:rsid w:val="00B624A6"/>
    <w:rsid w:val="00B77FC9"/>
    <w:rsid w:val="00B833BF"/>
    <w:rsid w:val="00BB24D2"/>
    <w:rsid w:val="00BE493D"/>
    <w:rsid w:val="00C049EB"/>
    <w:rsid w:val="00C3357D"/>
    <w:rsid w:val="00C44506"/>
    <w:rsid w:val="00C6724A"/>
    <w:rsid w:val="00C9459D"/>
    <w:rsid w:val="00CA5550"/>
    <w:rsid w:val="00CC3B28"/>
    <w:rsid w:val="00CF02C9"/>
    <w:rsid w:val="00CF6FC1"/>
    <w:rsid w:val="00D3264F"/>
    <w:rsid w:val="00D35E6C"/>
    <w:rsid w:val="00D60F26"/>
    <w:rsid w:val="00DB7EEF"/>
    <w:rsid w:val="00DC7AE4"/>
    <w:rsid w:val="00F02B89"/>
    <w:rsid w:val="00F05D75"/>
    <w:rsid w:val="00F10CE6"/>
    <w:rsid w:val="00F24D2C"/>
    <w:rsid w:val="00F30CB2"/>
    <w:rsid w:val="00F44FDA"/>
    <w:rsid w:val="00F64A9F"/>
    <w:rsid w:val="00F703A4"/>
    <w:rsid w:val="00F7709B"/>
    <w:rsid w:val="00F81F28"/>
    <w:rsid w:val="00FB5098"/>
    <w:rsid w:val="00FC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51FA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E3EC0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0E3EC0"/>
  </w:style>
  <w:style w:type="table" w:styleId="TableGrid">
    <w:name w:val="Table Grid"/>
    <w:basedOn w:val="TableNormal"/>
    <w:uiPriority w:val="59"/>
    <w:rsid w:val="000E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E3E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C0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link w:val="NoSpacingChar"/>
    <w:uiPriority w:val="1"/>
    <w:qFormat/>
    <w:rsid w:val="0089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A61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link w:val="NoSpacing"/>
    <w:rsid w:val="008E3F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0607B"/>
    <w:pPr>
      <w:spacing w:after="120" w:line="480" w:lineRule="auto"/>
      <w:ind w:left="283"/>
    </w:pPr>
    <w:rPr>
      <w:rFonts w:eastAsia="Calibri"/>
      <w:lang w:val="en-ZA" w:eastAsia="en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0607B"/>
    <w:rPr>
      <w:rFonts w:ascii="Times New Roman" w:eastAsia="Calibri" w:hAnsi="Times New Roman" w:cs="Times New Roman"/>
      <w:sz w:val="24"/>
      <w:szCs w:val="24"/>
      <w:lang w:eastAsia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570A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A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570A75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ZA"/>
    </w:rPr>
  </w:style>
  <w:style w:type="character" w:customStyle="1" w:styleId="Heading1Char">
    <w:name w:val="Heading 1 Char"/>
    <w:basedOn w:val="DefaultParagraphFont"/>
    <w:link w:val="Heading1"/>
    <w:rsid w:val="007851FA"/>
    <w:rPr>
      <w:rFonts w:ascii="Times New Roman" w:eastAsia="Times New Roman" w:hAnsi="Times New Roman" w:cs="Times New Roman"/>
      <w:b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015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</dc:creator>
  <cp:lastModifiedBy>USER</cp:lastModifiedBy>
  <cp:revision>2</cp:revision>
  <cp:lastPrinted>2018-10-26T07:44:00Z</cp:lastPrinted>
  <dcterms:created xsi:type="dcterms:W3CDTF">2021-10-21T09:03:00Z</dcterms:created>
  <dcterms:modified xsi:type="dcterms:W3CDTF">2021-10-21T09:03:00Z</dcterms:modified>
</cp:coreProperties>
</file>