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564254" w:rsidRDefault="003D0FF1" w:rsidP="003610B7">
      <w:pPr>
        <w:spacing w:before="100" w:beforeAutospacing="1" w:after="100" w:afterAutospacing="1" w:line="360" w:lineRule="auto"/>
        <w:jc w:val="center"/>
        <w:outlineLvl w:val="0"/>
        <w:rPr>
          <w:rFonts w:ascii="Arial" w:hAnsi="Arial" w:cs="Arial"/>
          <w:b/>
          <w:lang w:val="en-ZA"/>
        </w:rPr>
      </w:pPr>
      <w:r>
        <w:rPr>
          <w:rFonts w:ascii="Arial" w:hAnsi="Arial" w:cs="Arial"/>
          <w:noProof/>
          <w:lang w:val="en-ZA" w:eastAsia="en-ZA"/>
        </w:rPr>
        <w:drawing>
          <wp:inline distT="0" distB="0" distL="0" distR="0">
            <wp:extent cx="951230" cy="975360"/>
            <wp:effectExtent l="19050" t="0" r="127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1230" cy="975360"/>
                    </a:xfrm>
                    <a:prstGeom prst="rect">
                      <a:avLst/>
                    </a:prstGeom>
                    <a:noFill/>
                    <a:ln w="9525">
                      <a:noFill/>
                      <a:miter lim="800000"/>
                      <a:headEnd/>
                      <a:tailEnd/>
                    </a:ln>
                  </pic:spPr>
                </pic:pic>
              </a:graphicData>
            </a:graphic>
          </wp:inline>
        </w:drawing>
      </w:r>
    </w:p>
    <w:p w:rsidR="00CB3451" w:rsidRPr="00564254" w:rsidRDefault="00171B43" w:rsidP="00564254">
      <w:pPr>
        <w:spacing w:line="360" w:lineRule="auto"/>
        <w:jc w:val="center"/>
        <w:rPr>
          <w:rFonts w:ascii="Arial" w:hAnsi="Arial" w:cs="Arial"/>
          <w:b/>
        </w:rPr>
      </w:pPr>
      <w:r w:rsidRPr="00564254">
        <w:rPr>
          <w:rFonts w:ascii="Arial" w:hAnsi="Arial" w:cs="Arial"/>
          <w:b/>
        </w:rPr>
        <w:t xml:space="preserve">MINISTRY FOR </w:t>
      </w:r>
      <w:r w:rsidR="00CB3451" w:rsidRPr="00564254">
        <w:rPr>
          <w:rFonts w:ascii="Arial" w:hAnsi="Arial" w:cs="Arial"/>
          <w:b/>
        </w:rPr>
        <w:t>COOPERATIVE GOVERNANCE AND TRADITIONAL AFFAIRS</w:t>
      </w:r>
    </w:p>
    <w:p w:rsidR="00CB3451" w:rsidRPr="00564254" w:rsidRDefault="00CB3451" w:rsidP="00564254">
      <w:pPr>
        <w:pBdr>
          <w:bottom w:val="single" w:sz="6" w:space="1" w:color="auto"/>
        </w:pBdr>
        <w:spacing w:line="360" w:lineRule="auto"/>
        <w:jc w:val="center"/>
        <w:rPr>
          <w:rFonts w:ascii="Arial" w:hAnsi="Arial" w:cs="Arial"/>
          <w:b/>
        </w:rPr>
      </w:pPr>
      <w:r w:rsidRPr="00564254">
        <w:rPr>
          <w:rFonts w:ascii="Arial" w:hAnsi="Arial" w:cs="Arial"/>
          <w:b/>
        </w:rPr>
        <w:t>REPUBLIC OF SOUTH AFRICA</w:t>
      </w:r>
    </w:p>
    <w:p w:rsidR="00CB3451" w:rsidRPr="00564254" w:rsidRDefault="00CB3451" w:rsidP="00564254">
      <w:pPr>
        <w:pBdr>
          <w:bottom w:val="single" w:sz="6" w:space="1" w:color="auto"/>
        </w:pBdr>
        <w:spacing w:line="360" w:lineRule="auto"/>
        <w:jc w:val="center"/>
        <w:rPr>
          <w:rFonts w:ascii="Arial" w:hAnsi="Arial" w:cs="Arial"/>
          <w:b/>
        </w:rPr>
      </w:pPr>
    </w:p>
    <w:p w:rsidR="00CB3451" w:rsidRPr="00564254" w:rsidRDefault="00CB3451" w:rsidP="00564254">
      <w:pPr>
        <w:spacing w:line="360" w:lineRule="auto"/>
        <w:jc w:val="center"/>
        <w:rPr>
          <w:rFonts w:ascii="Arial" w:hAnsi="Arial" w:cs="Arial"/>
        </w:rPr>
      </w:pPr>
    </w:p>
    <w:p w:rsidR="00F916D5" w:rsidRPr="00564254" w:rsidRDefault="00F916D5" w:rsidP="00564254">
      <w:pPr>
        <w:spacing w:line="360" w:lineRule="auto"/>
        <w:jc w:val="center"/>
        <w:rPr>
          <w:rFonts w:ascii="Arial" w:hAnsi="Arial" w:cs="Arial"/>
          <w:b/>
          <w:bCs/>
          <w:color w:val="000000"/>
          <w:lang w:val="en-GB"/>
        </w:rPr>
      </w:pPr>
      <w:r w:rsidRPr="00564254">
        <w:rPr>
          <w:rFonts w:ascii="Arial" w:hAnsi="Arial" w:cs="Arial"/>
          <w:b/>
          <w:bCs/>
          <w:color w:val="000000"/>
          <w:lang w:val="en-GB"/>
        </w:rPr>
        <w:t>NATIONAL ASSEMBLY</w:t>
      </w:r>
    </w:p>
    <w:p w:rsidR="00F916D5" w:rsidRPr="00564254" w:rsidRDefault="00F916D5" w:rsidP="00564254">
      <w:pPr>
        <w:spacing w:line="360" w:lineRule="auto"/>
        <w:ind w:left="540" w:hanging="540"/>
        <w:jc w:val="center"/>
        <w:rPr>
          <w:rFonts w:ascii="Arial" w:hAnsi="Arial" w:cs="Arial"/>
          <w:b/>
          <w:bCs/>
          <w:color w:val="000000"/>
          <w:lang w:val="en-GB"/>
        </w:rPr>
      </w:pPr>
      <w:r w:rsidRPr="00564254">
        <w:rPr>
          <w:rFonts w:ascii="Arial" w:hAnsi="Arial" w:cs="Arial"/>
          <w:b/>
          <w:bCs/>
          <w:color w:val="000000"/>
          <w:lang w:val="en-GB"/>
        </w:rPr>
        <w:t xml:space="preserve">QUESTIONS FOR </w:t>
      </w:r>
      <w:r w:rsidR="00770FE4" w:rsidRPr="00564254">
        <w:rPr>
          <w:rFonts w:ascii="Arial" w:hAnsi="Arial" w:cs="Arial"/>
          <w:b/>
          <w:bCs/>
          <w:color w:val="000000"/>
          <w:lang w:val="en-GB"/>
        </w:rPr>
        <w:t>WRITTEN</w:t>
      </w:r>
    </w:p>
    <w:p w:rsidR="00F916D5" w:rsidRPr="00564254" w:rsidRDefault="00F916D5" w:rsidP="00564254">
      <w:pPr>
        <w:spacing w:line="360" w:lineRule="auto"/>
        <w:jc w:val="center"/>
        <w:rPr>
          <w:rFonts w:ascii="Arial" w:hAnsi="Arial" w:cs="Arial"/>
          <w:b/>
          <w:bCs/>
          <w:lang w:val="en-GB"/>
        </w:rPr>
      </w:pPr>
      <w:r w:rsidRPr="00564254">
        <w:rPr>
          <w:rFonts w:ascii="Arial" w:hAnsi="Arial" w:cs="Arial"/>
          <w:b/>
          <w:bCs/>
          <w:lang w:val="en-GB"/>
        </w:rPr>
        <w:t xml:space="preserve">QUESTION NUMBER </w:t>
      </w:r>
      <w:r w:rsidR="004B4AB0" w:rsidRPr="00564254">
        <w:rPr>
          <w:rFonts w:ascii="Arial" w:hAnsi="Arial" w:cs="Arial"/>
          <w:b/>
          <w:bCs/>
          <w:lang w:val="en-GB"/>
        </w:rPr>
        <w:t>201</w:t>
      </w:r>
      <w:r w:rsidR="00A56FAE" w:rsidRPr="00564254">
        <w:rPr>
          <w:rFonts w:ascii="Arial" w:hAnsi="Arial" w:cs="Arial"/>
          <w:b/>
          <w:bCs/>
          <w:lang w:val="en-GB"/>
        </w:rPr>
        <w:t>7/</w:t>
      </w:r>
      <w:r w:rsidR="00EE6208" w:rsidRPr="00564254">
        <w:rPr>
          <w:rFonts w:ascii="Arial" w:hAnsi="Arial" w:cs="Arial"/>
          <w:b/>
          <w:bCs/>
          <w:lang w:val="en-GB"/>
        </w:rPr>
        <w:t>2</w:t>
      </w:r>
      <w:r w:rsidR="00A56FAE" w:rsidRPr="00564254">
        <w:rPr>
          <w:rFonts w:ascii="Arial" w:hAnsi="Arial" w:cs="Arial"/>
          <w:b/>
          <w:bCs/>
          <w:lang w:val="en-GB"/>
        </w:rPr>
        <w:t>20</w:t>
      </w:r>
      <w:r w:rsidR="00EE6208" w:rsidRPr="00564254">
        <w:rPr>
          <w:rFonts w:ascii="Arial" w:hAnsi="Arial" w:cs="Arial"/>
          <w:b/>
          <w:bCs/>
          <w:lang w:val="en-GB"/>
        </w:rPr>
        <w:t>9</w:t>
      </w:r>
    </w:p>
    <w:p w:rsidR="00F916D5" w:rsidRPr="00564254" w:rsidRDefault="00F916D5" w:rsidP="00564254">
      <w:pPr>
        <w:spacing w:line="360" w:lineRule="auto"/>
        <w:ind w:left="720"/>
        <w:jc w:val="center"/>
        <w:rPr>
          <w:rFonts w:ascii="Arial" w:hAnsi="Arial" w:cs="Arial"/>
          <w:b/>
          <w:bCs/>
          <w:lang w:val="en-GB"/>
        </w:rPr>
      </w:pPr>
      <w:r w:rsidRPr="00564254">
        <w:rPr>
          <w:rFonts w:ascii="Arial" w:hAnsi="Arial" w:cs="Arial"/>
          <w:b/>
          <w:bCs/>
          <w:lang w:val="en-GB"/>
        </w:rPr>
        <w:t xml:space="preserve">DATE OF PUBLICATION: </w:t>
      </w:r>
      <w:r w:rsidR="00542AD1" w:rsidRPr="00564254">
        <w:rPr>
          <w:rFonts w:ascii="Arial" w:hAnsi="Arial" w:cs="Arial"/>
          <w:b/>
          <w:bCs/>
          <w:lang w:val="en-GB"/>
        </w:rPr>
        <w:t xml:space="preserve"> </w:t>
      </w:r>
      <w:r w:rsidR="00321803" w:rsidRPr="00564254">
        <w:rPr>
          <w:rFonts w:ascii="Arial" w:hAnsi="Arial" w:cs="Arial"/>
          <w:b/>
          <w:bCs/>
          <w:lang w:val="en-GB"/>
        </w:rPr>
        <w:t>19</w:t>
      </w:r>
      <w:r w:rsidR="00781C2D" w:rsidRPr="00564254">
        <w:rPr>
          <w:rFonts w:ascii="Arial" w:hAnsi="Arial" w:cs="Arial"/>
          <w:b/>
          <w:bCs/>
          <w:lang w:val="en-GB"/>
        </w:rPr>
        <w:t xml:space="preserve"> MAY </w:t>
      </w:r>
      <w:r w:rsidR="00B50F0C" w:rsidRPr="00564254">
        <w:rPr>
          <w:rFonts w:ascii="Arial" w:hAnsi="Arial" w:cs="Arial"/>
          <w:b/>
          <w:bCs/>
          <w:lang w:val="en-GB"/>
        </w:rPr>
        <w:t>201</w:t>
      </w:r>
      <w:r w:rsidR="00781C2D" w:rsidRPr="00564254">
        <w:rPr>
          <w:rFonts w:ascii="Arial" w:hAnsi="Arial" w:cs="Arial"/>
          <w:b/>
          <w:bCs/>
          <w:lang w:val="en-GB"/>
        </w:rPr>
        <w:t>7</w:t>
      </w:r>
    </w:p>
    <w:p w:rsidR="009308CB" w:rsidRPr="00564254" w:rsidRDefault="009308CB" w:rsidP="00564254">
      <w:pPr>
        <w:spacing w:line="360" w:lineRule="auto"/>
        <w:rPr>
          <w:rFonts w:ascii="Arial" w:hAnsi="Arial" w:cs="Arial"/>
          <w:b/>
          <w:bCs/>
          <w:lang w:val="en-GB"/>
        </w:rPr>
      </w:pPr>
    </w:p>
    <w:p w:rsidR="00781C2D" w:rsidRPr="00564254" w:rsidRDefault="00781C2D" w:rsidP="00564254">
      <w:pPr>
        <w:spacing w:line="360" w:lineRule="auto"/>
        <w:rPr>
          <w:rFonts w:ascii="Arial" w:hAnsi="Arial" w:cs="Arial"/>
          <w:b/>
          <w:bCs/>
          <w:lang w:val="en-GB"/>
        </w:rPr>
      </w:pPr>
      <w:r w:rsidRPr="00564254">
        <w:rPr>
          <w:rFonts w:ascii="Arial" w:hAnsi="Arial" w:cs="Arial"/>
          <w:b/>
          <w:bCs/>
          <w:lang w:val="en-GB"/>
        </w:rPr>
        <w:t xml:space="preserve">Mr </w:t>
      </w:r>
      <w:r w:rsidR="00A56FAE" w:rsidRPr="00564254">
        <w:rPr>
          <w:rFonts w:ascii="Arial" w:hAnsi="Arial" w:cs="Arial"/>
          <w:b/>
          <w:bCs/>
          <w:lang w:val="en-GB"/>
        </w:rPr>
        <w:t>H C C Kruger</w:t>
      </w:r>
      <w:r w:rsidRPr="00564254">
        <w:rPr>
          <w:rFonts w:ascii="Arial" w:hAnsi="Arial" w:cs="Arial"/>
          <w:b/>
          <w:bCs/>
          <w:lang w:val="en-GB"/>
        </w:rPr>
        <w:t xml:space="preserve"> (DA) to ask the Minister of Cooperative Governance and Traditional Affairs:</w:t>
      </w:r>
    </w:p>
    <w:p w:rsidR="00EE6208" w:rsidRPr="00564254" w:rsidRDefault="00EE6208" w:rsidP="00564254">
      <w:pPr>
        <w:spacing w:line="360" w:lineRule="auto"/>
        <w:rPr>
          <w:rFonts w:ascii="Arial" w:hAnsi="Arial" w:cs="Arial"/>
        </w:rPr>
      </w:pPr>
    </w:p>
    <w:p w:rsidR="00A56FAE" w:rsidRPr="00564254" w:rsidRDefault="00A56FAE" w:rsidP="00564254">
      <w:pPr>
        <w:pStyle w:val="ColorfulList-Accent1"/>
        <w:numPr>
          <w:ilvl w:val="0"/>
          <w:numId w:val="7"/>
        </w:numPr>
        <w:tabs>
          <w:tab w:val="left" w:pos="630"/>
          <w:tab w:val="left" w:pos="2160"/>
        </w:tabs>
        <w:spacing w:after="0" w:line="360" w:lineRule="auto"/>
        <w:ind w:left="630" w:hanging="630"/>
        <w:jc w:val="both"/>
        <w:rPr>
          <w:rFonts w:ascii="Arial" w:hAnsi="Arial" w:cs="Arial"/>
          <w:sz w:val="24"/>
          <w:szCs w:val="24"/>
        </w:rPr>
      </w:pPr>
      <w:r w:rsidRPr="00564254">
        <w:rPr>
          <w:rFonts w:ascii="Arial" w:hAnsi="Arial" w:cs="Arial"/>
          <w:sz w:val="24"/>
          <w:szCs w:val="24"/>
        </w:rPr>
        <w:t>How many power outages have the suburbs of (a) Marlands and (b) Sunnyridge in the Ekurhuleni Metropol</w:t>
      </w:r>
      <w:r w:rsidR="00AB5B26" w:rsidRPr="00564254">
        <w:rPr>
          <w:rFonts w:ascii="Arial" w:hAnsi="Arial" w:cs="Arial"/>
          <w:sz w:val="24"/>
          <w:szCs w:val="24"/>
        </w:rPr>
        <w:t>itan Municipality experienced (</w:t>
      </w:r>
      <w:r w:rsidRPr="00564254">
        <w:rPr>
          <w:rFonts w:ascii="Arial" w:hAnsi="Arial" w:cs="Arial"/>
          <w:sz w:val="24"/>
          <w:szCs w:val="24"/>
        </w:rPr>
        <w:t>i) in the (aa) 2015 and (bb) 2016 and (ii) in the period 1 January to 31 July 2017;</w:t>
      </w:r>
    </w:p>
    <w:p w:rsidR="00004642" w:rsidRPr="00564254" w:rsidRDefault="00004642" w:rsidP="00564254">
      <w:pPr>
        <w:pStyle w:val="ColorfulList-Accent1"/>
        <w:numPr>
          <w:ilvl w:val="0"/>
          <w:numId w:val="7"/>
        </w:numPr>
        <w:tabs>
          <w:tab w:val="left" w:pos="630"/>
          <w:tab w:val="left" w:pos="2160"/>
        </w:tabs>
        <w:spacing w:after="0" w:line="360" w:lineRule="auto"/>
        <w:ind w:left="630" w:hanging="630"/>
        <w:jc w:val="both"/>
        <w:rPr>
          <w:rFonts w:ascii="Arial" w:hAnsi="Arial" w:cs="Arial"/>
          <w:sz w:val="24"/>
          <w:szCs w:val="24"/>
        </w:rPr>
      </w:pPr>
      <w:r w:rsidRPr="00564254">
        <w:rPr>
          <w:rFonts w:ascii="Arial" w:hAnsi="Arial" w:cs="Arial"/>
          <w:sz w:val="24"/>
          <w:szCs w:val="24"/>
        </w:rPr>
        <w:t>What (a) were the reasons for the power outages in each case, (b) was the duration of the outage and (c) time of day did the outages take place;</w:t>
      </w:r>
    </w:p>
    <w:p w:rsidR="00004642" w:rsidRPr="00564254" w:rsidRDefault="00004642" w:rsidP="00564254">
      <w:pPr>
        <w:pStyle w:val="ColorfulList-Accent1"/>
        <w:tabs>
          <w:tab w:val="left" w:pos="720"/>
        </w:tabs>
        <w:spacing w:after="0" w:line="360" w:lineRule="auto"/>
        <w:ind w:left="630" w:hanging="630"/>
        <w:jc w:val="both"/>
        <w:rPr>
          <w:rFonts w:ascii="Arial" w:hAnsi="Arial" w:cs="Arial"/>
          <w:sz w:val="24"/>
          <w:szCs w:val="24"/>
        </w:rPr>
      </w:pPr>
      <w:r w:rsidRPr="00564254">
        <w:rPr>
          <w:rFonts w:ascii="Arial" w:hAnsi="Arial" w:cs="Arial"/>
          <w:sz w:val="24"/>
          <w:szCs w:val="24"/>
        </w:rPr>
        <w:t xml:space="preserve">(3) </w:t>
      </w:r>
      <w:r w:rsidRPr="00564254">
        <w:rPr>
          <w:rFonts w:ascii="Arial" w:hAnsi="Arial" w:cs="Arial"/>
          <w:sz w:val="24"/>
          <w:szCs w:val="24"/>
        </w:rPr>
        <w:tab/>
        <w:t>By what date (i) will the Ekurhuleni Metropolitan Municipality upgrade the infrastructure in the area to prevent further outages and (ii) will work commence on the upgrade, (b) what is the projected cost of the upgrade and (c) what amount has been budgeted for the upgrade? NW2441E</w:t>
      </w:r>
    </w:p>
    <w:p w:rsidR="00004642" w:rsidRPr="00564254" w:rsidRDefault="00004642" w:rsidP="00564254">
      <w:pPr>
        <w:pStyle w:val="ColorfulList-Accent1"/>
        <w:tabs>
          <w:tab w:val="left" w:pos="720"/>
        </w:tabs>
        <w:spacing w:after="0" w:line="360" w:lineRule="auto"/>
        <w:ind w:left="630" w:hanging="630"/>
        <w:jc w:val="both"/>
        <w:rPr>
          <w:rFonts w:ascii="Arial" w:hAnsi="Arial" w:cs="Arial"/>
          <w:sz w:val="24"/>
          <w:szCs w:val="24"/>
        </w:rPr>
      </w:pPr>
    </w:p>
    <w:p w:rsidR="00004642" w:rsidRPr="00564254" w:rsidRDefault="00004642" w:rsidP="00564254">
      <w:pPr>
        <w:pStyle w:val="ColorfulList-Accent1"/>
        <w:tabs>
          <w:tab w:val="left" w:pos="720"/>
        </w:tabs>
        <w:spacing w:after="0" w:line="360" w:lineRule="auto"/>
        <w:ind w:left="630" w:hanging="630"/>
        <w:jc w:val="both"/>
        <w:rPr>
          <w:rFonts w:ascii="Arial" w:hAnsi="Arial" w:cs="Arial"/>
          <w:sz w:val="24"/>
          <w:szCs w:val="24"/>
        </w:rPr>
      </w:pPr>
    </w:p>
    <w:p w:rsidR="00004642" w:rsidRPr="00564254" w:rsidRDefault="00004642" w:rsidP="00564254">
      <w:pPr>
        <w:pStyle w:val="ColorfulList-Accent1"/>
        <w:tabs>
          <w:tab w:val="left" w:pos="720"/>
        </w:tabs>
        <w:spacing w:after="0" w:line="360" w:lineRule="auto"/>
        <w:ind w:left="630" w:hanging="630"/>
        <w:jc w:val="both"/>
        <w:rPr>
          <w:rFonts w:ascii="Arial" w:hAnsi="Arial" w:cs="Arial"/>
          <w:sz w:val="24"/>
          <w:szCs w:val="24"/>
        </w:rPr>
      </w:pPr>
    </w:p>
    <w:p w:rsidR="00004642" w:rsidRPr="00564254" w:rsidRDefault="00004642" w:rsidP="00564254">
      <w:pPr>
        <w:pStyle w:val="ColorfulList-Accent1"/>
        <w:tabs>
          <w:tab w:val="left" w:pos="720"/>
        </w:tabs>
        <w:spacing w:after="0" w:line="360" w:lineRule="auto"/>
        <w:ind w:left="630" w:hanging="630"/>
        <w:jc w:val="both"/>
        <w:rPr>
          <w:rFonts w:ascii="Arial" w:hAnsi="Arial" w:cs="Arial"/>
          <w:sz w:val="24"/>
          <w:szCs w:val="24"/>
        </w:rPr>
      </w:pPr>
    </w:p>
    <w:p w:rsidR="00004642" w:rsidRPr="00564254" w:rsidRDefault="00004642" w:rsidP="00564254">
      <w:pPr>
        <w:pStyle w:val="ColorfulList-Accent1"/>
        <w:tabs>
          <w:tab w:val="left" w:pos="720"/>
        </w:tabs>
        <w:spacing w:after="0" w:line="360" w:lineRule="auto"/>
        <w:ind w:left="630" w:hanging="630"/>
        <w:jc w:val="both"/>
        <w:rPr>
          <w:rFonts w:ascii="Arial" w:hAnsi="Arial" w:cs="Arial"/>
          <w:sz w:val="24"/>
          <w:szCs w:val="24"/>
        </w:rPr>
      </w:pPr>
    </w:p>
    <w:p w:rsidR="00004642" w:rsidRPr="00564254" w:rsidRDefault="00004642" w:rsidP="00564254">
      <w:pPr>
        <w:pStyle w:val="ColorfulList-Accent1"/>
        <w:tabs>
          <w:tab w:val="left" w:pos="720"/>
        </w:tabs>
        <w:spacing w:after="0" w:line="360" w:lineRule="auto"/>
        <w:ind w:left="630" w:hanging="630"/>
        <w:jc w:val="both"/>
        <w:rPr>
          <w:rFonts w:ascii="Arial" w:hAnsi="Arial" w:cs="Arial"/>
          <w:sz w:val="24"/>
          <w:szCs w:val="24"/>
        </w:rPr>
      </w:pPr>
    </w:p>
    <w:p w:rsidR="00004642" w:rsidRPr="00564254" w:rsidRDefault="00004642" w:rsidP="00564254">
      <w:pPr>
        <w:pStyle w:val="ColorfulList-Accent1"/>
        <w:tabs>
          <w:tab w:val="left" w:pos="720"/>
        </w:tabs>
        <w:spacing w:after="0" w:line="360" w:lineRule="auto"/>
        <w:ind w:left="630" w:hanging="630"/>
        <w:jc w:val="both"/>
        <w:rPr>
          <w:rFonts w:ascii="Arial" w:hAnsi="Arial" w:cs="Arial"/>
          <w:sz w:val="24"/>
          <w:szCs w:val="24"/>
        </w:rPr>
      </w:pPr>
    </w:p>
    <w:p w:rsidR="00004642" w:rsidRPr="00564254" w:rsidRDefault="00004642" w:rsidP="00564254">
      <w:pPr>
        <w:pStyle w:val="ColorfulList-Accent1"/>
        <w:tabs>
          <w:tab w:val="left" w:pos="720"/>
        </w:tabs>
        <w:spacing w:after="0" w:line="360" w:lineRule="auto"/>
        <w:ind w:left="630" w:hanging="630"/>
        <w:jc w:val="both"/>
        <w:rPr>
          <w:rFonts w:ascii="Arial" w:hAnsi="Arial" w:cs="Arial"/>
          <w:sz w:val="24"/>
          <w:szCs w:val="24"/>
        </w:rPr>
      </w:pPr>
    </w:p>
    <w:p w:rsidR="00004642" w:rsidRPr="00564254" w:rsidRDefault="00004642" w:rsidP="00564254">
      <w:pPr>
        <w:pStyle w:val="ColorfulList-Accent1"/>
        <w:tabs>
          <w:tab w:val="left" w:pos="720"/>
        </w:tabs>
        <w:spacing w:after="0" w:line="360" w:lineRule="auto"/>
        <w:ind w:left="630" w:hanging="630"/>
        <w:jc w:val="both"/>
        <w:rPr>
          <w:rFonts w:ascii="Arial" w:hAnsi="Arial" w:cs="Arial"/>
          <w:sz w:val="24"/>
          <w:szCs w:val="24"/>
        </w:rPr>
      </w:pPr>
    </w:p>
    <w:p w:rsidR="00AB5B26" w:rsidRPr="00564254" w:rsidRDefault="00AB5B26" w:rsidP="00564254">
      <w:pPr>
        <w:pStyle w:val="ColorfulList-Accent1"/>
        <w:tabs>
          <w:tab w:val="left" w:pos="630"/>
        </w:tabs>
        <w:spacing w:line="360" w:lineRule="auto"/>
        <w:ind w:left="0"/>
        <w:jc w:val="both"/>
        <w:rPr>
          <w:rFonts w:ascii="Arial" w:hAnsi="Arial" w:cs="Arial"/>
          <w:sz w:val="24"/>
          <w:szCs w:val="24"/>
        </w:rPr>
      </w:pPr>
    </w:p>
    <w:p w:rsidR="00A56FAE" w:rsidRPr="00564254" w:rsidRDefault="00A56FAE" w:rsidP="00564254">
      <w:pPr>
        <w:pStyle w:val="ColorfulList-Accent1"/>
        <w:tabs>
          <w:tab w:val="left" w:pos="630"/>
        </w:tabs>
        <w:spacing w:line="360" w:lineRule="auto"/>
        <w:ind w:left="0"/>
        <w:jc w:val="both"/>
        <w:rPr>
          <w:rFonts w:ascii="Arial" w:hAnsi="Arial" w:cs="Arial"/>
          <w:b/>
          <w:sz w:val="24"/>
          <w:szCs w:val="24"/>
          <w:lang w:val="en-US"/>
        </w:rPr>
      </w:pPr>
      <w:r w:rsidRPr="00564254">
        <w:rPr>
          <w:rFonts w:ascii="Arial" w:hAnsi="Arial" w:cs="Arial"/>
          <w:b/>
          <w:sz w:val="24"/>
          <w:szCs w:val="24"/>
          <w:lang w:val="en-US"/>
        </w:rPr>
        <w:t>R</w:t>
      </w:r>
      <w:r w:rsidR="003A601F" w:rsidRPr="00564254">
        <w:rPr>
          <w:rFonts w:ascii="Arial" w:hAnsi="Arial" w:cs="Arial"/>
          <w:b/>
          <w:sz w:val="24"/>
          <w:szCs w:val="24"/>
          <w:lang w:val="en-US"/>
        </w:rPr>
        <w:t>eply</w:t>
      </w:r>
      <w:r w:rsidRPr="00564254">
        <w:rPr>
          <w:rFonts w:ascii="Arial" w:hAnsi="Arial" w:cs="Arial"/>
          <w:b/>
          <w:sz w:val="24"/>
          <w:szCs w:val="24"/>
          <w:lang w:val="en-US"/>
        </w:rPr>
        <w:t xml:space="preserve">: </w:t>
      </w:r>
    </w:p>
    <w:p w:rsidR="00AB5B26" w:rsidRPr="00564254" w:rsidRDefault="00AB5B26" w:rsidP="00564254">
      <w:pPr>
        <w:spacing w:line="360" w:lineRule="auto"/>
        <w:rPr>
          <w:rFonts w:ascii="Arial" w:eastAsia="Calibri" w:hAnsi="Arial" w:cs="Arial"/>
        </w:rPr>
      </w:pPr>
      <w:r w:rsidRPr="00564254">
        <w:rPr>
          <w:rFonts w:ascii="Arial" w:eastAsia="Calibri" w:hAnsi="Arial" w:cs="Arial"/>
        </w:rPr>
        <w:t>The Gauteng Department of Cooperative Governance Human Settlements and Traditional Affairs provided the response in this regard:</w:t>
      </w:r>
    </w:p>
    <w:p w:rsidR="00AB5B26" w:rsidRPr="00564254" w:rsidRDefault="00AB5B26" w:rsidP="00564254">
      <w:pPr>
        <w:pStyle w:val="ColorfulList-Accent1"/>
        <w:tabs>
          <w:tab w:val="left" w:pos="630"/>
        </w:tabs>
        <w:spacing w:line="360" w:lineRule="auto"/>
        <w:ind w:left="0"/>
        <w:jc w:val="both"/>
        <w:rPr>
          <w:rFonts w:ascii="Arial" w:hAnsi="Arial" w:cs="Arial"/>
          <w:sz w:val="24"/>
          <w:szCs w:val="24"/>
          <w:lang w:val="en-US"/>
        </w:rPr>
      </w:pPr>
    </w:p>
    <w:p w:rsidR="00A56FAE" w:rsidRPr="00564254" w:rsidRDefault="00A56FAE" w:rsidP="00564254">
      <w:pPr>
        <w:pStyle w:val="ColorfulList-Accent1"/>
        <w:numPr>
          <w:ilvl w:val="0"/>
          <w:numId w:val="10"/>
        </w:numPr>
        <w:spacing w:line="360" w:lineRule="auto"/>
        <w:jc w:val="both"/>
        <w:rPr>
          <w:rFonts w:ascii="Arial" w:hAnsi="Arial" w:cs="Arial"/>
          <w:sz w:val="24"/>
          <w:szCs w:val="24"/>
          <w:lang w:val="en-US"/>
        </w:rPr>
      </w:pPr>
    </w:p>
    <w:tbl>
      <w:tblPr>
        <w:tblW w:w="8576"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3168"/>
        <w:gridCol w:w="2592"/>
        <w:gridCol w:w="2096"/>
      </w:tblGrid>
      <w:tr w:rsidR="00A56FAE" w:rsidRPr="00564254" w:rsidTr="00246BFD">
        <w:trPr>
          <w:trHeight w:val="432"/>
          <w:tblHeader/>
        </w:trPr>
        <w:tc>
          <w:tcPr>
            <w:tcW w:w="720" w:type="dxa"/>
            <w:vMerge w:val="restart"/>
            <w:shd w:val="clear" w:color="auto" w:fill="8496B0"/>
            <w:vAlign w:val="center"/>
          </w:tcPr>
          <w:p w:rsidR="00A56FAE" w:rsidRPr="00564254" w:rsidRDefault="00A56FAE" w:rsidP="00564254">
            <w:pPr>
              <w:spacing w:line="360" w:lineRule="auto"/>
              <w:jc w:val="center"/>
              <w:rPr>
                <w:rFonts w:ascii="Arial" w:hAnsi="Arial" w:cs="Arial"/>
                <w:b/>
              </w:rPr>
            </w:pPr>
            <w:r w:rsidRPr="00564254">
              <w:rPr>
                <w:rFonts w:ascii="Arial" w:hAnsi="Arial" w:cs="Arial"/>
                <w:b/>
              </w:rPr>
              <w:t>#</w:t>
            </w:r>
          </w:p>
        </w:tc>
        <w:tc>
          <w:tcPr>
            <w:tcW w:w="3168" w:type="dxa"/>
            <w:vMerge w:val="restart"/>
            <w:shd w:val="clear" w:color="auto" w:fill="8496B0"/>
            <w:vAlign w:val="center"/>
          </w:tcPr>
          <w:p w:rsidR="00A56FAE" w:rsidRPr="00564254" w:rsidRDefault="00A56FAE" w:rsidP="00564254">
            <w:pPr>
              <w:spacing w:line="360" w:lineRule="auto"/>
              <w:jc w:val="center"/>
              <w:rPr>
                <w:rFonts w:ascii="Arial" w:hAnsi="Arial" w:cs="Arial"/>
                <w:b/>
              </w:rPr>
            </w:pPr>
            <w:r w:rsidRPr="00564254">
              <w:rPr>
                <w:rFonts w:ascii="Arial" w:hAnsi="Arial" w:cs="Arial"/>
                <w:b/>
              </w:rPr>
              <w:t>AREAS AFFECTED</w:t>
            </w:r>
          </w:p>
        </w:tc>
        <w:tc>
          <w:tcPr>
            <w:tcW w:w="4688" w:type="dxa"/>
            <w:gridSpan w:val="2"/>
            <w:shd w:val="clear" w:color="auto" w:fill="8496B0"/>
            <w:vAlign w:val="center"/>
          </w:tcPr>
          <w:p w:rsidR="00A56FAE" w:rsidRPr="00564254" w:rsidRDefault="00A56FAE" w:rsidP="00564254">
            <w:pPr>
              <w:spacing w:line="360" w:lineRule="auto"/>
              <w:jc w:val="center"/>
              <w:rPr>
                <w:rFonts w:ascii="Arial" w:hAnsi="Arial" w:cs="Arial"/>
                <w:b/>
              </w:rPr>
            </w:pPr>
            <w:r w:rsidRPr="00564254">
              <w:rPr>
                <w:rFonts w:ascii="Arial" w:hAnsi="Arial" w:cs="Arial"/>
                <w:b/>
              </w:rPr>
              <w:t>NUMBER OF POWER OUTAGES PER FINANCIAL YEAR</w:t>
            </w:r>
          </w:p>
        </w:tc>
      </w:tr>
      <w:tr w:rsidR="00A56FAE" w:rsidRPr="00564254" w:rsidTr="00246BFD">
        <w:trPr>
          <w:trHeight w:val="432"/>
        </w:trPr>
        <w:tc>
          <w:tcPr>
            <w:tcW w:w="720" w:type="dxa"/>
            <w:vMerge/>
            <w:shd w:val="clear" w:color="auto" w:fill="D9D9D9"/>
            <w:vAlign w:val="center"/>
          </w:tcPr>
          <w:p w:rsidR="00A56FAE" w:rsidRPr="00564254" w:rsidRDefault="00A56FAE" w:rsidP="00564254">
            <w:pPr>
              <w:spacing w:line="360" w:lineRule="auto"/>
              <w:jc w:val="center"/>
              <w:rPr>
                <w:rFonts w:ascii="Arial" w:hAnsi="Arial" w:cs="Arial"/>
                <w:b/>
              </w:rPr>
            </w:pPr>
          </w:p>
        </w:tc>
        <w:tc>
          <w:tcPr>
            <w:tcW w:w="3168" w:type="dxa"/>
            <w:vMerge/>
            <w:shd w:val="clear" w:color="auto" w:fill="auto"/>
          </w:tcPr>
          <w:p w:rsidR="00A56FAE" w:rsidRPr="00564254" w:rsidRDefault="00A56FAE" w:rsidP="00564254">
            <w:pPr>
              <w:spacing w:line="360" w:lineRule="auto"/>
              <w:rPr>
                <w:rFonts w:ascii="Arial" w:hAnsi="Arial" w:cs="Arial"/>
              </w:rPr>
            </w:pPr>
          </w:p>
        </w:tc>
        <w:tc>
          <w:tcPr>
            <w:tcW w:w="2592" w:type="dxa"/>
            <w:shd w:val="clear" w:color="auto" w:fill="auto"/>
            <w:vAlign w:val="center"/>
          </w:tcPr>
          <w:p w:rsidR="00A56FAE" w:rsidRPr="00564254" w:rsidRDefault="00AB5B26" w:rsidP="00564254">
            <w:pPr>
              <w:spacing w:line="360" w:lineRule="auto"/>
              <w:jc w:val="center"/>
              <w:rPr>
                <w:rFonts w:ascii="Arial" w:hAnsi="Arial" w:cs="Arial"/>
                <w:b/>
              </w:rPr>
            </w:pPr>
            <w:r w:rsidRPr="00564254">
              <w:rPr>
                <w:rFonts w:ascii="Arial" w:hAnsi="Arial" w:cs="Arial"/>
                <w:b/>
              </w:rPr>
              <w:t xml:space="preserve">(aa) </w:t>
            </w:r>
            <w:r w:rsidR="00A56FAE" w:rsidRPr="00564254">
              <w:rPr>
                <w:rFonts w:ascii="Arial" w:hAnsi="Arial" w:cs="Arial"/>
                <w:b/>
              </w:rPr>
              <w:t>2015-2016</w:t>
            </w:r>
          </w:p>
        </w:tc>
        <w:tc>
          <w:tcPr>
            <w:tcW w:w="2096" w:type="dxa"/>
            <w:shd w:val="clear" w:color="auto" w:fill="auto"/>
            <w:vAlign w:val="center"/>
          </w:tcPr>
          <w:p w:rsidR="00A56FAE" w:rsidRPr="00564254" w:rsidRDefault="00246BFD" w:rsidP="00564254">
            <w:pPr>
              <w:spacing w:line="360" w:lineRule="auto"/>
              <w:jc w:val="center"/>
              <w:rPr>
                <w:rFonts w:ascii="Arial" w:hAnsi="Arial" w:cs="Arial"/>
                <w:b/>
              </w:rPr>
            </w:pPr>
            <w:r w:rsidRPr="00564254">
              <w:rPr>
                <w:rFonts w:ascii="Arial" w:hAnsi="Arial" w:cs="Arial"/>
                <w:b/>
              </w:rPr>
              <w:t xml:space="preserve">(bb) </w:t>
            </w:r>
            <w:r w:rsidR="00A56FAE" w:rsidRPr="00564254">
              <w:rPr>
                <w:rFonts w:ascii="Arial" w:hAnsi="Arial" w:cs="Arial"/>
                <w:b/>
              </w:rPr>
              <w:t>2016-2017</w:t>
            </w:r>
          </w:p>
        </w:tc>
      </w:tr>
      <w:tr w:rsidR="00A56FAE" w:rsidRPr="00564254" w:rsidTr="00246BFD">
        <w:trPr>
          <w:trHeight w:val="432"/>
        </w:trPr>
        <w:tc>
          <w:tcPr>
            <w:tcW w:w="720" w:type="dxa"/>
            <w:shd w:val="clear" w:color="auto" w:fill="auto"/>
            <w:vAlign w:val="center"/>
          </w:tcPr>
          <w:p w:rsidR="00A56FAE" w:rsidRPr="00564254" w:rsidRDefault="00AB5B26" w:rsidP="00564254">
            <w:pPr>
              <w:spacing w:line="360" w:lineRule="auto"/>
              <w:jc w:val="center"/>
              <w:rPr>
                <w:rFonts w:ascii="Arial" w:hAnsi="Arial" w:cs="Arial"/>
                <w:lang w:val="en-ZA"/>
              </w:rPr>
            </w:pPr>
            <w:r w:rsidRPr="00564254">
              <w:rPr>
                <w:rFonts w:ascii="Arial" w:hAnsi="Arial" w:cs="Arial"/>
                <w:lang w:val="en-ZA"/>
              </w:rPr>
              <w:t>a</w:t>
            </w:r>
          </w:p>
        </w:tc>
        <w:tc>
          <w:tcPr>
            <w:tcW w:w="3168" w:type="dxa"/>
            <w:shd w:val="clear" w:color="auto" w:fill="auto"/>
          </w:tcPr>
          <w:p w:rsidR="00A56FAE" w:rsidRPr="00564254" w:rsidRDefault="00A56FAE" w:rsidP="00564254">
            <w:pPr>
              <w:spacing w:line="360" w:lineRule="auto"/>
              <w:rPr>
                <w:rFonts w:ascii="Arial" w:hAnsi="Arial" w:cs="Arial"/>
                <w:lang w:val="en-ZA"/>
              </w:rPr>
            </w:pPr>
            <w:r w:rsidRPr="00564254">
              <w:rPr>
                <w:rFonts w:ascii="Arial" w:hAnsi="Arial" w:cs="Arial"/>
                <w:lang w:val="en-ZA"/>
              </w:rPr>
              <w:t>Marlands</w:t>
            </w:r>
          </w:p>
        </w:tc>
        <w:tc>
          <w:tcPr>
            <w:tcW w:w="2592" w:type="dxa"/>
            <w:shd w:val="clear" w:color="auto" w:fill="auto"/>
            <w:vAlign w:val="center"/>
          </w:tcPr>
          <w:p w:rsidR="00A56FAE" w:rsidRPr="00564254" w:rsidRDefault="00A56FAE" w:rsidP="00564254">
            <w:pPr>
              <w:spacing w:line="360" w:lineRule="auto"/>
              <w:jc w:val="center"/>
              <w:rPr>
                <w:rFonts w:ascii="Arial" w:hAnsi="Arial" w:cs="Arial"/>
                <w:lang w:val="en-ZA"/>
              </w:rPr>
            </w:pPr>
            <w:r w:rsidRPr="00564254">
              <w:rPr>
                <w:rFonts w:ascii="Arial" w:hAnsi="Arial" w:cs="Arial"/>
                <w:lang w:val="en-ZA"/>
              </w:rPr>
              <w:t>4</w:t>
            </w:r>
          </w:p>
        </w:tc>
        <w:tc>
          <w:tcPr>
            <w:tcW w:w="2096" w:type="dxa"/>
            <w:shd w:val="clear" w:color="auto" w:fill="auto"/>
            <w:vAlign w:val="center"/>
          </w:tcPr>
          <w:p w:rsidR="00A56FAE" w:rsidRPr="00564254" w:rsidRDefault="00A56FAE" w:rsidP="00564254">
            <w:pPr>
              <w:spacing w:line="360" w:lineRule="auto"/>
              <w:jc w:val="center"/>
              <w:rPr>
                <w:rFonts w:ascii="Arial" w:hAnsi="Arial" w:cs="Arial"/>
                <w:lang w:val="en-ZA"/>
              </w:rPr>
            </w:pPr>
            <w:r w:rsidRPr="00564254">
              <w:rPr>
                <w:rFonts w:ascii="Arial" w:hAnsi="Arial" w:cs="Arial"/>
                <w:lang w:val="en-ZA"/>
              </w:rPr>
              <w:t>21</w:t>
            </w:r>
          </w:p>
        </w:tc>
      </w:tr>
      <w:tr w:rsidR="00A56FAE" w:rsidRPr="00564254" w:rsidTr="00246BFD">
        <w:trPr>
          <w:trHeight w:val="432"/>
        </w:trPr>
        <w:tc>
          <w:tcPr>
            <w:tcW w:w="720" w:type="dxa"/>
            <w:shd w:val="clear" w:color="auto" w:fill="auto"/>
            <w:vAlign w:val="center"/>
          </w:tcPr>
          <w:p w:rsidR="00A56FAE" w:rsidRPr="00564254" w:rsidRDefault="00AB5B26" w:rsidP="00564254">
            <w:pPr>
              <w:spacing w:line="360" w:lineRule="auto"/>
              <w:jc w:val="center"/>
              <w:rPr>
                <w:rFonts w:ascii="Arial" w:hAnsi="Arial" w:cs="Arial"/>
                <w:lang w:val="en-ZA"/>
              </w:rPr>
            </w:pPr>
            <w:r w:rsidRPr="00564254">
              <w:rPr>
                <w:rFonts w:ascii="Arial" w:hAnsi="Arial" w:cs="Arial"/>
                <w:lang w:val="en-ZA"/>
              </w:rPr>
              <w:t>2</w:t>
            </w:r>
          </w:p>
        </w:tc>
        <w:tc>
          <w:tcPr>
            <w:tcW w:w="3168" w:type="dxa"/>
            <w:shd w:val="clear" w:color="auto" w:fill="auto"/>
          </w:tcPr>
          <w:p w:rsidR="00A56FAE" w:rsidRPr="00564254" w:rsidRDefault="00A56FAE" w:rsidP="00564254">
            <w:pPr>
              <w:spacing w:line="360" w:lineRule="auto"/>
              <w:rPr>
                <w:rFonts w:ascii="Arial" w:hAnsi="Arial" w:cs="Arial"/>
                <w:lang w:val="en-ZA"/>
              </w:rPr>
            </w:pPr>
            <w:r w:rsidRPr="00564254">
              <w:rPr>
                <w:rFonts w:ascii="Arial" w:hAnsi="Arial" w:cs="Arial"/>
                <w:lang w:val="en-ZA"/>
              </w:rPr>
              <w:t xml:space="preserve">Sunnyridge </w:t>
            </w:r>
          </w:p>
        </w:tc>
        <w:tc>
          <w:tcPr>
            <w:tcW w:w="2592" w:type="dxa"/>
            <w:shd w:val="clear" w:color="auto" w:fill="auto"/>
            <w:vAlign w:val="center"/>
          </w:tcPr>
          <w:p w:rsidR="00A56FAE" w:rsidRPr="00564254" w:rsidRDefault="00A56FAE" w:rsidP="00564254">
            <w:pPr>
              <w:spacing w:line="360" w:lineRule="auto"/>
              <w:jc w:val="center"/>
              <w:rPr>
                <w:rFonts w:ascii="Arial" w:hAnsi="Arial" w:cs="Arial"/>
                <w:lang w:val="en-ZA"/>
              </w:rPr>
            </w:pPr>
            <w:r w:rsidRPr="00564254">
              <w:rPr>
                <w:rFonts w:ascii="Arial" w:hAnsi="Arial" w:cs="Arial"/>
                <w:lang w:val="en-ZA"/>
              </w:rPr>
              <w:t>19</w:t>
            </w:r>
          </w:p>
        </w:tc>
        <w:tc>
          <w:tcPr>
            <w:tcW w:w="2096" w:type="dxa"/>
            <w:shd w:val="clear" w:color="auto" w:fill="auto"/>
            <w:vAlign w:val="center"/>
          </w:tcPr>
          <w:p w:rsidR="00A56FAE" w:rsidRPr="00564254" w:rsidRDefault="00A56FAE" w:rsidP="00564254">
            <w:pPr>
              <w:spacing w:line="360" w:lineRule="auto"/>
              <w:jc w:val="center"/>
              <w:rPr>
                <w:rFonts w:ascii="Arial" w:hAnsi="Arial" w:cs="Arial"/>
                <w:lang w:val="en-ZA"/>
              </w:rPr>
            </w:pPr>
            <w:r w:rsidRPr="00564254">
              <w:rPr>
                <w:rFonts w:ascii="Arial" w:hAnsi="Arial" w:cs="Arial"/>
                <w:lang w:val="en-ZA"/>
              </w:rPr>
              <w:t>20</w:t>
            </w:r>
          </w:p>
        </w:tc>
      </w:tr>
      <w:tr w:rsidR="00A56FAE" w:rsidRPr="00564254" w:rsidTr="00246BFD">
        <w:trPr>
          <w:trHeight w:val="576"/>
        </w:trPr>
        <w:tc>
          <w:tcPr>
            <w:tcW w:w="720" w:type="dxa"/>
            <w:shd w:val="clear" w:color="auto" w:fill="auto"/>
            <w:vAlign w:val="center"/>
          </w:tcPr>
          <w:p w:rsidR="00A56FAE" w:rsidRPr="00564254" w:rsidRDefault="00A56FAE" w:rsidP="00564254">
            <w:pPr>
              <w:spacing w:line="360" w:lineRule="auto"/>
              <w:jc w:val="center"/>
              <w:rPr>
                <w:rFonts w:ascii="Arial" w:hAnsi="Arial" w:cs="Arial"/>
                <w:lang w:val="en-ZA"/>
              </w:rPr>
            </w:pPr>
            <w:r w:rsidRPr="00564254">
              <w:rPr>
                <w:rFonts w:ascii="Arial" w:hAnsi="Arial" w:cs="Arial"/>
                <w:lang w:val="en-ZA"/>
              </w:rPr>
              <w:t>3</w:t>
            </w:r>
          </w:p>
        </w:tc>
        <w:tc>
          <w:tcPr>
            <w:tcW w:w="3168" w:type="dxa"/>
            <w:shd w:val="clear" w:color="auto" w:fill="auto"/>
          </w:tcPr>
          <w:p w:rsidR="00A56FAE" w:rsidRPr="00564254" w:rsidRDefault="00A56FAE" w:rsidP="00564254">
            <w:pPr>
              <w:spacing w:line="360" w:lineRule="auto"/>
              <w:rPr>
                <w:rFonts w:ascii="Arial" w:hAnsi="Arial" w:cs="Arial"/>
                <w:lang w:val="en-ZA"/>
              </w:rPr>
            </w:pPr>
            <w:r w:rsidRPr="00564254">
              <w:rPr>
                <w:rFonts w:ascii="Arial" w:hAnsi="Arial" w:cs="Arial"/>
                <w:lang w:val="en-ZA"/>
              </w:rPr>
              <w:t>Both Areas Affected at the same time (upstream substation trip)</w:t>
            </w:r>
          </w:p>
        </w:tc>
        <w:tc>
          <w:tcPr>
            <w:tcW w:w="2592" w:type="dxa"/>
            <w:shd w:val="clear" w:color="auto" w:fill="auto"/>
            <w:vAlign w:val="center"/>
          </w:tcPr>
          <w:p w:rsidR="00A56FAE" w:rsidRPr="00564254" w:rsidRDefault="00A56FAE" w:rsidP="00564254">
            <w:pPr>
              <w:spacing w:line="360" w:lineRule="auto"/>
              <w:jc w:val="center"/>
              <w:rPr>
                <w:rFonts w:ascii="Arial" w:hAnsi="Arial" w:cs="Arial"/>
                <w:lang w:val="en-ZA"/>
              </w:rPr>
            </w:pPr>
            <w:r w:rsidRPr="00564254">
              <w:rPr>
                <w:rFonts w:ascii="Arial" w:hAnsi="Arial" w:cs="Arial"/>
                <w:lang w:val="en-ZA"/>
              </w:rPr>
              <w:t>18</w:t>
            </w:r>
          </w:p>
        </w:tc>
        <w:tc>
          <w:tcPr>
            <w:tcW w:w="2096" w:type="dxa"/>
            <w:shd w:val="clear" w:color="auto" w:fill="auto"/>
            <w:vAlign w:val="center"/>
          </w:tcPr>
          <w:p w:rsidR="00A56FAE" w:rsidRPr="00564254" w:rsidRDefault="00A56FAE" w:rsidP="00564254">
            <w:pPr>
              <w:spacing w:line="360" w:lineRule="auto"/>
              <w:jc w:val="center"/>
              <w:rPr>
                <w:rFonts w:ascii="Arial" w:hAnsi="Arial" w:cs="Arial"/>
                <w:lang w:val="en-ZA"/>
              </w:rPr>
            </w:pPr>
            <w:r w:rsidRPr="00564254">
              <w:rPr>
                <w:rFonts w:ascii="Arial" w:hAnsi="Arial" w:cs="Arial"/>
                <w:lang w:val="en-ZA"/>
              </w:rPr>
              <w:t>9</w:t>
            </w:r>
          </w:p>
        </w:tc>
      </w:tr>
    </w:tbl>
    <w:p w:rsidR="00A56FAE" w:rsidRPr="00564254" w:rsidRDefault="00A56FAE" w:rsidP="00564254">
      <w:pPr>
        <w:pStyle w:val="ColorfulList-Accent1"/>
        <w:tabs>
          <w:tab w:val="left" w:pos="3960"/>
        </w:tabs>
        <w:spacing w:line="360" w:lineRule="auto"/>
        <w:ind w:left="1806"/>
        <w:jc w:val="both"/>
        <w:rPr>
          <w:rFonts w:ascii="Arial" w:hAnsi="Arial" w:cs="Arial"/>
          <w:b/>
          <w:sz w:val="24"/>
          <w:szCs w:val="24"/>
          <w:lang w:val="en-US"/>
        </w:rPr>
      </w:pPr>
    </w:p>
    <w:p w:rsidR="009308CB" w:rsidRPr="00564254" w:rsidRDefault="009308CB" w:rsidP="00564254">
      <w:pPr>
        <w:pStyle w:val="ColorfulList-Accent1"/>
        <w:spacing w:line="360" w:lineRule="auto"/>
        <w:ind w:left="0"/>
        <w:rPr>
          <w:rFonts w:ascii="Arial" w:hAnsi="Arial" w:cs="Arial"/>
          <w:b/>
          <w:sz w:val="24"/>
          <w:szCs w:val="24"/>
          <w:u w:val="single"/>
          <w:lang w:val="en-ZA"/>
        </w:rPr>
      </w:pPr>
    </w:p>
    <w:p w:rsidR="00A56FAE" w:rsidRPr="00564254" w:rsidRDefault="00A56FAE" w:rsidP="00564254">
      <w:pPr>
        <w:pStyle w:val="ColorfulList-Accent1"/>
        <w:spacing w:line="360" w:lineRule="auto"/>
        <w:ind w:left="0"/>
        <w:rPr>
          <w:rFonts w:ascii="Arial" w:hAnsi="Arial" w:cs="Arial"/>
          <w:b/>
          <w:sz w:val="24"/>
          <w:szCs w:val="24"/>
          <w:u w:val="single"/>
          <w:lang w:val="en-ZA"/>
        </w:rPr>
      </w:pPr>
      <w:r w:rsidRPr="00564254">
        <w:rPr>
          <w:rFonts w:ascii="Arial" w:hAnsi="Arial" w:cs="Arial"/>
          <w:b/>
          <w:sz w:val="24"/>
          <w:szCs w:val="24"/>
          <w:u w:val="single"/>
          <w:lang w:val="en-ZA"/>
        </w:rPr>
        <w:t>Summary for 2015/2016</w:t>
      </w:r>
    </w:p>
    <w:p w:rsidR="00A56FAE" w:rsidRPr="00564254" w:rsidRDefault="00A56FAE" w:rsidP="00564254">
      <w:pPr>
        <w:pStyle w:val="ColorfulList-Accent1"/>
        <w:spacing w:line="360" w:lineRule="auto"/>
        <w:ind w:left="2526"/>
        <w:rPr>
          <w:rFonts w:ascii="Arial" w:hAnsi="Arial" w:cs="Arial"/>
          <w:b/>
          <w:sz w:val="24"/>
          <w:szCs w:val="24"/>
          <w:u w:val="single"/>
          <w:lang w:val="en-ZA"/>
        </w:rPr>
      </w:pPr>
    </w:p>
    <w:p w:rsidR="00A56FAE" w:rsidRPr="00564254" w:rsidRDefault="00A56FAE" w:rsidP="00564254">
      <w:pPr>
        <w:pStyle w:val="ColorfulList-Accent1"/>
        <w:spacing w:line="360" w:lineRule="auto"/>
        <w:ind w:left="0"/>
        <w:rPr>
          <w:rFonts w:ascii="Arial" w:hAnsi="Arial" w:cs="Arial"/>
          <w:sz w:val="24"/>
          <w:szCs w:val="24"/>
          <w:lang w:val="en-ZA"/>
        </w:rPr>
      </w:pPr>
      <w:r w:rsidRPr="00564254">
        <w:rPr>
          <w:rFonts w:ascii="Arial" w:hAnsi="Arial" w:cs="Arial"/>
          <w:sz w:val="24"/>
          <w:szCs w:val="24"/>
          <w:lang w:val="en-ZA"/>
        </w:rPr>
        <w:t>Marlands areas affected by power outages 22 times (4+18=22)</w:t>
      </w:r>
    </w:p>
    <w:p w:rsidR="00A56FAE" w:rsidRPr="00564254" w:rsidRDefault="00A56FAE" w:rsidP="00564254">
      <w:pPr>
        <w:pStyle w:val="ColorfulList-Accent1"/>
        <w:spacing w:line="360" w:lineRule="auto"/>
        <w:ind w:left="0"/>
        <w:rPr>
          <w:rFonts w:ascii="Arial" w:hAnsi="Arial" w:cs="Arial"/>
          <w:sz w:val="24"/>
          <w:szCs w:val="24"/>
          <w:lang w:val="en-ZA"/>
        </w:rPr>
      </w:pPr>
      <w:r w:rsidRPr="00564254">
        <w:rPr>
          <w:rFonts w:ascii="Arial" w:hAnsi="Arial" w:cs="Arial"/>
          <w:sz w:val="24"/>
          <w:szCs w:val="24"/>
          <w:lang w:val="en-ZA"/>
        </w:rPr>
        <w:t>Sunnyridge areas affected by power outages 37 times (19+18=37)</w:t>
      </w:r>
    </w:p>
    <w:p w:rsidR="00A56FAE" w:rsidRPr="00564254" w:rsidRDefault="00A56FAE" w:rsidP="00564254">
      <w:pPr>
        <w:pStyle w:val="ColorfulList-Accent1"/>
        <w:spacing w:line="360" w:lineRule="auto"/>
        <w:ind w:left="2526"/>
        <w:rPr>
          <w:rFonts w:ascii="Arial" w:hAnsi="Arial" w:cs="Arial"/>
          <w:sz w:val="24"/>
          <w:szCs w:val="24"/>
          <w:lang w:val="en-ZA"/>
        </w:rPr>
      </w:pPr>
    </w:p>
    <w:p w:rsidR="00A56FAE" w:rsidRPr="00564254" w:rsidRDefault="00A56FAE" w:rsidP="00564254">
      <w:pPr>
        <w:pStyle w:val="ColorfulList-Accent1"/>
        <w:tabs>
          <w:tab w:val="left" w:pos="540"/>
        </w:tabs>
        <w:spacing w:after="0" w:line="360" w:lineRule="auto"/>
        <w:ind w:left="0"/>
        <w:rPr>
          <w:rFonts w:ascii="Arial" w:hAnsi="Arial" w:cs="Arial"/>
          <w:b/>
          <w:sz w:val="24"/>
          <w:szCs w:val="24"/>
          <w:u w:val="single"/>
          <w:lang w:val="en-ZA"/>
        </w:rPr>
      </w:pPr>
      <w:r w:rsidRPr="00564254">
        <w:rPr>
          <w:rFonts w:ascii="Arial" w:hAnsi="Arial" w:cs="Arial"/>
          <w:b/>
          <w:sz w:val="24"/>
          <w:szCs w:val="24"/>
          <w:u w:val="single"/>
          <w:lang w:val="en-ZA"/>
        </w:rPr>
        <w:t>Summary for 2016/2017</w:t>
      </w:r>
    </w:p>
    <w:p w:rsidR="00A56FAE" w:rsidRPr="00564254" w:rsidRDefault="00A56FAE" w:rsidP="00564254">
      <w:pPr>
        <w:pStyle w:val="ColorfulList-Accent1"/>
        <w:spacing w:line="360" w:lineRule="auto"/>
        <w:ind w:left="2526"/>
        <w:rPr>
          <w:rFonts w:ascii="Arial" w:hAnsi="Arial" w:cs="Arial"/>
          <w:b/>
          <w:sz w:val="24"/>
          <w:szCs w:val="24"/>
          <w:u w:val="single"/>
          <w:lang w:val="en-ZA"/>
        </w:rPr>
      </w:pPr>
    </w:p>
    <w:p w:rsidR="00A56FAE" w:rsidRPr="00564254" w:rsidRDefault="00A56FAE" w:rsidP="00564254">
      <w:pPr>
        <w:pStyle w:val="ColorfulList-Accent1"/>
        <w:spacing w:line="360" w:lineRule="auto"/>
        <w:ind w:left="0"/>
        <w:rPr>
          <w:rFonts w:ascii="Arial" w:hAnsi="Arial" w:cs="Arial"/>
          <w:sz w:val="24"/>
          <w:szCs w:val="24"/>
          <w:lang w:val="en-ZA"/>
        </w:rPr>
      </w:pPr>
      <w:r w:rsidRPr="00564254">
        <w:rPr>
          <w:rFonts w:ascii="Arial" w:hAnsi="Arial" w:cs="Arial"/>
          <w:sz w:val="24"/>
          <w:szCs w:val="24"/>
          <w:lang w:val="en-ZA"/>
        </w:rPr>
        <w:t>Marlands areas affected by power outages 30 times (21+9=30)</w:t>
      </w:r>
    </w:p>
    <w:p w:rsidR="00A56FAE" w:rsidRPr="00564254" w:rsidRDefault="00A56FAE" w:rsidP="00564254">
      <w:pPr>
        <w:pStyle w:val="ColorfulList-Accent1"/>
        <w:spacing w:line="360" w:lineRule="auto"/>
        <w:ind w:left="0"/>
        <w:rPr>
          <w:rFonts w:ascii="Arial" w:hAnsi="Arial" w:cs="Arial"/>
          <w:sz w:val="24"/>
          <w:szCs w:val="24"/>
          <w:lang w:val="en-ZA"/>
        </w:rPr>
      </w:pPr>
      <w:r w:rsidRPr="00564254">
        <w:rPr>
          <w:rFonts w:ascii="Arial" w:hAnsi="Arial" w:cs="Arial"/>
          <w:sz w:val="24"/>
          <w:szCs w:val="24"/>
          <w:lang w:val="en-ZA"/>
        </w:rPr>
        <w:t>Sunnyridge areas affected by power outages 29 times (20+9=29)</w:t>
      </w:r>
    </w:p>
    <w:p w:rsidR="00AC018C" w:rsidRPr="00564254" w:rsidRDefault="00AC018C" w:rsidP="00564254">
      <w:pPr>
        <w:pStyle w:val="ColorfulList-Accent1"/>
        <w:spacing w:line="360" w:lineRule="auto"/>
        <w:ind w:left="2526"/>
        <w:rPr>
          <w:rFonts w:ascii="Arial" w:hAnsi="Arial" w:cs="Arial"/>
          <w:sz w:val="24"/>
          <w:szCs w:val="24"/>
          <w:lang w:val="en-ZA"/>
        </w:rPr>
      </w:pPr>
    </w:p>
    <w:p w:rsidR="00A56FAE" w:rsidRPr="00564254" w:rsidRDefault="00A56FAE" w:rsidP="00564254">
      <w:pPr>
        <w:pStyle w:val="ColorfulList-Accent1"/>
        <w:spacing w:line="360" w:lineRule="auto"/>
        <w:ind w:left="0"/>
        <w:rPr>
          <w:rFonts w:ascii="Arial" w:hAnsi="Arial" w:cs="Arial"/>
          <w:sz w:val="24"/>
          <w:szCs w:val="24"/>
          <w:lang w:val="en-ZA"/>
        </w:rPr>
      </w:pPr>
      <w:r w:rsidRPr="00564254">
        <w:rPr>
          <w:rFonts w:ascii="Arial" w:hAnsi="Arial" w:cs="Arial"/>
          <w:sz w:val="24"/>
          <w:szCs w:val="24"/>
          <w:lang w:val="en-ZA"/>
        </w:rPr>
        <w:t xml:space="preserve">Therefore, Marlands areas were affected 52 times in 24 months while Sunnyridge areas were affected 66 times in the same period. It must however be noted that not all customers were always affected at the same time. The customers were only affected as-and-when the circuit feeding them faulted which differed in frequency. </w:t>
      </w:r>
    </w:p>
    <w:p w:rsidR="00246BFD" w:rsidRPr="00564254" w:rsidRDefault="00246BFD" w:rsidP="00564254">
      <w:pPr>
        <w:pStyle w:val="ColorfulList-Accent1"/>
        <w:spacing w:line="360" w:lineRule="auto"/>
        <w:ind w:left="0"/>
        <w:rPr>
          <w:rFonts w:ascii="Arial" w:hAnsi="Arial" w:cs="Arial"/>
          <w:sz w:val="24"/>
          <w:szCs w:val="24"/>
          <w:lang w:val="en-ZA"/>
        </w:rPr>
      </w:pPr>
    </w:p>
    <w:p w:rsidR="00246BFD" w:rsidRPr="00564254" w:rsidRDefault="00246BFD" w:rsidP="00564254">
      <w:pPr>
        <w:pStyle w:val="ColorfulList-Accent1"/>
        <w:spacing w:line="360" w:lineRule="auto"/>
        <w:ind w:left="0"/>
        <w:rPr>
          <w:rFonts w:ascii="Arial" w:hAnsi="Arial" w:cs="Arial"/>
          <w:sz w:val="24"/>
          <w:szCs w:val="24"/>
          <w:lang w:val="en-ZA"/>
        </w:rPr>
      </w:pPr>
    </w:p>
    <w:p w:rsidR="00246BFD" w:rsidRDefault="00246BFD" w:rsidP="00564254">
      <w:pPr>
        <w:pStyle w:val="ColorfulList-Accent1"/>
        <w:spacing w:line="360" w:lineRule="auto"/>
        <w:ind w:left="0"/>
        <w:rPr>
          <w:rFonts w:ascii="Arial" w:hAnsi="Arial" w:cs="Arial"/>
          <w:sz w:val="24"/>
          <w:szCs w:val="24"/>
          <w:lang w:val="en-ZA"/>
        </w:rPr>
      </w:pPr>
    </w:p>
    <w:p w:rsidR="00564254" w:rsidRPr="00564254" w:rsidRDefault="00564254" w:rsidP="00564254">
      <w:pPr>
        <w:pStyle w:val="ColorfulList-Accent1"/>
        <w:spacing w:line="360" w:lineRule="auto"/>
        <w:ind w:left="0"/>
        <w:rPr>
          <w:rFonts w:ascii="Arial" w:hAnsi="Arial" w:cs="Arial"/>
          <w:sz w:val="24"/>
          <w:szCs w:val="24"/>
          <w:lang w:val="en-ZA"/>
        </w:rPr>
      </w:pPr>
    </w:p>
    <w:p w:rsidR="00AC018C" w:rsidRPr="00564254" w:rsidRDefault="00246BFD" w:rsidP="00564254">
      <w:pPr>
        <w:numPr>
          <w:ilvl w:val="0"/>
          <w:numId w:val="10"/>
        </w:numPr>
        <w:spacing w:line="360" w:lineRule="auto"/>
        <w:rPr>
          <w:rFonts w:ascii="Arial" w:hAnsi="Arial" w:cs="Arial"/>
          <w:lang w:val="en-GB"/>
        </w:rPr>
      </w:pPr>
      <w:r w:rsidRPr="00564254">
        <w:rPr>
          <w:rFonts w:ascii="Arial" w:hAnsi="Arial" w:cs="Arial"/>
          <w:lang w:val="en-GB"/>
        </w:rPr>
        <w:t>(a)</w:t>
      </w:r>
    </w:p>
    <w:tbl>
      <w:tblPr>
        <w:tblpPr w:leftFromText="180" w:rightFromText="180" w:vertAnchor="text" w:horzAnchor="margin" w:tblpXSpec="center" w:tblpY="112"/>
        <w:tblW w:w="7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496B0"/>
        <w:tblLook w:val="04A0"/>
      </w:tblPr>
      <w:tblGrid>
        <w:gridCol w:w="350"/>
        <w:gridCol w:w="1351"/>
        <w:gridCol w:w="1456"/>
        <w:gridCol w:w="1550"/>
        <w:gridCol w:w="937"/>
        <w:gridCol w:w="1004"/>
        <w:gridCol w:w="1016"/>
      </w:tblGrid>
      <w:tr w:rsidR="003A601F" w:rsidRPr="00564254" w:rsidTr="00CD6769">
        <w:trPr>
          <w:trHeight w:val="432"/>
        </w:trPr>
        <w:tc>
          <w:tcPr>
            <w:tcW w:w="390" w:type="dxa"/>
            <w:vMerge w:val="restart"/>
            <w:shd w:val="clear" w:color="auto" w:fill="8496B0"/>
            <w:vAlign w:val="center"/>
          </w:tcPr>
          <w:p w:rsidR="003A601F" w:rsidRPr="00564254" w:rsidRDefault="003A601F" w:rsidP="00564254">
            <w:pPr>
              <w:spacing w:line="360" w:lineRule="auto"/>
              <w:jc w:val="center"/>
              <w:rPr>
                <w:rFonts w:ascii="Arial" w:hAnsi="Arial" w:cs="Arial"/>
                <w:b/>
              </w:rPr>
            </w:pPr>
            <w:r w:rsidRPr="00564254">
              <w:rPr>
                <w:rFonts w:ascii="Arial" w:hAnsi="Arial" w:cs="Arial"/>
                <w:b/>
              </w:rPr>
              <w:t>#</w:t>
            </w:r>
          </w:p>
        </w:tc>
        <w:tc>
          <w:tcPr>
            <w:tcW w:w="1281" w:type="dxa"/>
            <w:vMerge w:val="restart"/>
            <w:shd w:val="clear" w:color="auto" w:fill="8496B0"/>
            <w:vAlign w:val="center"/>
          </w:tcPr>
          <w:p w:rsidR="003A601F" w:rsidRPr="00564254" w:rsidRDefault="003A601F" w:rsidP="00564254">
            <w:pPr>
              <w:spacing w:line="360" w:lineRule="auto"/>
              <w:jc w:val="center"/>
              <w:rPr>
                <w:rFonts w:ascii="Arial" w:hAnsi="Arial" w:cs="Arial"/>
                <w:b/>
              </w:rPr>
            </w:pPr>
            <w:r w:rsidRPr="00564254">
              <w:rPr>
                <w:rFonts w:ascii="Arial" w:hAnsi="Arial" w:cs="Arial"/>
                <w:b/>
              </w:rPr>
              <w:t>Financial Year</w:t>
            </w:r>
          </w:p>
        </w:tc>
        <w:tc>
          <w:tcPr>
            <w:tcW w:w="5703" w:type="dxa"/>
            <w:gridSpan w:val="5"/>
            <w:shd w:val="clear" w:color="auto" w:fill="8496B0"/>
            <w:vAlign w:val="center"/>
          </w:tcPr>
          <w:p w:rsidR="003A601F" w:rsidRPr="00564254" w:rsidRDefault="003A601F" w:rsidP="00564254">
            <w:pPr>
              <w:spacing w:line="360" w:lineRule="auto"/>
              <w:jc w:val="center"/>
              <w:rPr>
                <w:rFonts w:ascii="Arial" w:hAnsi="Arial" w:cs="Arial"/>
                <w:b/>
              </w:rPr>
            </w:pPr>
            <w:r w:rsidRPr="00564254">
              <w:rPr>
                <w:rFonts w:ascii="Arial" w:hAnsi="Arial" w:cs="Arial"/>
                <w:b/>
              </w:rPr>
              <w:t>CAUSE OF POWER OUTAGES</w:t>
            </w:r>
          </w:p>
        </w:tc>
      </w:tr>
      <w:tr w:rsidR="003A601F" w:rsidRPr="00564254" w:rsidTr="00CD6769">
        <w:trPr>
          <w:trHeight w:val="432"/>
        </w:trPr>
        <w:tc>
          <w:tcPr>
            <w:tcW w:w="390" w:type="dxa"/>
            <w:vMerge/>
            <w:tcBorders>
              <w:bottom w:val="single" w:sz="4" w:space="0" w:color="auto"/>
            </w:tcBorders>
            <w:shd w:val="clear" w:color="auto" w:fill="8496B0"/>
            <w:vAlign w:val="center"/>
          </w:tcPr>
          <w:p w:rsidR="003A601F" w:rsidRPr="00564254" w:rsidRDefault="003A601F" w:rsidP="00564254">
            <w:pPr>
              <w:spacing w:line="360" w:lineRule="auto"/>
              <w:jc w:val="center"/>
              <w:rPr>
                <w:rFonts w:ascii="Arial" w:hAnsi="Arial" w:cs="Arial"/>
                <w:b/>
              </w:rPr>
            </w:pPr>
          </w:p>
        </w:tc>
        <w:tc>
          <w:tcPr>
            <w:tcW w:w="1281" w:type="dxa"/>
            <w:vMerge/>
            <w:tcBorders>
              <w:bottom w:val="single" w:sz="4" w:space="0" w:color="auto"/>
            </w:tcBorders>
            <w:shd w:val="clear" w:color="auto" w:fill="8496B0"/>
          </w:tcPr>
          <w:p w:rsidR="003A601F" w:rsidRPr="00564254" w:rsidRDefault="003A601F" w:rsidP="00564254">
            <w:pPr>
              <w:spacing w:line="360" w:lineRule="auto"/>
              <w:rPr>
                <w:rFonts w:ascii="Arial" w:hAnsi="Arial" w:cs="Arial"/>
              </w:rPr>
            </w:pPr>
          </w:p>
        </w:tc>
        <w:tc>
          <w:tcPr>
            <w:tcW w:w="1371" w:type="dxa"/>
            <w:tcBorders>
              <w:bottom w:val="single" w:sz="4" w:space="0" w:color="auto"/>
            </w:tcBorders>
            <w:shd w:val="clear" w:color="auto" w:fill="8496B0"/>
            <w:vAlign w:val="center"/>
          </w:tcPr>
          <w:p w:rsidR="003A601F" w:rsidRPr="00564254" w:rsidRDefault="003A601F" w:rsidP="00564254">
            <w:pPr>
              <w:spacing w:line="360" w:lineRule="auto"/>
              <w:jc w:val="center"/>
              <w:rPr>
                <w:rFonts w:ascii="Arial" w:hAnsi="Arial" w:cs="Arial"/>
                <w:b/>
              </w:rPr>
            </w:pPr>
            <w:r w:rsidRPr="00564254">
              <w:rPr>
                <w:rFonts w:ascii="Arial" w:hAnsi="Arial" w:cs="Arial"/>
                <w:b/>
              </w:rPr>
              <w:t>Equipment Failure</w:t>
            </w:r>
          </w:p>
        </w:tc>
        <w:tc>
          <w:tcPr>
            <w:tcW w:w="1443" w:type="dxa"/>
            <w:tcBorders>
              <w:bottom w:val="single" w:sz="4" w:space="0" w:color="auto"/>
            </w:tcBorders>
            <w:shd w:val="clear" w:color="auto" w:fill="8496B0"/>
            <w:vAlign w:val="center"/>
          </w:tcPr>
          <w:p w:rsidR="003A601F" w:rsidRPr="00564254" w:rsidRDefault="003A601F" w:rsidP="00564254">
            <w:pPr>
              <w:spacing w:line="360" w:lineRule="auto"/>
              <w:jc w:val="center"/>
              <w:rPr>
                <w:rFonts w:ascii="Arial" w:hAnsi="Arial" w:cs="Arial"/>
                <w:b/>
              </w:rPr>
            </w:pPr>
            <w:r w:rsidRPr="00564254">
              <w:rPr>
                <w:rFonts w:ascii="Arial" w:hAnsi="Arial" w:cs="Arial"/>
                <w:b/>
              </w:rPr>
              <w:t>Operational Causes</w:t>
            </w:r>
          </w:p>
        </w:tc>
        <w:tc>
          <w:tcPr>
            <w:tcW w:w="1001" w:type="dxa"/>
            <w:tcBorders>
              <w:bottom w:val="single" w:sz="4" w:space="0" w:color="auto"/>
            </w:tcBorders>
            <w:shd w:val="clear" w:color="auto" w:fill="8496B0"/>
            <w:vAlign w:val="center"/>
          </w:tcPr>
          <w:p w:rsidR="003A601F" w:rsidRPr="00564254" w:rsidRDefault="003A601F" w:rsidP="00564254">
            <w:pPr>
              <w:spacing w:line="360" w:lineRule="auto"/>
              <w:jc w:val="center"/>
              <w:rPr>
                <w:rFonts w:ascii="Arial" w:hAnsi="Arial" w:cs="Arial"/>
                <w:b/>
              </w:rPr>
            </w:pPr>
            <w:r w:rsidRPr="00564254">
              <w:rPr>
                <w:rFonts w:ascii="Arial" w:hAnsi="Arial" w:cs="Arial"/>
                <w:b/>
              </w:rPr>
              <w:t>3</w:t>
            </w:r>
            <w:r w:rsidRPr="00564254">
              <w:rPr>
                <w:rFonts w:ascii="Arial" w:hAnsi="Arial" w:cs="Arial"/>
                <w:b/>
                <w:vertAlign w:val="superscript"/>
              </w:rPr>
              <w:t>rd</w:t>
            </w:r>
            <w:r w:rsidRPr="00564254">
              <w:rPr>
                <w:rFonts w:ascii="Arial" w:hAnsi="Arial" w:cs="Arial"/>
                <w:b/>
              </w:rPr>
              <w:t xml:space="preserve"> Party Cause</w:t>
            </w:r>
          </w:p>
        </w:tc>
        <w:tc>
          <w:tcPr>
            <w:tcW w:w="938" w:type="dxa"/>
            <w:tcBorders>
              <w:bottom w:val="single" w:sz="4" w:space="0" w:color="auto"/>
            </w:tcBorders>
            <w:shd w:val="clear" w:color="auto" w:fill="8496B0"/>
            <w:vAlign w:val="center"/>
          </w:tcPr>
          <w:p w:rsidR="003A601F" w:rsidRPr="00564254" w:rsidRDefault="003A601F" w:rsidP="00564254">
            <w:pPr>
              <w:spacing w:line="360" w:lineRule="auto"/>
              <w:jc w:val="center"/>
              <w:rPr>
                <w:rFonts w:ascii="Arial" w:hAnsi="Arial" w:cs="Arial"/>
                <w:b/>
              </w:rPr>
            </w:pPr>
            <w:r w:rsidRPr="00564254">
              <w:rPr>
                <w:rFonts w:ascii="Arial" w:hAnsi="Arial" w:cs="Arial"/>
                <w:b/>
              </w:rPr>
              <w:t>Eskom</w:t>
            </w:r>
          </w:p>
        </w:tc>
        <w:tc>
          <w:tcPr>
            <w:tcW w:w="950" w:type="dxa"/>
            <w:tcBorders>
              <w:bottom w:val="single" w:sz="4" w:space="0" w:color="auto"/>
            </w:tcBorders>
            <w:shd w:val="clear" w:color="auto" w:fill="8496B0"/>
            <w:vAlign w:val="center"/>
          </w:tcPr>
          <w:p w:rsidR="003A601F" w:rsidRPr="00564254" w:rsidRDefault="003A601F" w:rsidP="00564254">
            <w:pPr>
              <w:spacing w:line="360" w:lineRule="auto"/>
              <w:jc w:val="center"/>
              <w:rPr>
                <w:rFonts w:ascii="Arial" w:hAnsi="Arial" w:cs="Arial"/>
                <w:b/>
              </w:rPr>
            </w:pPr>
            <w:r w:rsidRPr="00564254">
              <w:rPr>
                <w:rFonts w:ascii="Arial" w:hAnsi="Arial" w:cs="Arial"/>
                <w:b/>
              </w:rPr>
              <w:t>TOTAL</w:t>
            </w:r>
          </w:p>
        </w:tc>
      </w:tr>
      <w:tr w:rsidR="003A601F" w:rsidRPr="00564254" w:rsidTr="00CD6769">
        <w:trPr>
          <w:trHeight w:val="432"/>
        </w:trPr>
        <w:tc>
          <w:tcPr>
            <w:tcW w:w="390" w:type="dxa"/>
            <w:shd w:val="clear" w:color="auto" w:fill="auto"/>
            <w:vAlign w:val="center"/>
          </w:tcPr>
          <w:p w:rsidR="003A601F" w:rsidRPr="00564254" w:rsidRDefault="003A601F" w:rsidP="00564254">
            <w:pPr>
              <w:spacing w:line="360" w:lineRule="auto"/>
              <w:jc w:val="center"/>
              <w:rPr>
                <w:rFonts w:ascii="Arial" w:hAnsi="Arial" w:cs="Arial"/>
                <w:lang w:val="en-ZA"/>
              </w:rPr>
            </w:pPr>
            <w:r w:rsidRPr="00564254">
              <w:rPr>
                <w:rFonts w:ascii="Arial" w:hAnsi="Arial" w:cs="Arial"/>
                <w:lang w:val="en-ZA"/>
              </w:rPr>
              <w:t>1</w:t>
            </w:r>
          </w:p>
        </w:tc>
        <w:tc>
          <w:tcPr>
            <w:tcW w:w="1281" w:type="dxa"/>
            <w:shd w:val="clear" w:color="auto" w:fill="auto"/>
            <w:vAlign w:val="center"/>
          </w:tcPr>
          <w:p w:rsidR="003A601F" w:rsidRPr="00564254" w:rsidRDefault="003A601F" w:rsidP="00564254">
            <w:pPr>
              <w:spacing w:line="360" w:lineRule="auto"/>
              <w:jc w:val="center"/>
              <w:rPr>
                <w:rFonts w:ascii="Arial" w:hAnsi="Arial" w:cs="Arial"/>
                <w:lang w:val="en-ZA"/>
              </w:rPr>
            </w:pPr>
            <w:r w:rsidRPr="00564254">
              <w:rPr>
                <w:rFonts w:ascii="Arial" w:hAnsi="Arial" w:cs="Arial"/>
                <w:lang w:val="en-ZA"/>
              </w:rPr>
              <w:t>2015/2016</w:t>
            </w:r>
          </w:p>
        </w:tc>
        <w:tc>
          <w:tcPr>
            <w:tcW w:w="1371" w:type="dxa"/>
            <w:shd w:val="clear" w:color="auto" w:fill="auto"/>
            <w:vAlign w:val="center"/>
          </w:tcPr>
          <w:p w:rsidR="003A601F" w:rsidRPr="00564254" w:rsidRDefault="003A601F" w:rsidP="00564254">
            <w:pPr>
              <w:spacing w:line="360" w:lineRule="auto"/>
              <w:jc w:val="center"/>
              <w:rPr>
                <w:rFonts w:ascii="Arial" w:hAnsi="Arial" w:cs="Arial"/>
                <w:lang w:val="en-ZA"/>
              </w:rPr>
            </w:pPr>
            <w:r w:rsidRPr="00564254">
              <w:rPr>
                <w:rFonts w:ascii="Arial" w:hAnsi="Arial" w:cs="Arial"/>
                <w:lang w:val="en-ZA"/>
              </w:rPr>
              <w:t>22</w:t>
            </w:r>
          </w:p>
        </w:tc>
        <w:tc>
          <w:tcPr>
            <w:tcW w:w="1443" w:type="dxa"/>
            <w:shd w:val="clear" w:color="auto" w:fill="auto"/>
            <w:vAlign w:val="center"/>
          </w:tcPr>
          <w:p w:rsidR="003A601F" w:rsidRPr="00564254" w:rsidRDefault="003A601F" w:rsidP="00564254">
            <w:pPr>
              <w:spacing w:line="360" w:lineRule="auto"/>
              <w:jc w:val="center"/>
              <w:rPr>
                <w:rFonts w:ascii="Arial" w:hAnsi="Arial" w:cs="Arial"/>
                <w:lang w:val="en-ZA"/>
              </w:rPr>
            </w:pPr>
            <w:r w:rsidRPr="00564254">
              <w:rPr>
                <w:rFonts w:ascii="Arial" w:hAnsi="Arial" w:cs="Arial"/>
                <w:lang w:val="en-ZA"/>
              </w:rPr>
              <w:t>12</w:t>
            </w:r>
          </w:p>
        </w:tc>
        <w:tc>
          <w:tcPr>
            <w:tcW w:w="1001" w:type="dxa"/>
            <w:shd w:val="clear" w:color="auto" w:fill="auto"/>
            <w:vAlign w:val="center"/>
          </w:tcPr>
          <w:p w:rsidR="003A601F" w:rsidRPr="00564254" w:rsidRDefault="003A601F" w:rsidP="00564254">
            <w:pPr>
              <w:spacing w:line="360" w:lineRule="auto"/>
              <w:jc w:val="center"/>
              <w:rPr>
                <w:rFonts w:ascii="Arial" w:hAnsi="Arial" w:cs="Arial"/>
                <w:lang w:val="en-ZA"/>
              </w:rPr>
            </w:pPr>
            <w:r w:rsidRPr="00564254">
              <w:rPr>
                <w:rFonts w:ascii="Arial" w:hAnsi="Arial" w:cs="Arial"/>
                <w:lang w:val="en-ZA"/>
              </w:rPr>
              <w:t>6</w:t>
            </w:r>
          </w:p>
        </w:tc>
        <w:tc>
          <w:tcPr>
            <w:tcW w:w="938" w:type="dxa"/>
            <w:shd w:val="clear" w:color="auto" w:fill="auto"/>
            <w:vAlign w:val="center"/>
          </w:tcPr>
          <w:p w:rsidR="003A601F" w:rsidRPr="00564254" w:rsidRDefault="003A601F" w:rsidP="00564254">
            <w:pPr>
              <w:spacing w:line="360" w:lineRule="auto"/>
              <w:jc w:val="center"/>
              <w:rPr>
                <w:rFonts w:ascii="Arial" w:hAnsi="Arial" w:cs="Arial"/>
                <w:lang w:val="en-ZA"/>
              </w:rPr>
            </w:pPr>
            <w:r w:rsidRPr="00564254">
              <w:rPr>
                <w:rFonts w:ascii="Arial" w:hAnsi="Arial" w:cs="Arial"/>
                <w:lang w:val="en-ZA"/>
              </w:rPr>
              <w:t>1</w:t>
            </w:r>
          </w:p>
        </w:tc>
        <w:tc>
          <w:tcPr>
            <w:tcW w:w="950" w:type="dxa"/>
            <w:shd w:val="clear" w:color="auto" w:fill="auto"/>
            <w:vAlign w:val="center"/>
          </w:tcPr>
          <w:p w:rsidR="003A601F" w:rsidRPr="00564254" w:rsidRDefault="003A601F" w:rsidP="00564254">
            <w:pPr>
              <w:spacing w:line="360" w:lineRule="auto"/>
              <w:jc w:val="center"/>
              <w:rPr>
                <w:rFonts w:ascii="Arial" w:hAnsi="Arial" w:cs="Arial"/>
                <w:lang w:val="en-ZA"/>
              </w:rPr>
            </w:pPr>
            <w:r w:rsidRPr="00564254">
              <w:rPr>
                <w:rFonts w:ascii="Arial" w:hAnsi="Arial" w:cs="Arial"/>
                <w:lang w:val="en-ZA"/>
              </w:rPr>
              <w:t>41</w:t>
            </w:r>
          </w:p>
        </w:tc>
      </w:tr>
      <w:tr w:rsidR="003A601F" w:rsidRPr="00564254" w:rsidTr="00CD6769">
        <w:trPr>
          <w:trHeight w:val="432"/>
        </w:trPr>
        <w:tc>
          <w:tcPr>
            <w:tcW w:w="390" w:type="dxa"/>
            <w:shd w:val="clear" w:color="auto" w:fill="auto"/>
            <w:vAlign w:val="center"/>
          </w:tcPr>
          <w:p w:rsidR="003A601F" w:rsidRPr="00564254" w:rsidRDefault="003A601F" w:rsidP="00564254">
            <w:pPr>
              <w:spacing w:line="360" w:lineRule="auto"/>
              <w:jc w:val="center"/>
              <w:rPr>
                <w:rFonts w:ascii="Arial" w:hAnsi="Arial" w:cs="Arial"/>
                <w:lang w:val="en-ZA"/>
              </w:rPr>
            </w:pPr>
            <w:r w:rsidRPr="00564254">
              <w:rPr>
                <w:rFonts w:ascii="Arial" w:hAnsi="Arial" w:cs="Arial"/>
                <w:lang w:val="en-ZA"/>
              </w:rPr>
              <w:t>2</w:t>
            </w:r>
          </w:p>
        </w:tc>
        <w:tc>
          <w:tcPr>
            <w:tcW w:w="1281" w:type="dxa"/>
            <w:shd w:val="clear" w:color="auto" w:fill="auto"/>
            <w:vAlign w:val="center"/>
          </w:tcPr>
          <w:p w:rsidR="003A601F" w:rsidRPr="00564254" w:rsidRDefault="003A601F" w:rsidP="00564254">
            <w:pPr>
              <w:spacing w:line="360" w:lineRule="auto"/>
              <w:jc w:val="center"/>
              <w:rPr>
                <w:rFonts w:ascii="Arial" w:hAnsi="Arial" w:cs="Arial"/>
                <w:lang w:val="en-ZA"/>
              </w:rPr>
            </w:pPr>
            <w:r w:rsidRPr="00564254">
              <w:rPr>
                <w:rFonts w:ascii="Arial" w:hAnsi="Arial" w:cs="Arial"/>
                <w:lang w:val="en-ZA"/>
              </w:rPr>
              <w:t>2016/2017</w:t>
            </w:r>
          </w:p>
        </w:tc>
        <w:tc>
          <w:tcPr>
            <w:tcW w:w="1371" w:type="dxa"/>
            <w:shd w:val="clear" w:color="auto" w:fill="auto"/>
            <w:vAlign w:val="center"/>
          </w:tcPr>
          <w:p w:rsidR="003A601F" w:rsidRPr="00564254" w:rsidRDefault="003A601F" w:rsidP="00564254">
            <w:pPr>
              <w:spacing w:line="360" w:lineRule="auto"/>
              <w:jc w:val="center"/>
              <w:rPr>
                <w:rFonts w:ascii="Arial" w:hAnsi="Arial" w:cs="Arial"/>
                <w:lang w:val="en-ZA"/>
              </w:rPr>
            </w:pPr>
            <w:r w:rsidRPr="00564254">
              <w:rPr>
                <w:rFonts w:ascii="Arial" w:hAnsi="Arial" w:cs="Arial"/>
                <w:lang w:val="en-ZA"/>
              </w:rPr>
              <w:t>33</w:t>
            </w:r>
          </w:p>
        </w:tc>
        <w:tc>
          <w:tcPr>
            <w:tcW w:w="1443" w:type="dxa"/>
            <w:shd w:val="clear" w:color="auto" w:fill="auto"/>
            <w:vAlign w:val="center"/>
          </w:tcPr>
          <w:p w:rsidR="003A601F" w:rsidRPr="00564254" w:rsidRDefault="003A601F" w:rsidP="00564254">
            <w:pPr>
              <w:spacing w:line="360" w:lineRule="auto"/>
              <w:jc w:val="center"/>
              <w:rPr>
                <w:rFonts w:ascii="Arial" w:hAnsi="Arial" w:cs="Arial"/>
                <w:lang w:val="en-ZA"/>
              </w:rPr>
            </w:pPr>
            <w:r w:rsidRPr="00564254">
              <w:rPr>
                <w:rFonts w:ascii="Arial" w:hAnsi="Arial" w:cs="Arial"/>
                <w:lang w:val="en-ZA"/>
              </w:rPr>
              <w:t>8</w:t>
            </w:r>
          </w:p>
        </w:tc>
        <w:tc>
          <w:tcPr>
            <w:tcW w:w="1001" w:type="dxa"/>
            <w:shd w:val="clear" w:color="auto" w:fill="auto"/>
            <w:vAlign w:val="center"/>
          </w:tcPr>
          <w:p w:rsidR="003A601F" w:rsidRPr="00564254" w:rsidRDefault="003A601F" w:rsidP="00564254">
            <w:pPr>
              <w:spacing w:line="360" w:lineRule="auto"/>
              <w:jc w:val="center"/>
              <w:rPr>
                <w:rFonts w:ascii="Arial" w:hAnsi="Arial" w:cs="Arial"/>
                <w:lang w:val="en-ZA"/>
              </w:rPr>
            </w:pPr>
            <w:r w:rsidRPr="00564254">
              <w:rPr>
                <w:rFonts w:ascii="Arial" w:hAnsi="Arial" w:cs="Arial"/>
                <w:lang w:val="en-ZA"/>
              </w:rPr>
              <w:t>8</w:t>
            </w:r>
          </w:p>
        </w:tc>
        <w:tc>
          <w:tcPr>
            <w:tcW w:w="938" w:type="dxa"/>
            <w:shd w:val="clear" w:color="auto" w:fill="auto"/>
            <w:vAlign w:val="center"/>
          </w:tcPr>
          <w:p w:rsidR="003A601F" w:rsidRPr="00564254" w:rsidRDefault="003A601F" w:rsidP="00564254">
            <w:pPr>
              <w:spacing w:line="360" w:lineRule="auto"/>
              <w:jc w:val="center"/>
              <w:rPr>
                <w:rFonts w:ascii="Arial" w:hAnsi="Arial" w:cs="Arial"/>
                <w:lang w:val="en-ZA"/>
              </w:rPr>
            </w:pPr>
            <w:r w:rsidRPr="00564254">
              <w:rPr>
                <w:rFonts w:ascii="Arial" w:hAnsi="Arial" w:cs="Arial"/>
                <w:lang w:val="en-ZA"/>
              </w:rPr>
              <w:t>1</w:t>
            </w:r>
          </w:p>
        </w:tc>
        <w:tc>
          <w:tcPr>
            <w:tcW w:w="950" w:type="dxa"/>
            <w:shd w:val="clear" w:color="auto" w:fill="auto"/>
            <w:vAlign w:val="center"/>
          </w:tcPr>
          <w:p w:rsidR="003A601F" w:rsidRPr="00564254" w:rsidRDefault="003A601F" w:rsidP="00564254">
            <w:pPr>
              <w:spacing w:line="360" w:lineRule="auto"/>
              <w:jc w:val="center"/>
              <w:rPr>
                <w:rFonts w:ascii="Arial" w:hAnsi="Arial" w:cs="Arial"/>
                <w:lang w:val="en-ZA"/>
              </w:rPr>
            </w:pPr>
            <w:r w:rsidRPr="00564254">
              <w:rPr>
                <w:rFonts w:ascii="Arial" w:hAnsi="Arial" w:cs="Arial"/>
                <w:lang w:val="en-ZA"/>
              </w:rPr>
              <w:t>50</w:t>
            </w:r>
          </w:p>
        </w:tc>
      </w:tr>
      <w:tr w:rsidR="003A601F" w:rsidRPr="00564254" w:rsidTr="00CD6769">
        <w:trPr>
          <w:trHeight w:val="576"/>
        </w:trPr>
        <w:tc>
          <w:tcPr>
            <w:tcW w:w="390" w:type="dxa"/>
            <w:shd w:val="clear" w:color="auto" w:fill="8496B0"/>
            <w:vAlign w:val="center"/>
          </w:tcPr>
          <w:p w:rsidR="003A601F" w:rsidRPr="00564254" w:rsidRDefault="003A601F" w:rsidP="00564254">
            <w:pPr>
              <w:spacing w:line="360" w:lineRule="auto"/>
              <w:jc w:val="center"/>
              <w:rPr>
                <w:rFonts w:ascii="Arial" w:hAnsi="Arial" w:cs="Arial"/>
                <w:b/>
                <w:lang w:val="en-ZA"/>
              </w:rPr>
            </w:pPr>
            <w:r w:rsidRPr="00564254">
              <w:rPr>
                <w:rFonts w:ascii="Arial" w:hAnsi="Arial" w:cs="Arial"/>
                <w:b/>
                <w:lang w:val="en-ZA"/>
              </w:rPr>
              <w:t>3</w:t>
            </w:r>
          </w:p>
        </w:tc>
        <w:tc>
          <w:tcPr>
            <w:tcW w:w="1281" w:type="dxa"/>
            <w:shd w:val="clear" w:color="auto" w:fill="8496B0"/>
            <w:vAlign w:val="center"/>
          </w:tcPr>
          <w:p w:rsidR="003A601F" w:rsidRPr="00564254" w:rsidRDefault="003A601F" w:rsidP="00564254">
            <w:pPr>
              <w:spacing w:line="360" w:lineRule="auto"/>
              <w:rPr>
                <w:rFonts w:ascii="Arial" w:hAnsi="Arial" w:cs="Arial"/>
                <w:b/>
                <w:lang w:val="en-ZA"/>
              </w:rPr>
            </w:pPr>
            <w:r w:rsidRPr="00564254">
              <w:rPr>
                <w:rFonts w:ascii="Arial" w:hAnsi="Arial" w:cs="Arial"/>
                <w:b/>
                <w:lang w:val="en-ZA"/>
              </w:rPr>
              <w:t>TOTAL</w:t>
            </w:r>
          </w:p>
        </w:tc>
        <w:tc>
          <w:tcPr>
            <w:tcW w:w="1371" w:type="dxa"/>
            <w:shd w:val="clear" w:color="auto" w:fill="8496B0"/>
            <w:vAlign w:val="center"/>
          </w:tcPr>
          <w:p w:rsidR="003A601F" w:rsidRPr="00564254" w:rsidRDefault="003A601F" w:rsidP="00564254">
            <w:pPr>
              <w:spacing w:line="360" w:lineRule="auto"/>
              <w:jc w:val="center"/>
              <w:rPr>
                <w:rFonts w:ascii="Arial" w:hAnsi="Arial" w:cs="Arial"/>
                <w:b/>
                <w:lang w:val="en-ZA"/>
              </w:rPr>
            </w:pPr>
            <w:r w:rsidRPr="00564254">
              <w:rPr>
                <w:rFonts w:ascii="Arial" w:hAnsi="Arial" w:cs="Arial"/>
                <w:b/>
                <w:lang w:val="en-ZA"/>
              </w:rPr>
              <w:t>55</w:t>
            </w:r>
          </w:p>
        </w:tc>
        <w:tc>
          <w:tcPr>
            <w:tcW w:w="1443" w:type="dxa"/>
            <w:shd w:val="clear" w:color="auto" w:fill="8496B0"/>
            <w:vAlign w:val="center"/>
          </w:tcPr>
          <w:p w:rsidR="003A601F" w:rsidRPr="00564254" w:rsidRDefault="003A601F" w:rsidP="00564254">
            <w:pPr>
              <w:spacing w:line="360" w:lineRule="auto"/>
              <w:jc w:val="center"/>
              <w:rPr>
                <w:rFonts w:ascii="Arial" w:hAnsi="Arial" w:cs="Arial"/>
                <w:b/>
                <w:lang w:val="en-ZA"/>
              </w:rPr>
            </w:pPr>
            <w:r w:rsidRPr="00564254">
              <w:rPr>
                <w:rFonts w:ascii="Arial" w:hAnsi="Arial" w:cs="Arial"/>
                <w:b/>
                <w:lang w:val="en-ZA"/>
              </w:rPr>
              <w:t>20</w:t>
            </w:r>
          </w:p>
        </w:tc>
        <w:tc>
          <w:tcPr>
            <w:tcW w:w="1001" w:type="dxa"/>
            <w:shd w:val="clear" w:color="auto" w:fill="8496B0"/>
            <w:vAlign w:val="center"/>
          </w:tcPr>
          <w:p w:rsidR="003A601F" w:rsidRPr="00564254" w:rsidRDefault="003A601F" w:rsidP="00564254">
            <w:pPr>
              <w:spacing w:line="360" w:lineRule="auto"/>
              <w:jc w:val="center"/>
              <w:rPr>
                <w:rFonts w:ascii="Arial" w:hAnsi="Arial" w:cs="Arial"/>
                <w:b/>
                <w:lang w:val="en-ZA"/>
              </w:rPr>
            </w:pPr>
            <w:r w:rsidRPr="00564254">
              <w:rPr>
                <w:rFonts w:ascii="Arial" w:hAnsi="Arial" w:cs="Arial"/>
                <w:b/>
                <w:lang w:val="en-ZA"/>
              </w:rPr>
              <w:t>14</w:t>
            </w:r>
          </w:p>
        </w:tc>
        <w:tc>
          <w:tcPr>
            <w:tcW w:w="938" w:type="dxa"/>
            <w:shd w:val="clear" w:color="auto" w:fill="8496B0"/>
            <w:vAlign w:val="center"/>
          </w:tcPr>
          <w:p w:rsidR="003A601F" w:rsidRPr="00564254" w:rsidRDefault="003A601F" w:rsidP="00564254">
            <w:pPr>
              <w:spacing w:line="360" w:lineRule="auto"/>
              <w:jc w:val="center"/>
              <w:rPr>
                <w:rFonts w:ascii="Arial" w:hAnsi="Arial" w:cs="Arial"/>
                <w:b/>
                <w:lang w:val="en-ZA"/>
              </w:rPr>
            </w:pPr>
            <w:r w:rsidRPr="00564254">
              <w:rPr>
                <w:rFonts w:ascii="Arial" w:hAnsi="Arial" w:cs="Arial"/>
                <w:b/>
                <w:lang w:val="en-ZA"/>
              </w:rPr>
              <w:t>2</w:t>
            </w:r>
          </w:p>
        </w:tc>
        <w:tc>
          <w:tcPr>
            <w:tcW w:w="950" w:type="dxa"/>
            <w:shd w:val="clear" w:color="auto" w:fill="8496B0"/>
            <w:vAlign w:val="center"/>
          </w:tcPr>
          <w:p w:rsidR="003A601F" w:rsidRPr="00564254" w:rsidRDefault="003A601F" w:rsidP="00564254">
            <w:pPr>
              <w:spacing w:line="360" w:lineRule="auto"/>
              <w:jc w:val="center"/>
              <w:rPr>
                <w:rFonts w:ascii="Arial" w:hAnsi="Arial" w:cs="Arial"/>
                <w:b/>
                <w:lang w:val="en-ZA"/>
              </w:rPr>
            </w:pPr>
            <w:r w:rsidRPr="00564254">
              <w:rPr>
                <w:rFonts w:ascii="Arial" w:hAnsi="Arial" w:cs="Arial"/>
                <w:b/>
                <w:lang w:val="en-ZA"/>
              </w:rPr>
              <w:t>91</w:t>
            </w:r>
          </w:p>
        </w:tc>
      </w:tr>
    </w:tbl>
    <w:p w:rsidR="00A56FAE" w:rsidRPr="00564254" w:rsidRDefault="00A56FAE" w:rsidP="00564254">
      <w:pPr>
        <w:pStyle w:val="ColorfulList-Accent1"/>
        <w:tabs>
          <w:tab w:val="left" w:pos="3960"/>
        </w:tabs>
        <w:spacing w:line="360" w:lineRule="auto"/>
        <w:ind w:left="1806"/>
        <w:jc w:val="both"/>
        <w:rPr>
          <w:rFonts w:ascii="Arial" w:hAnsi="Arial" w:cs="Arial"/>
          <w:sz w:val="24"/>
          <w:szCs w:val="24"/>
        </w:rPr>
      </w:pPr>
    </w:p>
    <w:p w:rsidR="00A56FAE" w:rsidRPr="00564254" w:rsidRDefault="00A56FAE" w:rsidP="00564254">
      <w:pPr>
        <w:pStyle w:val="ColorfulList-Accent1"/>
        <w:tabs>
          <w:tab w:val="left" w:pos="3960"/>
        </w:tabs>
        <w:spacing w:line="360" w:lineRule="auto"/>
        <w:ind w:left="1806"/>
        <w:jc w:val="both"/>
        <w:rPr>
          <w:rFonts w:ascii="Arial" w:hAnsi="Arial" w:cs="Arial"/>
          <w:b/>
          <w:sz w:val="24"/>
          <w:szCs w:val="24"/>
          <w:lang w:val="en-US"/>
        </w:rPr>
      </w:pPr>
    </w:p>
    <w:p w:rsidR="00A56FAE" w:rsidRPr="00564254" w:rsidRDefault="00A56FAE" w:rsidP="00564254">
      <w:pPr>
        <w:pStyle w:val="ColorfulList-Accent1"/>
        <w:numPr>
          <w:ilvl w:val="0"/>
          <w:numId w:val="3"/>
        </w:numPr>
        <w:spacing w:line="360" w:lineRule="auto"/>
        <w:rPr>
          <w:rFonts w:ascii="Arial" w:hAnsi="Arial" w:cs="Arial"/>
          <w:sz w:val="24"/>
          <w:szCs w:val="24"/>
        </w:rPr>
      </w:pPr>
    </w:p>
    <w:p w:rsidR="00A56FAE" w:rsidRPr="00564254" w:rsidRDefault="00A56FAE" w:rsidP="00564254">
      <w:pPr>
        <w:pStyle w:val="ColorfulList-Accent1"/>
        <w:spacing w:line="360" w:lineRule="auto"/>
        <w:ind w:left="3379"/>
        <w:rPr>
          <w:rFonts w:ascii="Arial" w:hAnsi="Arial" w:cs="Arial"/>
          <w:sz w:val="24"/>
          <w:szCs w:val="24"/>
        </w:rPr>
      </w:pPr>
    </w:p>
    <w:p w:rsidR="003A601F" w:rsidRPr="00564254" w:rsidRDefault="003A601F" w:rsidP="00564254">
      <w:pPr>
        <w:pStyle w:val="ColorfulList-Accent1"/>
        <w:spacing w:line="360" w:lineRule="auto"/>
        <w:ind w:left="3379" w:hanging="498"/>
        <w:rPr>
          <w:rFonts w:ascii="Arial" w:hAnsi="Arial" w:cs="Arial"/>
          <w:sz w:val="24"/>
          <w:szCs w:val="24"/>
          <w:lang w:val="en-ZA"/>
        </w:rPr>
      </w:pPr>
    </w:p>
    <w:p w:rsidR="003A601F" w:rsidRPr="00564254" w:rsidRDefault="003A601F" w:rsidP="00564254">
      <w:pPr>
        <w:pStyle w:val="ColorfulList-Accent1"/>
        <w:spacing w:line="360" w:lineRule="auto"/>
        <w:ind w:left="3379" w:hanging="498"/>
        <w:rPr>
          <w:rFonts w:ascii="Arial" w:hAnsi="Arial" w:cs="Arial"/>
          <w:sz w:val="24"/>
          <w:szCs w:val="24"/>
          <w:lang w:val="en-ZA"/>
        </w:rPr>
      </w:pPr>
    </w:p>
    <w:p w:rsidR="003A601F" w:rsidRPr="00564254" w:rsidRDefault="003A601F" w:rsidP="00564254">
      <w:pPr>
        <w:pStyle w:val="ColorfulList-Accent1"/>
        <w:spacing w:line="360" w:lineRule="auto"/>
        <w:ind w:left="3379" w:hanging="498"/>
        <w:rPr>
          <w:rFonts w:ascii="Arial" w:hAnsi="Arial" w:cs="Arial"/>
          <w:sz w:val="24"/>
          <w:szCs w:val="24"/>
          <w:lang w:val="en-ZA"/>
        </w:rPr>
      </w:pPr>
    </w:p>
    <w:p w:rsidR="003A601F" w:rsidRPr="00564254" w:rsidRDefault="003A601F" w:rsidP="00564254">
      <w:pPr>
        <w:pStyle w:val="ColorfulList-Accent1"/>
        <w:spacing w:line="360" w:lineRule="auto"/>
        <w:ind w:left="3379" w:hanging="498"/>
        <w:rPr>
          <w:rFonts w:ascii="Arial" w:hAnsi="Arial" w:cs="Arial"/>
          <w:sz w:val="24"/>
          <w:szCs w:val="24"/>
          <w:lang w:val="en-ZA"/>
        </w:rPr>
      </w:pPr>
    </w:p>
    <w:p w:rsidR="003A601F" w:rsidRPr="00564254" w:rsidRDefault="003A601F" w:rsidP="00564254">
      <w:pPr>
        <w:pStyle w:val="ColorfulList-Accent1"/>
        <w:spacing w:line="360" w:lineRule="auto"/>
        <w:ind w:left="3379" w:hanging="498"/>
        <w:rPr>
          <w:rFonts w:ascii="Arial" w:hAnsi="Arial" w:cs="Arial"/>
          <w:sz w:val="24"/>
          <w:szCs w:val="24"/>
          <w:lang w:val="en-ZA"/>
        </w:rPr>
      </w:pPr>
    </w:p>
    <w:p w:rsidR="003A601F" w:rsidRPr="00564254" w:rsidRDefault="003A601F" w:rsidP="00564254">
      <w:pPr>
        <w:pStyle w:val="ColorfulList-Accent1"/>
        <w:spacing w:line="360" w:lineRule="auto"/>
        <w:ind w:left="0"/>
        <w:rPr>
          <w:rFonts w:ascii="Arial" w:hAnsi="Arial" w:cs="Arial"/>
          <w:sz w:val="24"/>
          <w:szCs w:val="24"/>
          <w:lang w:val="en-ZA"/>
        </w:rPr>
      </w:pPr>
    </w:p>
    <w:p w:rsidR="00A56FAE" w:rsidRPr="00564254" w:rsidRDefault="00A56FAE" w:rsidP="00564254">
      <w:pPr>
        <w:pStyle w:val="ColorfulList-Accent1"/>
        <w:numPr>
          <w:ilvl w:val="0"/>
          <w:numId w:val="11"/>
        </w:numPr>
        <w:spacing w:line="360" w:lineRule="auto"/>
        <w:rPr>
          <w:rFonts w:ascii="Arial" w:hAnsi="Arial" w:cs="Arial"/>
          <w:sz w:val="24"/>
          <w:szCs w:val="24"/>
          <w:lang w:val="en-ZA"/>
        </w:rPr>
      </w:pPr>
      <w:r w:rsidRPr="00564254">
        <w:rPr>
          <w:rFonts w:ascii="Arial" w:hAnsi="Arial" w:cs="Arial"/>
          <w:sz w:val="24"/>
          <w:szCs w:val="24"/>
          <w:lang w:val="en-ZA"/>
        </w:rPr>
        <w:t>Equipment Failure refer to mainly medium voltage cable faults and switchgear failure</w:t>
      </w:r>
    </w:p>
    <w:p w:rsidR="00A56FAE" w:rsidRPr="00564254" w:rsidRDefault="00A56FAE" w:rsidP="00564254">
      <w:pPr>
        <w:pStyle w:val="ColorfulList-Accent1"/>
        <w:numPr>
          <w:ilvl w:val="0"/>
          <w:numId w:val="11"/>
        </w:numPr>
        <w:spacing w:line="360" w:lineRule="auto"/>
        <w:rPr>
          <w:rFonts w:ascii="Arial" w:hAnsi="Arial" w:cs="Arial"/>
          <w:sz w:val="24"/>
          <w:szCs w:val="24"/>
          <w:lang w:val="en-ZA"/>
        </w:rPr>
      </w:pPr>
      <w:r w:rsidRPr="00564254">
        <w:rPr>
          <w:rFonts w:ascii="Arial" w:hAnsi="Arial" w:cs="Arial"/>
          <w:sz w:val="24"/>
          <w:szCs w:val="24"/>
          <w:lang w:val="en-ZA"/>
        </w:rPr>
        <w:t>Operational Causes refer to overload caused by limited number of available cables during repairs and failure of protection equipment.</w:t>
      </w:r>
    </w:p>
    <w:p w:rsidR="00A56FAE" w:rsidRPr="00564254" w:rsidRDefault="00A56FAE" w:rsidP="00564254">
      <w:pPr>
        <w:pStyle w:val="ColorfulList-Accent1"/>
        <w:numPr>
          <w:ilvl w:val="0"/>
          <w:numId w:val="11"/>
        </w:numPr>
        <w:spacing w:line="360" w:lineRule="auto"/>
        <w:rPr>
          <w:rFonts w:ascii="Arial" w:hAnsi="Arial" w:cs="Arial"/>
          <w:sz w:val="24"/>
          <w:szCs w:val="24"/>
          <w:lang w:val="en-ZA"/>
        </w:rPr>
      </w:pPr>
      <w:r w:rsidRPr="00564254">
        <w:rPr>
          <w:rFonts w:ascii="Arial" w:hAnsi="Arial" w:cs="Arial"/>
          <w:sz w:val="24"/>
          <w:szCs w:val="24"/>
          <w:lang w:val="en-ZA"/>
        </w:rPr>
        <w:t>3rd Party Causes refer to cable theft and damages by contractors</w:t>
      </w:r>
    </w:p>
    <w:p w:rsidR="00A56FAE" w:rsidRPr="00564254" w:rsidRDefault="00A56FAE" w:rsidP="00564254">
      <w:pPr>
        <w:pStyle w:val="ColorfulList-Accent1"/>
        <w:numPr>
          <w:ilvl w:val="0"/>
          <w:numId w:val="11"/>
        </w:numPr>
        <w:spacing w:line="360" w:lineRule="auto"/>
        <w:rPr>
          <w:rFonts w:ascii="Arial" w:hAnsi="Arial" w:cs="Arial"/>
          <w:sz w:val="24"/>
          <w:szCs w:val="24"/>
          <w:lang w:val="en-ZA"/>
        </w:rPr>
      </w:pPr>
      <w:r w:rsidRPr="00564254">
        <w:rPr>
          <w:rFonts w:ascii="Arial" w:hAnsi="Arial" w:cs="Arial"/>
          <w:sz w:val="24"/>
          <w:szCs w:val="24"/>
          <w:lang w:val="en-ZA"/>
        </w:rPr>
        <w:t>Eskom refer to power outages imposed by Eskom network.</w:t>
      </w:r>
    </w:p>
    <w:p w:rsidR="00A56FAE" w:rsidRPr="00564254" w:rsidRDefault="00A56FAE" w:rsidP="00564254">
      <w:pPr>
        <w:pStyle w:val="ColorfulList-Accent1"/>
        <w:spacing w:line="360" w:lineRule="auto"/>
        <w:ind w:left="2787"/>
        <w:rPr>
          <w:rFonts w:ascii="Arial" w:hAnsi="Arial" w:cs="Arial"/>
          <w:sz w:val="24"/>
          <w:szCs w:val="24"/>
          <w:lang w:val="en-ZA"/>
        </w:rPr>
      </w:pPr>
    </w:p>
    <w:p w:rsidR="00A56FAE" w:rsidRPr="00564254" w:rsidRDefault="00A56FAE" w:rsidP="00564254">
      <w:pPr>
        <w:pStyle w:val="ColorfulList-Accent1"/>
        <w:numPr>
          <w:ilvl w:val="0"/>
          <w:numId w:val="3"/>
        </w:numPr>
        <w:spacing w:after="0" w:line="360" w:lineRule="auto"/>
        <w:ind w:left="360"/>
        <w:jc w:val="both"/>
        <w:rPr>
          <w:rFonts w:ascii="Arial" w:hAnsi="Arial" w:cs="Arial"/>
          <w:b/>
          <w:sz w:val="24"/>
          <w:szCs w:val="24"/>
          <w:lang w:val="en-US"/>
        </w:rPr>
      </w:pPr>
      <w:r w:rsidRPr="00564254">
        <w:rPr>
          <w:rFonts w:ascii="Arial" w:hAnsi="Arial" w:cs="Arial"/>
          <w:sz w:val="24"/>
          <w:szCs w:val="24"/>
          <w:lang w:val="en-ZA"/>
        </w:rPr>
        <w:t>Average hours for power restorations = 6 hours. The shortest power outage took around 0.25 hours and the longest around 41.5 hours.</w:t>
      </w:r>
    </w:p>
    <w:p w:rsidR="00A56FAE" w:rsidRPr="00564254" w:rsidRDefault="00A56FAE" w:rsidP="00564254">
      <w:pPr>
        <w:pStyle w:val="ColorfulList-Accent1"/>
        <w:numPr>
          <w:ilvl w:val="0"/>
          <w:numId w:val="3"/>
        </w:numPr>
        <w:spacing w:after="0" w:line="360" w:lineRule="auto"/>
        <w:ind w:left="360"/>
        <w:jc w:val="both"/>
        <w:rPr>
          <w:rFonts w:ascii="Arial" w:hAnsi="Arial" w:cs="Arial"/>
          <w:sz w:val="24"/>
          <w:szCs w:val="24"/>
          <w:lang w:val="en-ZA"/>
        </w:rPr>
      </w:pPr>
      <w:r w:rsidRPr="00564254">
        <w:rPr>
          <w:rFonts w:ascii="Arial" w:hAnsi="Arial" w:cs="Arial"/>
          <w:sz w:val="24"/>
          <w:szCs w:val="24"/>
          <w:lang w:val="en-ZA"/>
        </w:rPr>
        <w:t>The power outages randomly happens across all days and hours.</w:t>
      </w:r>
    </w:p>
    <w:p w:rsidR="00A56FAE" w:rsidRPr="00564254" w:rsidRDefault="00A56FAE" w:rsidP="00564254">
      <w:pPr>
        <w:tabs>
          <w:tab w:val="left" w:pos="3960"/>
        </w:tabs>
        <w:spacing w:line="360" w:lineRule="auto"/>
        <w:jc w:val="both"/>
        <w:rPr>
          <w:rFonts w:ascii="Arial" w:hAnsi="Arial" w:cs="Arial"/>
        </w:rPr>
      </w:pPr>
    </w:p>
    <w:p w:rsidR="004F6EC1" w:rsidRPr="00564254" w:rsidRDefault="003A601F" w:rsidP="00564254">
      <w:pPr>
        <w:pStyle w:val="ColorfulList-Accent1"/>
        <w:tabs>
          <w:tab w:val="left" w:pos="3960"/>
        </w:tabs>
        <w:spacing w:after="0" w:line="360" w:lineRule="auto"/>
        <w:ind w:hanging="720"/>
        <w:jc w:val="both"/>
        <w:rPr>
          <w:rFonts w:ascii="Arial" w:hAnsi="Arial" w:cs="Arial"/>
          <w:sz w:val="24"/>
          <w:szCs w:val="24"/>
          <w:lang w:val="en-US"/>
        </w:rPr>
      </w:pPr>
      <w:r w:rsidRPr="00564254">
        <w:rPr>
          <w:rFonts w:ascii="Arial" w:hAnsi="Arial" w:cs="Arial"/>
          <w:sz w:val="24"/>
          <w:szCs w:val="24"/>
        </w:rPr>
        <w:t>(3</w:t>
      </w:r>
      <w:r w:rsidR="00A56FAE" w:rsidRPr="00564254">
        <w:rPr>
          <w:rFonts w:ascii="Arial" w:hAnsi="Arial" w:cs="Arial"/>
          <w:sz w:val="24"/>
          <w:szCs w:val="24"/>
        </w:rPr>
        <w:t xml:space="preserve">) </w:t>
      </w:r>
      <w:r w:rsidR="00A56FAE" w:rsidRPr="00564254">
        <w:rPr>
          <w:rFonts w:ascii="Arial" w:hAnsi="Arial" w:cs="Arial"/>
          <w:sz w:val="24"/>
          <w:szCs w:val="24"/>
          <w:lang w:val="en-US"/>
        </w:rPr>
        <w:t xml:space="preserve"> </w:t>
      </w:r>
      <w:r w:rsidR="00246BFD" w:rsidRPr="00564254">
        <w:rPr>
          <w:rFonts w:ascii="Arial" w:hAnsi="Arial" w:cs="Arial"/>
          <w:sz w:val="24"/>
          <w:szCs w:val="24"/>
          <w:lang w:val="en-US"/>
        </w:rPr>
        <w:t>(a)</w:t>
      </w:r>
    </w:p>
    <w:p w:rsidR="00A56FAE" w:rsidRPr="00564254" w:rsidRDefault="004F6EC1" w:rsidP="00564254">
      <w:pPr>
        <w:pStyle w:val="ColorfulList-Accent1"/>
        <w:spacing w:line="360" w:lineRule="auto"/>
        <w:ind w:left="450" w:hanging="360"/>
        <w:jc w:val="both"/>
        <w:rPr>
          <w:rFonts w:ascii="Arial" w:hAnsi="Arial" w:cs="Arial"/>
          <w:color w:val="FF0000"/>
          <w:sz w:val="24"/>
          <w:szCs w:val="24"/>
          <w:lang w:val="en-ZA"/>
        </w:rPr>
      </w:pPr>
      <w:r w:rsidRPr="00564254">
        <w:rPr>
          <w:rFonts w:ascii="Arial" w:hAnsi="Arial" w:cs="Arial"/>
          <w:sz w:val="24"/>
          <w:szCs w:val="24"/>
          <w:lang w:val="en-ZA"/>
        </w:rPr>
        <w:t>(i)</w:t>
      </w:r>
      <w:r w:rsidRPr="00564254">
        <w:rPr>
          <w:rFonts w:ascii="Arial" w:hAnsi="Arial" w:cs="Arial"/>
          <w:sz w:val="24"/>
          <w:szCs w:val="24"/>
          <w:lang w:val="en-ZA"/>
        </w:rPr>
        <w:tab/>
      </w:r>
      <w:r w:rsidR="00A56FAE" w:rsidRPr="00564254">
        <w:rPr>
          <w:rFonts w:ascii="Arial" w:hAnsi="Arial" w:cs="Arial"/>
          <w:sz w:val="24"/>
          <w:szCs w:val="24"/>
          <w:lang w:val="en-ZA"/>
        </w:rPr>
        <w:t>The main substation (Germiston North Intake Substation) supplying the areas is being upgraded at the moment. The project started in January 2017 and is expected to run until the end of 2018. The substation is being completely upgraded with new transformers and switchgear. In addition to the upgrading of the main substation, the Municipality has identified ageing and frequently failing equipment (mainly medium voltage underground cables) to be refurbished this financial year. Tenders for underground cables (supply and install) are in place. Material already ordered in July 2017 and projects expected to run from October 2017 to June 2018.</w:t>
      </w:r>
    </w:p>
    <w:p w:rsidR="00AC018C" w:rsidRPr="00564254" w:rsidRDefault="00AC018C" w:rsidP="00564254">
      <w:pPr>
        <w:pStyle w:val="ColorfulList-Accent1"/>
        <w:tabs>
          <w:tab w:val="left" w:pos="1350"/>
        </w:tabs>
        <w:spacing w:line="360" w:lineRule="auto"/>
        <w:ind w:left="2896"/>
        <w:jc w:val="both"/>
        <w:rPr>
          <w:rFonts w:ascii="Arial" w:hAnsi="Arial" w:cs="Arial"/>
          <w:sz w:val="24"/>
          <w:szCs w:val="24"/>
          <w:lang w:val="en-ZA"/>
        </w:rPr>
      </w:pPr>
    </w:p>
    <w:p w:rsidR="00A56FAE" w:rsidRPr="00564254" w:rsidRDefault="00A56FAE" w:rsidP="00564254">
      <w:pPr>
        <w:pStyle w:val="ColorfulList-Accent1"/>
        <w:numPr>
          <w:ilvl w:val="0"/>
          <w:numId w:val="12"/>
        </w:numPr>
        <w:tabs>
          <w:tab w:val="left" w:pos="0"/>
        </w:tabs>
        <w:spacing w:line="360" w:lineRule="auto"/>
        <w:ind w:left="450" w:hanging="450"/>
        <w:jc w:val="both"/>
        <w:rPr>
          <w:rFonts w:ascii="Arial" w:hAnsi="Arial" w:cs="Arial"/>
          <w:sz w:val="24"/>
          <w:szCs w:val="24"/>
          <w:lang w:val="en-ZA"/>
        </w:rPr>
      </w:pPr>
      <w:r w:rsidRPr="00564254">
        <w:rPr>
          <w:rFonts w:ascii="Arial" w:hAnsi="Arial" w:cs="Arial"/>
          <w:sz w:val="24"/>
          <w:szCs w:val="24"/>
          <w:lang w:val="en-ZA"/>
        </w:rPr>
        <w:t>Upgrading of main substation</w:t>
      </w:r>
      <w:r w:rsidRPr="00564254">
        <w:rPr>
          <w:rFonts w:ascii="Arial" w:hAnsi="Arial" w:cs="Arial"/>
          <w:sz w:val="24"/>
          <w:szCs w:val="24"/>
        </w:rPr>
        <w:t xml:space="preserve"> </w:t>
      </w:r>
      <w:r w:rsidRPr="00564254">
        <w:rPr>
          <w:rFonts w:ascii="Arial" w:hAnsi="Arial" w:cs="Arial"/>
          <w:sz w:val="24"/>
          <w:szCs w:val="24"/>
          <w:lang w:val="en-ZA"/>
        </w:rPr>
        <w:t>started in January 2017 and is expected to run until the end of 2018. Refurbishment of ageing and frequently failing medium voltage underground cables expected to run from October 2017 to June 2018.</w:t>
      </w:r>
    </w:p>
    <w:p w:rsidR="00A56FAE" w:rsidRPr="00564254" w:rsidRDefault="00A56FAE" w:rsidP="00564254">
      <w:pPr>
        <w:pStyle w:val="ColorfulList-Accent1"/>
        <w:tabs>
          <w:tab w:val="left" w:pos="1350"/>
        </w:tabs>
        <w:spacing w:line="360" w:lineRule="auto"/>
        <w:ind w:left="2896"/>
        <w:jc w:val="both"/>
        <w:rPr>
          <w:rFonts w:ascii="Arial" w:hAnsi="Arial" w:cs="Arial"/>
          <w:sz w:val="24"/>
          <w:szCs w:val="24"/>
          <w:lang w:val="en-ZA"/>
        </w:rPr>
      </w:pPr>
    </w:p>
    <w:p w:rsidR="00A56FAE" w:rsidRPr="00564254" w:rsidRDefault="00A56FAE" w:rsidP="00564254">
      <w:pPr>
        <w:pStyle w:val="ColorfulList-Accent1"/>
        <w:numPr>
          <w:ilvl w:val="0"/>
          <w:numId w:val="5"/>
        </w:numPr>
        <w:spacing w:after="0" w:line="360" w:lineRule="auto"/>
        <w:ind w:left="360"/>
        <w:rPr>
          <w:rFonts w:ascii="Arial" w:hAnsi="Arial" w:cs="Arial"/>
          <w:sz w:val="24"/>
          <w:szCs w:val="24"/>
        </w:rPr>
      </w:pPr>
      <w:r w:rsidRPr="00564254">
        <w:rPr>
          <w:rFonts w:ascii="Arial" w:hAnsi="Arial" w:cs="Arial"/>
          <w:sz w:val="24"/>
          <w:szCs w:val="24"/>
          <w:lang w:val="en-ZA"/>
        </w:rPr>
        <w:t xml:space="preserve">The upgrading of the main substation (Germiston North Intake Substation) is projected at R120 million. The refurbishment of ageing and frequently failing equipment (medium voltage underground cables) for the area is projected at R25 million for the 2017/2018 financial year. </w:t>
      </w:r>
    </w:p>
    <w:p w:rsidR="009308CB" w:rsidRPr="00564254" w:rsidRDefault="009308CB" w:rsidP="00564254">
      <w:pPr>
        <w:pStyle w:val="ColorfulList-Accent1"/>
        <w:spacing w:after="0" w:line="360" w:lineRule="auto"/>
        <w:ind w:left="360"/>
        <w:rPr>
          <w:rFonts w:ascii="Arial" w:hAnsi="Arial" w:cs="Arial"/>
          <w:sz w:val="24"/>
          <w:szCs w:val="24"/>
        </w:rPr>
      </w:pPr>
    </w:p>
    <w:p w:rsidR="003A601F" w:rsidRPr="00564254" w:rsidRDefault="00A56FAE" w:rsidP="00564254">
      <w:pPr>
        <w:pStyle w:val="ColorfulList-Accent1"/>
        <w:numPr>
          <w:ilvl w:val="0"/>
          <w:numId w:val="5"/>
        </w:numPr>
        <w:spacing w:after="0" w:line="360" w:lineRule="auto"/>
        <w:ind w:left="360"/>
        <w:rPr>
          <w:rFonts w:ascii="Arial" w:hAnsi="Arial" w:cs="Arial"/>
          <w:sz w:val="24"/>
          <w:szCs w:val="24"/>
        </w:rPr>
      </w:pPr>
      <w:r w:rsidRPr="00564254">
        <w:rPr>
          <w:rFonts w:ascii="Arial" w:hAnsi="Arial" w:cs="Arial"/>
          <w:sz w:val="24"/>
          <w:szCs w:val="24"/>
          <w:lang w:val="en-ZA"/>
        </w:rPr>
        <w:t>The upgrading of the main substation (Germiston North Intake Substation) is budgeted at R120 million. The refurbishment of ageing and frequently failing equipment (medium voltage underground cables) for the area is budgeted at R25 million for the 2017/2018 financial year.</w:t>
      </w:r>
    </w:p>
    <w:p w:rsidR="003A601F" w:rsidRPr="00564254" w:rsidRDefault="003A601F" w:rsidP="00564254">
      <w:pPr>
        <w:pStyle w:val="ColorfulList-Accent1"/>
        <w:spacing w:after="0" w:line="360" w:lineRule="auto"/>
        <w:rPr>
          <w:rFonts w:ascii="Arial" w:hAnsi="Arial" w:cs="Arial"/>
          <w:sz w:val="24"/>
          <w:szCs w:val="24"/>
          <w:lang w:val="en-ZA"/>
        </w:rPr>
      </w:pPr>
    </w:p>
    <w:p w:rsidR="00A56FAE" w:rsidRPr="00564254" w:rsidRDefault="00A56FAE" w:rsidP="00564254">
      <w:pPr>
        <w:pStyle w:val="ColorfulList-Accent1"/>
        <w:spacing w:after="0" w:line="360" w:lineRule="auto"/>
        <w:ind w:left="-90"/>
        <w:rPr>
          <w:rFonts w:ascii="Arial" w:hAnsi="Arial" w:cs="Arial"/>
          <w:sz w:val="24"/>
          <w:szCs w:val="24"/>
        </w:rPr>
      </w:pPr>
      <w:r w:rsidRPr="00564254">
        <w:rPr>
          <w:rFonts w:ascii="Arial" w:hAnsi="Arial" w:cs="Arial"/>
          <w:sz w:val="24"/>
          <w:szCs w:val="24"/>
          <w:lang w:val="en-ZA"/>
        </w:rPr>
        <w:t xml:space="preserve"> </w:t>
      </w:r>
    </w:p>
    <w:p w:rsidR="00EE6208" w:rsidRPr="00564254" w:rsidRDefault="00EE6208" w:rsidP="00564254">
      <w:pPr>
        <w:pStyle w:val="ColorfulList-Accent1"/>
        <w:spacing w:after="0" w:line="360" w:lineRule="auto"/>
        <w:ind w:left="0"/>
        <w:rPr>
          <w:rFonts w:ascii="Arial" w:hAnsi="Arial" w:cs="Arial"/>
          <w:sz w:val="24"/>
          <w:szCs w:val="24"/>
        </w:rPr>
      </w:pPr>
    </w:p>
    <w:p w:rsidR="00EE6208" w:rsidRPr="00564254" w:rsidRDefault="00EE6208" w:rsidP="00564254">
      <w:pPr>
        <w:pStyle w:val="ColorfulList-Accent1"/>
        <w:spacing w:after="0" w:line="360" w:lineRule="auto"/>
        <w:ind w:left="360"/>
        <w:rPr>
          <w:rFonts w:ascii="Arial" w:hAnsi="Arial" w:cs="Arial"/>
          <w:sz w:val="24"/>
          <w:szCs w:val="24"/>
        </w:rPr>
      </w:pPr>
    </w:p>
    <w:p w:rsidR="00EE6208" w:rsidRPr="00564254" w:rsidRDefault="00EE6208" w:rsidP="00564254">
      <w:pPr>
        <w:spacing w:line="360" w:lineRule="auto"/>
        <w:rPr>
          <w:rFonts w:ascii="Arial" w:hAnsi="Arial" w:cs="Arial"/>
        </w:rPr>
      </w:pPr>
    </w:p>
    <w:p w:rsidR="00004642" w:rsidRPr="00564254" w:rsidRDefault="00004642" w:rsidP="00564254">
      <w:pPr>
        <w:spacing w:line="360" w:lineRule="auto"/>
        <w:rPr>
          <w:rFonts w:ascii="Arial" w:hAnsi="Arial" w:cs="Arial"/>
        </w:rPr>
      </w:pPr>
    </w:p>
    <w:p w:rsidR="00004642" w:rsidRPr="00564254" w:rsidRDefault="00004642" w:rsidP="00564254">
      <w:pPr>
        <w:spacing w:line="360" w:lineRule="auto"/>
        <w:rPr>
          <w:rFonts w:ascii="Arial" w:hAnsi="Arial" w:cs="Arial"/>
        </w:rPr>
      </w:pPr>
    </w:p>
    <w:p w:rsidR="00004642" w:rsidRPr="00564254" w:rsidRDefault="00004642" w:rsidP="00564254">
      <w:pPr>
        <w:spacing w:line="360" w:lineRule="auto"/>
        <w:rPr>
          <w:rFonts w:ascii="Arial" w:hAnsi="Arial" w:cs="Arial"/>
        </w:rPr>
      </w:pPr>
    </w:p>
    <w:p w:rsidR="00004642" w:rsidRPr="00564254" w:rsidRDefault="00004642" w:rsidP="00564254">
      <w:pPr>
        <w:spacing w:line="360" w:lineRule="auto"/>
        <w:rPr>
          <w:rFonts w:ascii="Arial" w:hAnsi="Arial" w:cs="Arial"/>
        </w:rPr>
      </w:pPr>
    </w:p>
    <w:p w:rsidR="00004642" w:rsidRPr="00564254" w:rsidRDefault="00004642" w:rsidP="00564254">
      <w:pPr>
        <w:spacing w:line="360" w:lineRule="auto"/>
        <w:rPr>
          <w:rFonts w:ascii="Arial" w:hAnsi="Arial" w:cs="Arial"/>
        </w:rPr>
      </w:pPr>
    </w:p>
    <w:p w:rsidR="00004642" w:rsidRPr="00564254" w:rsidRDefault="00004642" w:rsidP="00564254">
      <w:pPr>
        <w:spacing w:line="360" w:lineRule="auto"/>
        <w:rPr>
          <w:rFonts w:ascii="Arial" w:hAnsi="Arial" w:cs="Arial"/>
        </w:rPr>
      </w:pPr>
    </w:p>
    <w:p w:rsidR="00004642" w:rsidRPr="00564254" w:rsidRDefault="00004642" w:rsidP="00564254">
      <w:pPr>
        <w:spacing w:line="360" w:lineRule="auto"/>
        <w:rPr>
          <w:rFonts w:ascii="Arial" w:hAnsi="Arial" w:cs="Arial"/>
        </w:rPr>
      </w:pPr>
    </w:p>
    <w:p w:rsidR="00004642" w:rsidRDefault="00004642" w:rsidP="00564254">
      <w:pPr>
        <w:spacing w:line="360" w:lineRule="auto"/>
        <w:rPr>
          <w:rFonts w:ascii="Arial" w:hAnsi="Arial" w:cs="Arial"/>
        </w:rPr>
      </w:pPr>
    </w:p>
    <w:p w:rsidR="00564254" w:rsidRDefault="00564254" w:rsidP="00564254">
      <w:pPr>
        <w:spacing w:line="360" w:lineRule="auto"/>
        <w:rPr>
          <w:rFonts w:ascii="Arial" w:hAnsi="Arial" w:cs="Arial"/>
        </w:rPr>
      </w:pPr>
    </w:p>
    <w:p w:rsidR="00564254" w:rsidRDefault="00564254" w:rsidP="00564254">
      <w:pPr>
        <w:spacing w:line="360" w:lineRule="auto"/>
        <w:rPr>
          <w:rFonts w:ascii="Arial" w:hAnsi="Arial" w:cs="Arial"/>
        </w:rPr>
      </w:pPr>
    </w:p>
    <w:p w:rsidR="00564254" w:rsidRPr="00564254" w:rsidRDefault="00564254" w:rsidP="00564254">
      <w:pPr>
        <w:spacing w:line="360" w:lineRule="auto"/>
        <w:rPr>
          <w:rFonts w:ascii="Arial" w:hAnsi="Arial" w:cs="Arial"/>
        </w:rPr>
      </w:pPr>
    </w:p>
    <w:p w:rsidR="00004642" w:rsidRPr="00564254" w:rsidRDefault="00004642" w:rsidP="00564254">
      <w:pPr>
        <w:spacing w:line="360" w:lineRule="auto"/>
        <w:rPr>
          <w:rFonts w:ascii="Arial" w:hAnsi="Arial" w:cs="Arial"/>
        </w:rPr>
      </w:pPr>
    </w:p>
    <w:p w:rsidR="00004642" w:rsidRPr="00564254" w:rsidRDefault="00004642" w:rsidP="00564254">
      <w:pPr>
        <w:spacing w:line="360" w:lineRule="auto"/>
        <w:rPr>
          <w:rFonts w:ascii="Arial" w:hAnsi="Arial" w:cs="Arial"/>
        </w:rPr>
      </w:pPr>
    </w:p>
    <w:p w:rsidR="00004642" w:rsidRPr="00564254" w:rsidRDefault="00004642" w:rsidP="00564254">
      <w:pPr>
        <w:spacing w:line="360" w:lineRule="auto"/>
        <w:rPr>
          <w:rFonts w:ascii="Arial" w:hAnsi="Arial" w:cs="Arial"/>
        </w:rPr>
      </w:pPr>
    </w:p>
    <w:p w:rsidR="00004642" w:rsidRPr="00564254" w:rsidRDefault="00004642" w:rsidP="00564254">
      <w:pPr>
        <w:spacing w:line="360" w:lineRule="auto"/>
        <w:rPr>
          <w:rFonts w:ascii="Arial" w:hAnsi="Arial" w:cs="Arial"/>
        </w:rPr>
      </w:pPr>
    </w:p>
    <w:p w:rsidR="00004642" w:rsidRPr="00564254" w:rsidRDefault="00004642" w:rsidP="00564254">
      <w:pPr>
        <w:spacing w:line="360" w:lineRule="auto"/>
        <w:rPr>
          <w:rFonts w:ascii="Arial" w:hAnsi="Arial" w:cs="Arial"/>
        </w:rPr>
      </w:pPr>
    </w:p>
    <w:p w:rsidR="00004642" w:rsidRPr="00564254" w:rsidRDefault="00004642" w:rsidP="00564254">
      <w:pPr>
        <w:spacing w:line="360" w:lineRule="auto"/>
        <w:rPr>
          <w:rFonts w:ascii="Arial" w:hAnsi="Arial" w:cs="Arial"/>
        </w:rPr>
      </w:pPr>
    </w:p>
    <w:p w:rsidR="00004642" w:rsidRPr="00564254" w:rsidRDefault="00004642" w:rsidP="00564254">
      <w:pPr>
        <w:spacing w:line="360" w:lineRule="auto"/>
        <w:rPr>
          <w:rFonts w:ascii="Arial" w:hAnsi="Arial" w:cs="Arial"/>
        </w:rPr>
      </w:pPr>
    </w:p>
    <w:sectPr w:rsidR="00004642" w:rsidRPr="00564254"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91E" w:rsidRDefault="00B6691E">
      <w:r>
        <w:separator/>
      </w:r>
    </w:p>
  </w:endnote>
  <w:endnote w:type="continuationSeparator" w:id="0">
    <w:p w:rsidR="00B6691E" w:rsidRDefault="00B669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91E" w:rsidRDefault="00B6691E">
      <w:r>
        <w:separator/>
      </w:r>
    </w:p>
  </w:footnote>
  <w:footnote w:type="continuationSeparator" w:id="0">
    <w:p w:rsidR="00B6691E" w:rsidRDefault="00B669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978CA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2">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3">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4">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302664A8"/>
    <w:multiLevelType w:val="hybridMultilevel"/>
    <w:tmpl w:val="CBB2E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7">
    <w:nsid w:val="531231D5"/>
    <w:multiLevelType w:val="hybridMultilevel"/>
    <w:tmpl w:val="136A40D6"/>
    <w:lvl w:ilvl="0" w:tplc="D59C6372">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9">
    <w:nsid w:val="67E17464"/>
    <w:multiLevelType w:val="hybridMultilevel"/>
    <w:tmpl w:val="7E6C66DA"/>
    <w:lvl w:ilvl="0" w:tplc="74CE64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E015EDE"/>
    <w:multiLevelType w:val="hybridMultilevel"/>
    <w:tmpl w:val="D150734C"/>
    <w:lvl w:ilvl="0" w:tplc="39000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12">
    <w:nsid w:val="7D032BBF"/>
    <w:multiLevelType w:val="hybridMultilevel"/>
    <w:tmpl w:val="50C64DD4"/>
    <w:lvl w:ilvl="0" w:tplc="94E8135E">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8"/>
  </w:num>
  <w:num w:numId="5">
    <w:abstractNumId w:val="6"/>
  </w:num>
  <w:num w:numId="6">
    <w:abstractNumId w:val="1"/>
  </w:num>
  <w:num w:numId="7">
    <w:abstractNumId w:val="2"/>
  </w:num>
  <w:num w:numId="8">
    <w:abstractNumId w:val="7"/>
  </w:num>
  <w:num w:numId="9">
    <w:abstractNumId w:val="10"/>
  </w:num>
  <w:num w:numId="10">
    <w:abstractNumId w:val="9"/>
  </w:num>
  <w:num w:numId="11">
    <w:abstractNumId w:val="5"/>
  </w:num>
  <w:num w:numId="12">
    <w:abstractNumId w:val="12"/>
  </w:num>
  <w:num w:numId="13">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proofState w:grammar="clean"/>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4642"/>
    <w:rsid w:val="000065C8"/>
    <w:rsid w:val="00014B05"/>
    <w:rsid w:val="00017071"/>
    <w:rsid w:val="00020887"/>
    <w:rsid w:val="000266F7"/>
    <w:rsid w:val="00047ADE"/>
    <w:rsid w:val="00053DD6"/>
    <w:rsid w:val="00071841"/>
    <w:rsid w:val="000867AC"/>
    <w:rsid w:val="000954AC"/>
    <w:rsid w:val="000B21E6"/>
    <w:rsid w:val="000C4CF5"/>
    <w:rsid w:val="000D0D33"/>
    <w:rsid w:val="000D2C53"/>
    <w:rsid w:val="000D4AA5"/>
    <w:rsid w:val="001003CB"/>
    <w:rsid w:val="00103505"/>
    <w:rsid w:val="00117F01"/>
    <w:rsid w:val="001314FC"/>
    <w:rsid w:val="00147245"/>
    <w:rsid w:val="00156E9A"/>
    <w:rsid w:val="00171B43"/>
    <w:rsid w:val="00173C60"/>
    <w:rsid w:val="00173CFB"/>
    <w:rsid w:val="00181508"/>
    <w:rsid w:val="001B0C9C"/>
    <w:rsid w:val="001D6ADE"/>
    <w:rsid w:val="001E3AD9"/>
    <w:rsid w:val="001E69BF"/>
    <w:rsid w:val="001E719B"/>
    <w:rsid w:val="001F3FEB"/>
    <w:rsid w:val="0021288B"/>
    <w:rsid w:val="00221E72"/>
    <w:rsid w:val="00231770"/>
    <w:rsid w:val="0024137E"/>
    <w:rsid w:val="00246BFD"/>
    <w:rsid w:val="00247292"/>
    <w:rsid w:val="00251AC2"/>
    <w:rsid w:val="002576DD"/>
    <w:rsid w:val="00273F8F"/>
    <w:rsid w:val="00275A36"/>
    <w:rsid w:val="002816D5"/>
    <w:rsid w:val="0028569C"/>
    <w:rsid w:val="002949F2"/>
    <w:rsid w:val="002953EC"/>
    <w:rsid w:val="002A052C"/>
    <w:rsid w:val="002A42F2"/>
    <w:rsid w:val="002A645A"/>
    <w:rsid w:val="002A78D0"/>
    <w:rsid w:val="002B2990"/>
    <w:rsid w:val="002C4244"/>
    <w:rsid w:val="002C5792"/>
    <w:rsid w:val="002D40CD"/>
    <w:rsid w:val="002D6EFA"/>
    <w:rsid w:val="002F42F4"/>
    <w:rsid w:val="0031080D"/>
    <w:rsid w:val="00314E06"/>
    <w:rsid w:val="0031617F"/>
    <w:rsid w:val="00321803"/>
    <w:rsid w:val="00322981"/>
    <w:rsid w:val="00323310"/>
    <w:rsid w:val="003309DC"/>
    <w:rsid w:val="00357A0E"/>
    <w:rsid w:val="00357BF2"/>
    <w:rsid w:val="003610B7"/>
    <w:rsid w:val="003673D3"/>
    <w:rsid w:val="00374D93"/>
    <w:rsid w:val="00381451"/>
    <w:rsid w:val="00382DA0"/>
    <w:rsid w:val="003907A9"/>
    <w:rsid w:val="003A0DE9"/>
    <w:rsid w:val="003A35C1"/>
    <w:rsid w:val="003A601F"/>
    <w:rsid w:val="003D0FF1"/>
    <w:rsid w:val="003D4D79"/>
    <w:rsid w:val="003F542A"/>
    <w:rsid w:val="003F69DC"/>
    <w:rsid w:val="004325C6"/>
    <w:rsid w:val="004429D3"/>
    <w:rsid w:val="004779EE"/>
    <w:rsid w:val="00495467"/>
    <w:rsid w:val="0049779D"/>
    <w:rsid w:val="004A1895"/>
    <w:rsid w:val="004A4C5A"/>
    <w:rsid w:val="004B2C14"/>
    <w:rsid w:val="004B4AB0"/>
    <w:rsid w:val="004B5A08"/>
    <w:rsid w:val="004C01A1"/>
    <w:rsid w:val="004C109A"/>
    <w:rsid w:val="004D2ABF"/>
    <w:rsid w:val="004F56BA"/>
    <w:rsid w:val="004F6EC1"/>
    <w:rsid w:val="00501CA9"/>
    <w:rsid w:val="0050428A"/>
    <w:rsid w:val="00511169"/>
    <w:rsid w:val="005229E8"/>
    <w:rsid w:val="0053047F"/>
    <w:rsid w:val="00537AA9"/>
    <w:rsid w:val="00542AD1"/>
    <w:rsid w:val="0054419A"/>
    <w:rsid w:val="00564254"/>
    <w:rsid w:val="00574FD3"/>
    <w:rsid w:val="005806D7"/>
    <w:rsid w:val="00584015"/>
    <w:rsid w:val="005A0136"/>
    <w:rsid w:val="005B17EC"/>
    <w:rsid w:val="005B47B3"/>
    <w:rsid w:val="005D012F"/>
    <w:rsid w:val="005D0762"/>
    <w:rsid w:val="005D0D35"/>
    <w:rsid w:val="005F13AA"/>
    <w:rsid w:val="005F2723"/>
    <w:rsid w:val="005F5EB3"/>
    <w:rsid w:val="005F60DB"/>
    <w:rsid w:val="00602514"/>
    <w:rsid w:val="0060676D"/>
    <w:rsid w:val="0061676A"/>
    <w:rsid w:val="00621797"/>
    <w:rsid w:val="006264C5"/>
    <w:rsid w:val="006275F4"/>
    <w:rsid w:val="00630CDB"/>
    <w:rsid w:val="00647ED0"/>
    <w:rsid w:val="0066291D"/>
    <w:rsid w:val="00664654"/>
    <w:rsid w:val="0067399D"/>
    <w:rsid w:val="00685C76"/>
    <w:rsid w:val="006A5F3A"/>
    <w:rsid w:val="006B06EF"/>
    <w:rsid w:val="006D3C21"/>
    <w:rsid w:val="006D5BC7"/>
    <w:rsid w:val="006E04FF"/>
    <w:rsid w:val="006F4E64"/>
    <w:rsid w:val="007105DF"/>
    <w:rsid w:val="00724A26"/>
    <w:rsid w:val="007261E1"/>
    <w:rsid w:val="00730F5F"/>
    <w:rsid w:val="00746C5F"/>
    <w:rsid w:val="00752A4A"/>
    <w:rsid w:val="00765941"/>
    <w:rsid w:val="007670C4"/>
    <w:rsid w:val="00770FE4"/>
    <w:rsid w:val="00781C2D"/>
    <w:rsid w:val="00784697"/>
    <w:rsid w:val="00793053"/>
    <w:rsid w:val="007B5563"/>
    <w:rsid w:val="007C47EC"/>
    <w:rsid w:val="007D22C5"/>
    <w:rsid w:val="007D4F67"/>
    <w:rsid w:val="007D54D2"/>
    <w:rsid w:val="007D6AEE"/>
    <w:rsid w:val="007F55E8"/>
    <w:rsid w:val="00801607"/>
    <w:rsid w:val="00803A7E"/>
    <w:rsid w:val="0080476D"/>
    <w:rsid w:val="00806A06"/>
    <w:rsid w:val="00817667"/>
    <w:rsid w:val="00821C02"/>
    <w:rsid w:val="008275AD"/>
    <w:rsid w:val="00843814"/>
    <w:rsid w:val="008528BF"/>
    <w:rsid w:val="00896132"/>
    <w:rsid w:val="008A1477"/>
    <w:rsid w:val="008A2D01"/>
    <w:rsid w:val="008B0EB4"/>
    <w:rsid w:val="008C3B42"/>
    <w:rsid w:val="008D003B"/>
    <w:rsid w:val="008D5EBF"/>
    <w:rsid w:val="008E3E6B"/>
    <w:rsid w:val="008F6740"/>
    <w:rsid w:val="009053AF"/>
    <w:rsid w:val="00906EB4"/>
    <w:rsid w:val="00913083"/>
    <w:rsid w:val="009308CB"/>
    <w:rsid w:val="00935A33"/>
    <w:rsid w:val="00954992"/>
    <w:rsid w:val="00955D50"/>
    <w:rsid w:val="009578DB"/>
    <w:rsid w:val="00965EF5"/>
    <w:rsid w:val="00966064"/>
    <w:rsid w:val="00971142"/>
    <w:rsid w:val="00977C5F"/>
    <w:rsid w:val="009822D6"/>
    <w:rsid w:val="00985871"/>
    <w:rsid w:val="00991283"/>
    <w:rsid w:val="009B118B"/>
    <w:rsid w:val="009B3ADB"/>
    <w:rsid w:val="009C2F40"/>
    <w:rsid w:val="00A00BB0"/>
    <w:rsid w:val="00A02D47"/>
    <w:rsid w:val="00A03A37"/>
    <w:rsid w:val="00A167C8"/>
    <w:rsid w:val="00A2077C"/>
    <w:rsid w:val="00A26283"/>
    <w:rsid w:val="00A35576"/>
    <w:rsid w:val="00A42B41"/>
    <w:rsid w:val="00A47B22"/>
    <w:rsid w:val="00A527D0"/>
    <w:rsid w:val="00A56FAE"/>
    <w:rsid w:val="00A719C7"/>
    <w:rsid w:val="00A71D7F"/>
    <w:rsid w:val="00A72DE3"/>
    <w:rsid w:val="00A820EB"/>
    <w:rsid w:val="00A87412"/>
    <w:rsid w:val="00A96E8D"/>
    <w:rsid w:val="00A977E6"/>
    <w:rsid w:val="00AB5B26"/>
    <w:rsid w:val="00AC018C"/>
    <w:rsid w:val="00AC3E7E"/>
    <w:rsid w:val="00AC4917"/>
    <w:rsid w:val="00AD2E06"/>
    <w:rsid w:val="00AD717A"/>
    <w:rsid w:val="00AD7EEF"/>
    <w:rsid w:val="00AE31F1"/>
    <w:rsid w:val="00AE5165"/>
    <w:rsid w:val="00B05E06"/>
    <w:rsid w:val="00B125C0"/>
    <w:rsid w:val="00B17C64"/>
    <w:rsid w:val="00B222C7"/>
    <w:rsid w:val="00B22703"/>
    <w:rsid w:val="00B246CC"/>
    <w:rsid w:val="00B2735B"/>
    <w:rsid w:val="00B50F0C"/>
    <w:rsid w:val="00B52585"/>
    <w:rsid w:val="00B549CD"/>
    <w:rsid w:val="00B56EB6"/>
    <w:rsid w:val="00B6542A"/>
    <w:rsid w:val="00B6691E"/>
    <w:rsid w:val="00BB0F5F"/>
    <w:rsid w:val="00BC6EC8"/>
    <w:rsid w:val="00BC70D5"/>
    <w:rsid w:val="00BC7A56"/>
    <w:rsid w:val="00BE3B1F"/>
    <w:rsid w:val="00C11E38"/>
    <w:rsid w:val="00C20D49"/>
    <w:rsid w:val="00C246AC"/>
    <w:rsid w:val="00C33C12"/>
    <w:rsid w:val="00C55762"/>
    <w:rsid w:val="00C563C3"/>
    <w:rsid w:val="00C67B3E"/>
    <w:rsid w:val="00C86068"/>
    <w:rsid w:val="00CB3451"/>
    <w:rsid w:val="00CD02AE"/>
    <w:rsid w:val="00CD652C"/>
    <w:rsid w:val="00CD6769"/>
    <w:rsid w:val="00CE1F98"/>
    <w:rsid w:val="00CE668E"/>
    <w:rsid w:val="00D06842"/>
    <w:rsid w:val="00D06D3F"/>
    <w:rsid w:val="00D2427D"/>
    <w:rsid w:val="00D319E8"/>
    <w:rsid w:val="00D339A2"/>
    <w:rsid w:val="00D342CF"/>
    <w:rsid w:val="00D3488B"/>
    <w:rsid w:val="00D4293B"/>
    <w:rsid w:val="00D43C90"/>
    <w:rsid w:val="00D5130B"/>
    <w:rsid w:val="00D724ED"/>
    <w:rsid w:val="00D748C7"/>
    <w:rsid w:val="00D803C9"/>
    <w:rsid w:val="00D80A85"/>
    <w:rsid w:val="00D9186C"/>
    <w:rsid w:val="00DA17B5"/>
    <w:rsid w:val="00DA4A8C"/>
    <w:rsid w:val="00DB6375"/>
    <w:rsid w:val="00DC2641"/>
    <w:rsid w:val="00DC46BA"/>
    <w:rsid w:val="00DC609A"/>
    <w:rsid w:val="00DD0EA8"/>
    <w:rsid w:val="00DD560B"/>
    <w:rsid w:val="00DF3A01"/>
    <w:rsid w:val="00DF4C93"/>
    <w:rsid w:val="00E01507"/>
    <w:rsid w:val="00E06BE1"/>
    <w:rsid w:val="00E23588"/>
    <w:rsid w:val="00E24A23"/>
    <w:rsid w:val="00E25CDA"/>
    <w:rsid w:val="00E26F93"/>
    <w:rsid w:val="00E55ABF"/>
    <w:rsid w:val="00E738DE"/>
    <w:rsid w:val="00E928F5"/>
    <w:rsid w:val="00ED39AF"/>
    <w:rsid w:val="00ED3F3F"/>
    <w:rsid w:val="00EE0008"/>
    <w:rsid w:val="00EE6208"/>
    <w:rsid w:val="00EF438B"/>
    <w:rsid w:val="00EF7791"/>
    <w:rsid w:val="00F058E6"/>
    <w:rsid w:val="00F1593F"/>
    <w:rsid w:val="00F250B3"/>
    <w:rsid w:val="00F2541C"/>
    <w:rsid w:val="00F3348F"/>
    <w:rsid w:val="00F47B2B"/>
    <w:rsid w:val="00F5318C"/>
    <w:rsid w:val="00F632BE"/>
    <w:rsid w:val="00F743B3"/>
    <w:rsid w:val="00F746E9"/>
    <w:rsid w:val="00F7571F"/>
    <w:rsid w:val="00F76DC6"/>
    <w:rsid w:val="00F77361"/>
    <w:rsid w:val="00F7762F"/>
    <w:rsid w:val="00F80A40"/>
    <w:rsid w:val="00F84D21"/>
    <w:rsid w:val="00F916D5"/>
    <w:rsid w:val="00F97819"/>
    <w:rsid w:val="00FA493B"/>
    <w:rsid w:val="00FA61EC"/>
    <w:rsid w:val="00FA7A84"/>
    <w:rsid w:val="00FB5150"/>
    <w:rsid w:val="00FB6674"/>
    <w:rsid w:val="00FC41DD"/>
    <w:rsid w:val="00FC7E96"/>
    <w:rsid w:val="00FD0924"/>
    <w:rsid w:val="00FD20B5"/>
    <w:rsid w:val="00FD645C"/>
    <w:rsid w:val="00FD6875"/>
    <w:rsid w:val="00FE34F2"/>
    <w:rsid w:val="00FE793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eastAsia="en-US"/>
    </w:rPr>
  </w:style>
  <w:style w:type="paragraph" w:styleId="ColorfulList-Accent1">
    <w:name w:val="Colorful List Accent 1"/>
    <w:aliases w:val="Dot pt,F5 List Paragraph,List Paragraph1,No Spacing1,List Paragraph Char Char Char,Indicator Text,Colorful List - Accent 11,Numbered Para 1,Bullet 1,Bullet Points,List Paragraph2,MAIN CONTENT,Normal numbered,Issue Action POC,3"/>
    <w:basedOn w:val="Normal"/>
    <w:link w:val="ColorfulList-Accent1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ColorfulList-Accent1Char">
    <w:name w:val="Colorful List - Accent 1 Char"/>
    <w:aliases w:val="Dot pt Char,F5 List Paragraph Char,List Paragraph1 Char,No Spacing1 Char,List Paragraph Char Char Char Char,Indicator Text Char,Colorful List - Accent 11 Char,Numbered Para 1 Char,Bullet 1 Char,Bullet Points Char,3 Char"/>
    <w:link w:val="ColorfulList-Accent1"/>
    <w:uiPriority w:val="34"/>
    <w:locked/>
    <w:rsid w:val="00781C2D"/>
    <w:rPr>
      <w:rFonts w:ascii="Calibri" w:eastAsia="Calibri" w:hAnsi="Calibri"/>
      <w:sz w:val="22"/>
      <w:szCs w:val="22"/>
      <w:lang w:val="en-GB"/>
    </w:rPr>
  </w:style>
</w:styles>
</file>

<file path=word/webSettings.xml><?xml version="1.0" encoding="utf-8"?>
<w:webSettings xmlns:r="http://schemas.openxmlformats.org/officeDocument/2006/relationships" xmlns:w="http://schemas.openxmlformats.org/wordprocessingml/2006/main">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CF1C8-AE93-49BD-A013-4594ED6ED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2017-10-19T08:02:00Z</cp:lastPrinted>
  <dcterms:created xsi:type="dcterms:W3CDTF">2017-11-07T08:02:00Z</dcterms:created>
  <dcterms:modified xsi:type="dcterms:W3CDTF">2017-11-07T08:02:00Z</dcterms:modified>
</cp:coreProperties>
</file>