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sidR="00065792">
        <w:rPr>
          <w:rFonts w:cs="Arial"/>
          <w:sz w:val="22"/>
          <w:szCs w:val="22"/>
          <w:u w:val="none"/>
          <w:lang w:val="en-ZA"/>
        </w:rPr>
        <w:t xml:space="preserve">Assembly </w:t>
      </w:r>
    </w:p>
    <w:p w:rsidR="00AF6FE8" w:rsidRDefault="00DD4D78" w:rsidP="00AF6FE8">
      <w:pPr>
        <w:pStyle w:val="Heading6"/>
        <w:spacing w:before="240"/>
        <w:rPr>
          <w:lang w:val="en-ZA"/>
        </w:rPr>
      </w:pPr>
      <w:r w:rsidRPr="00CA3593">
        <w:rPr>
          <w:rFonts w:cs="Arial"/>
          <w:sz w:val="22"/>
          <w:szCs w:val="22"/>
          <w:u w:val="none"/>
          <w:lang w:val="en-ZA"/>
        </w:rPr>
        <w:t xml:space="preserve">Question Number: </w:t>
      </w:r>
      <w:r w:rsidR="00AF6FE8">
        <w:rPr>
          <w:rFonts w:cs="Arial"/>
          <w:sz w:val="22"/>
          <w:szCs w:val="22"/>
          <w:u w:val="none"/>
          <w:lang w:val="en-ZA"/>
        </w:rPr>
        <w:t>2</w:t>
      </w:r>
      <w:r w:rsidR="007B5D04">
        <w:rPr>
          <w:rFonts w:cs="Arial"/>
          <w:sz w:val="22"/>
          <w:szCs w:val="22"/>
          <w:u w:val="none"/>
          <w:lang w:val="en-ZA"/>
        </w:rPr>
        <w:t>20</w:t>
      </w:r>
      <w:r w:rsidR="00B73CF5">
        <w:rPr>
          <w:rFonts w:cs="Arial"/>
          <w:sz w:val="22"/>
          <w:szCs w:val="22"/>
          <w:u w:val="none"/>
          <w:lang w:val="en-ZA"/>
        </w:rPr>
        <w:t>4</w:t>
      </w:r>
    </w:p>
    <w:p w:rsidR="00B73CF5" w:rsidRPr="00B73CF5" w:rsidRDefault="00B73CF5" w:rsidP="00B73CF5">
      <w:pPr>
        <w:spacing w:before="100" w:beforeAutospacing="1" w:after="100" w:afterAutospacing="1" w:line="240" w:lineRule="auto"/>
        <w:ind w:left="816" w:hanging="816"/>
        <w:rPr>
          <w:rFonts w:ascii="Arial" w:hAnsi="Arial" w:cs="Arial"/>
          <w:b/>
          <w:noProof/>
          <w:color w:val="000000" w:themeColor="text1"/>
          <w:lang w:val="af-ZA"/>
        </w:rPr>
      </w:pPr>
      <w:r w:rsidRPr="00B73CF5">
        <w:rPr>
          <w:rFonts w:ascii="Arial" w:hAnsi="Arial" w:cs="Arial"/>
          <w:b/>
          <w:noProof/>
          <w:color w:val="000000" w:themeColor="text1"/>
          <w:lang w:val="af-ZA"/>
        </w:rPr>
        <w:t>2204.</w:t>
      </w:r>
      <w:r w:rsidRPr="00B73CF5">
        <w:rPr>
          <w:rFonts w:ascii="Arial" w:hAnsi="Arial" w:cs="Arial"/>
          <w:b/>
          <w:noProof/>
          <w:color w:val="000000" w:themeColor="text1"/>
          <w:lang w:val="af-ZA"/>
        </w:rPr>
        <w:tab/>
        <w:t>Ms S V Kalyan (DA) to ask the Minister of Transport:</w:t>
      </w:r>
    </w:p>
    <w:p w:rsidR="00B73CF5" w:rsidRPr="00B73CF5" w:rsidRDefault="00B73CF5" w:rsidP="00B73CF5">
      <w:pPr>
        <w:spacing w:before="100" w:beforeAutospacing="1" w:after="100" w:afterAutospacing="1" w:line="240" w:lineRule="auto"/>
        <w:ind w:left="851"/>
        <w:jc w:val="both"/>
        <w:rPr>
          <w:rFonts w:ascii="Arial" w:hAnsi="Arial" w:cs="Arial"/>
        </w:rPr>
      </w:pPr>
      <w:r w:rsidRPr="00B73CF5">
        <w:rPr>
          <w:rFonts w:ascii="Arial" w:hAnsi="Arial" w:cs="Arial"/>
        </w:rPr>
        <w:t>(a)(</w:t>
      </w:r>
      <w:proofErr w:type="spellStart"/>
      <w:r w:rsidRPr="00B73CF5">
        <w:rPr>
          <w:rFonts w:ascii="Arial" w:hAnsi="Arial" w:cs="Arial"/>
        </w:rPr>
        <w:t>i</w:t>
      </w:r>
      <w:proofErr w:type="spellEnd"/>
      <w:r w:rsidRPr="00B73CF5">
        <w:rPr>
          <w:rFonts w:ascii="Arial" w:hAnsi="Arial" w:cs="Arial"/>
        </w:rPr>
        <w:t xml:space="preserve">) What are the reasons for the under-expenditure in the </w:t>
      </w:r>
      <w:proofErr w:type="spellStart"/>
      <w:r w:rsidRPr="00B73CF5">
        <w:rPr>
          <w:rFonts w:ascii="Arial" w:hAnsi="Arial" w:cs="Arial"/>
        </w:rPr>
        <w:t>Moloto</w:t>
      </w:r>
      <w:proofErr w:type="spellEnd"/>
      <w:r w:rsidRPr="00B73CF5">
        <w:rPr>
          <w:rFonts w:ascii="Arial" w:hAnsi="Arial" w:cs="Arial"/>
        </w:rPr>
        <w:t xml:space="preserve"> Development Project and (ii) what are the amounts concerned, (b) what is being done to ensure the under-expenditure does not reoccur, (c</w:t>
      </w:r>
      <w:proofErr w:type="gramStart"/>
      <w:r w:rsidRPr="00B73CF5">
        <w:rPr>
          <w:rFonts w:ascii="Arial" w:hAnsi="Arial" w:cs="Arial"/>
        </w:rPr>
        <w:t>)(</w:t>
      </w:r>
      <w:proofErr w:type="spellStart"/>
      <w:proofErr w:type="gramEnd"/>
      <w:r w:rsidRPr="00B73CF5">
        <w:rPr>
          <w:rFonts w:ascii="Arial" w:hAnsi="Arial" w:cs="Arial"/>
        </w:rPr>
        <w:t>i</w:t>
      </w:r>
      <w:proofErr w:type="spellEnd"/>
      <w:r w:rsidRPr="00B73CF5">
        <w:rPr>
          <w:rFonts w:ascii="Arial" w:hAnsi="Arial" w:cs="Arial"/>
        </w:rPr>
        <w:t>) why is the specified project behind schedule and (ii) what are the financial implications thereof and (d) what procedures, processes and mechanisms have been put in place to ensure that the project runs according to schedule?</w:t>
      </w:r>
      <w:r w:rsidRPr="00B73CF5">
        <w:rPr>
          <w:rFonts w:ascii="Arial" w:hAnsi="Arial" w:cs="Arial"/>
        </w:rPr>
        <w:tab/>
      </w:r>
      <w:r w:rsidRPr="00B73CF5">
        <w:rPr>
          <w:rFonts w:ascii="Arial" w:hAnsi="Arial" w:cs="Arial"/>
        </w:rPr>
        <w:tab/>
      </w:r>
      <w:r w:rsidRPr="00B73CF5">
        <w:rPr>
          <w:rFonts w:ascii="Arial" w:hAnsi="Arial" w:cs="Arial"/>
        </w:rPr>
        <w:tab/>
      </w:r>
      <w:r w:rsidRPr="00B73CF5">
        <w:rPr>
          <w:rFonts w:ascii="Arial" w:hAnsi="Arial" w:cs="Arial"/>
        </w:rPr>
        <w:tab/>
      </w:r>
      <w:r w:rsidRPr="00B73CF5">
        <w:rPr>
          <w:rFonts w:ascii="Arial" w:hAnsi="Arial" w:cs="Arial"/>
        </w:rPr>
        <w:tab/>
      </w:r>
      <w:r w:rsidRPr="00B73CF5">
        <w:rPr>
          <w:rFonts w:ascii="Arial" w:hAnsi="Arial" w:cs="Arial"/>
        </w:rPr>
        <w:tab/>
      </w:r>
      <w:r w:rsidRPr="00B73CF5">
        <w:rPr>
          <w:rFonts w:ascii="Arial" w:hAnsi="Arial" w:cs="Arial"/>
        </w:rPr>
        <w:tab/>
      </w:r>
      <w:r w:rsidRPr="00B73CF5">
        <w:rPr>
          <w:rFonts w:ascii="Arial" w:hAnsi="Arial" w:cs="Arial"/>
        </w:rPr>
        <w:tab/>
      </w:r>
      <w:r w:rsidRPr="00B73CF5">
        <w:rPr>
          <w:rFonts w:ascii="Arial" w:hAnsi="Arial" w:cs="Arial"/>
        </w:rPr>
        <w:tab/>
        <w:t xml:space="preserve"> </w:t>
      </w:r>
      <w:r w:rsidRPr="00B73CF5">
        <w:rPr>
          <w:rFonts w:ascii="Arial" w:eastAsia="Times New Roman" w:hAnsi="Arial" w:cs="Arial"/>
        </w:rPr>
        <w:t>NW2436E</w:t>
      </w:r>
    </w:p>
    <w:p w:rsidR="009804F2" w:rsidRDefault="009804F2" w:rsidP="009804F2">
      <w:pPr>
        <w:rPr>
          <w:rFonts w:ascii="Arial" w:hAnsi="Arial" w:cs="Arial"/>
          <w:b/>
          <w:lang w:val="en-ZA" w:eastAsia="x-none"/>
        </w:rPr>
      </w:pPr>
    </w:p>
    <w:p w:rsidR="009804F2" w:rsidRDefault="009804F2" w:rsidP="009804F2">
      <w:pPr>
        <w:rPr>
          <w:rFonts w:ascii="Arial" w:hAnsi="Arial" w:cs="Arial"/>
          <w:b/>
          <w:lang w:eastAsia="x-none"/>
        </w:rPr>
      </w:pPr>
      <w:r>
        <w:rPr>
          <w:rFonts w:ascii="Arial" w:hAnsi="Arial" w:cs="Arial"/>
          <w:b/>
          <w:lang w:eastAsia="x-none"/>
        </w:rPr>
        <w:t>REPLY</w:t>
      </w:r>
    </w:p>
    <w:p w:rsidR="00CE45D3" w:rsidRDefault="00CE45D3" w:rsidP="009804F2">
      <w:pPr>
        <w:rPr>
          <w:rFonts w:ascii="Arial" w:hAnsi="Arial" w:cs="Arial"/>
          <w:b/>
          <w:lang w:eastAsia="x-none"/>
        </w:rPr>
      </w:pPr>
    </w:p>
    <w:p w:rsidR="009804F2" w:rsidRDefault="00CE45D3" w:rsidP="009804F2">
      <w:pPr>
        <w:spacing w:after="0"/>
        <w:ind w:left="1418" w:hanging="1418"/>
        <w:jc w:val="both"/>
        <w:rPr>
          <w:rFonts w:ascii="Arial" w:hAnsi="Arial" w:cs="Arial"/>
        </w:rPr>
      </w:pPr>
      <w:r w:rsidRPr="00CE45D3" w:rsidDel="00CE45D3">
        <w:rPr>
          <w:rFonts w:ascii="Arial" w:hAnsi="Arial" w:cs="Arial"/>
          <w:b/>
          <w:lang w:eastAsia="x-none"/>
        </w:rPr>
        <w:t xml:space="preserve"> </w:t>
      </w:r>
      <w:r w:rsidR="009804F2" w:rsidRPr="000607BB">
        <w:rPr>
          <w:rFonts w:ascii="Arial" w:hAnsi="Arial" w:cs="Arial"/>
        </w:rPr>
        <w:t>(a)(</w:t>
      </w:r>
      <w:proofErr w:type="spellStart"/>
      <w:r w:rsidR="009804F2" w:rsidRPr="000607BB">
        <w:rPr>
          <w:rFonts w:ascii="Arial" w:hAnsi="Arial" w:cs="Arial"/>
        </w:rPr>
        <w:t>i</w:t>
      </w:r>
      <w:proofErr w:type="spellEnd"/>
      <w:r w:rsidR="009804F2" w:rsidRPr="000607BB">
        <w:rPr>
          <w:rFonts w:ascii="Arial" w:hAnsi="Arial" w:cs="Arial"/>
        </w:rPr>
        <w:t>) &amp; (ii)</w:t>
      </w:r>
      <w:r w:rsidR="009804F2">
        <w:rPr>
          <w:rFonts w:ascii="Arial" w:hAnsi="Arial" w:cs="Arial"/>
          <w:sz w:val="24"/>
          <w:szCs w:val="24"/>
        </w:rPr>
        <w:tab/>
      </w:r>
      <w:r w:rsidR="009804F2">
        <w:rPr>
          <w:rFonts w:ascii="Arial" w:hAnsi="Arial" w:cs="Arial"/>
          <w:sz w:val="24"/>
          <w:szCs w:val="24"/>
        </w:rPr>
        <w:tab/>
      </w:r>
      <w:r w:rsidR="009804F2" w:rsidRPr="00A463E8">
        <w:rPr>
          <w:rFonts w:ascii="Arial" w:hAnsi="Arial" w:cs="Arial"/>
        </w:rPr>
        <w:t xml:space="preserve">The Mpumalanga </w:t>
      </w:r>
      <w:r w:rsidR="000607BB">
        <w:rPr>
          <w:rFonts w:ascii="Arial" w:hAnsi="Arial" w:cs="Arial"/>
        </w:rPr>
        <w:t xml:space="preserve">and Limpopo sections of </w:t>
      </w:r>
      <w:proofErr w:type="spellStart"/>
      <w:r w:rsidR="000607BB">
        <w:rPr>
          <w:rFonts w:ascii="Arial" w:hAnsi="Arial" w:cs="Arial"/>
        </w:rPr>
        <w:t>Moloto</w:t>
      </w:r>
      <w:proofErr w:type="spellEnd"/>
      <w:r w:rsidR="000607BB">
        <w:rPr>
          <w:rFonts w:ascii="Arial" w:hAnsi="Arial" w:cs="Arial"/>
        </w:rPr>
        <w:t xml:space="preserve"> ro</w:t>
      </w:r>
      <w:r w:rsidR="009804F2" w:rsidRPr="00A463E8">
        <w:rPr>
          <w:rFonts w:ascii="Arial" w:hAnsi="Arial" w:cs="Arial"/>
        </w:rPr>
        <w:t>ad</w:t>
      </w:r>
      <w:r w:rsidR="000607BB">
        <w:rPr>
          <w:rFonts w:ascii="Arial" w:hAnsi="Arial" w:cs="Arial"/>
        </w:rPr>
        <w:t xml:space="preserve"> (R573)</w:t>
      </w:r>
      <w:r w:rsidR="009804F2" w:rsidRPr="00A463E8">
        <w:rPr>
          <w:rFonts w:ascii="Arial" w:hAnsi="Arial" w:cs="Arial"/>
        </w:rPr>
        <w:t xml:space="preserve"> were transferred to SANRAL in July 2015.</w:t>
      </w:r>
      <w:r w:rsidR="009804F2">
        <w:rPr>
          <w:rFonts w:ascii="Arial" w:hAnsi="Arial" w:cs="Arial"/>
        </w:rPr>
        <w:t xml:space="preserve"> At the time SANRAL indicate</w:t>
      </w:r>
      <w:r w:rsidR="000607BB">
        <w:rPr>
          <w:rFonts w:ascii="Arial" w:hAnsi="Arial" w:cs="Arial"/>
        </w:rPr>
        <w:t>d</w:t>
      </w:r>
      <w:r w:rsidR="009804F2">
        <w:rPr>
          <w:rFonts w:ascii="Arial" w:hAnsi="Arial" w:cs="Arial"/>
        </w:rPr>
        <w:t xml:space="preserve"> to National Treasury that the timelines are </w:t>
      </w:r>
      <w:r w:rsidR="00E17366">
        <w:rPr>
          <w:rFonts w:ascii="Arial" w:hAnsi="Arial" w:cs="Arial"/>
        </w:rPr>
        <w:t xml:space="preserve">severely dependent </w:t>
      </w:r>
      <w:r w:rsidR="009804F2">
        <w:rPr>
          <w:rFonts w:ascii="Arial" w:hAnsi="Arial" w:cs="Arial"/>
        </w:rPr>
        <w:t>on the regulated procurement, design and land acquisition processes to be followed by SANRAL</w:t>
      </w:r>
      <w:r w:rsidR="00E17366">
        <w:rPr>
          <w:rFonts w:ascii="Arial" w:hAnsi="Arial" w:cs="Arial"/>
        </w:rPr>
        <w:t>, running according to plan</w:t>
      </w:r>
      <w:r w:rsidR="009804F2">
        <w:rPr>
          <w:rFonts w:ascii="Arial" w:hAnsi="Arial" w:cs="Arial"/>
        </w:rPr>
        <w:t xml:space="preserve">. </w:t>
      </w:r>
    </w:p>
    <w:p w:rsidR="009804F2" w:rsidRDefault="009804F2" w:rsidP="009804F2">
      <w:pPr>
        <w:spacing w:after="0"/>
        <w:ind w:left="1418" w:hanging="1418"/>
        <w:jc w:val="both"/>
        <w:rPr>
          <w:rFonts w:ascii="Arial" w:hAnsi="Arial" w:cs="Arial"/>
        </w:rPr>
      </w:pPr>
    </w:p>
    <w:p w:rsidR="009804F2" w:rsidRDefault="009804F2" w:rsidP="009804F2">
      <w:pPr>
        <w:spacing w:after="0"/>
        <w:ind w:left="1418" w:hanging="1418"/>
        <w:jc w:val="both"/>
        <w:rPr>
          <w:rFonts w:ascii="Arial" w:hAnsi="Arial" w:cs="Arial"/>
        </w:rPr>
      </w:pPr>
      <w:r>
        <w:rPr>
          <w:rFonts w:ascii="Arial" w:hAnsi="Arial" w:cs="Arial"/>
        </w:rPr>
        <w:tab/>
        <w:t>On the Mpumalanga section a C</w:t>
      </w:r>
      <w:r w:rsidRPr="00A463E8">
        <w:rPr>
          <w:rFonts w:ascii="Arial" w:hAnsi="Arial" w:cs="Arial"/>
        </w:rPr>
        <w:t>onsulting engineering firm</w:t>
      </w:r>
      <w:r>
        <w:rPr>
          <w:rFonts w:ascii="Arial" w:hAnsi="Arial" w:cs="Arial"/>
        </w:rPr>
        <w:t xml:space="preserve"> was appointed</w:t>
      </w:r>
      <w:r w:rsidRPr="00A463E8">
        <w:rPr>
          <w:rFonts w:ascii="Arial" w:hAnsi="Arial" w:cs="Arial"/>
        </w:rPr>
        <w:t xml:space="preserve"> in February 2016 and </w:t>
      </w:r>
      <w:r>
        <w:rPr>
          <w:rFonts w:ascii="Arial" w:hAnsi="Arial" w:cs="Arial"/>
        </w:rPr>
        <w:t xml:space="preserve">in </w:t>
      </w:r>
      <w:r w:rsidRPr="00A463E8">
        <w:rPr>
          <w:rFonts w:ascii="Arial" w:hAnsi="Arial" w:cs="Arial"/>
        </w:rPr>
        <w:t xml:space="preserve">March 2016 for </w:t>
      </w:r>
      <w:r>
        <w:rPr>
          <w:rFonts w:ascii="Arial" w:hAnsi="Arial" w:cs="Arial"/>
        </w:rPr>
        <w:t xml:space="preserve">the </w:t>
      </w:r>
      <w:r w:rsidRPr="00A463E8">
        <w:rPr>
          <w:rFonts w:ascii="Arial" w:hAnsi="Arial" w:cs="Arial"/>
        </w:rPr>
        <w:t>Limpopo</w:t>
      </w:r>
      <w:r>
        <w:rPr>
          <w:rFonts w:ascii="Arial" w:hAnsi="Arial" w:cs="Arial"/>
        </w:rPr>
        <w:t xml:space="preserve"> section</w:t>
      </w:r>
      <w:r w:rsidRPr="00A463E8">
        <w:rPr>
          <w:rFonts w:ascii="Arial" w:hAnsi="Arial" w:cs="Arial"/>
        </w:rPr>
        <w:t>, for design and supervision</w:t>
      </w:r>
      <w:r>
        <w:rPr>
          <w:rFonts w:ascii="Arial" w:hAnsi="Arial" w:cs="Arial"/>
        </w:rPr>
        <w:t xml:space="preserve"> of the construction contracts.</w:t>
      </w:r>
    </w:p>
    <w:p w:rsidR="009804F2" w:rsidRDefault="009804F2" w:rsidP="009804F2">
      <w:pPr>
        <w:spacing w:after="0"/>
        <w:ind w:left="1418" w:hanging="1418"/>
        <w:jc w:val="both"/>
        <w:rPr>
          <w:rFonts w:ascii="Arial" w:hAnsi="Arial" w:cs="Arial"/>
        </w:rPr>
      </w:pPr>
    </w:p>
    <w:p w:rsidR="009804F2" w:rsidRDefault="009804F2" w:rsidP="009804F2">
      <w:pPr>
        <w:spacing w:after="0"/>
        <w:ind w:left="1418" w:hanging="1418"/>
        <w:jc w:val="both"/>
        <w:rPr>
          <w:rFonts w:ascii="Arial" w:hAnsi="Arial" w:cs="Arial"/>
        </w:rPr>
      </w:pPr>
      <w:r>
        <w:rPr>
          <w:rFonts w:ascii="Arial" w:hAnsi="Arial" w:cs="Arial"/>
        </w:rPr>
        <w:tab/>
      </w:r>
      <w:r w:rsidR="00E17366">
        <w:rPr>
          <w:rFonts w:ascii="Arial" w:hAnsi="Arial" w:cs="Arial"/>
        </w:rPr>
        <w:t>Due to the urgency in addressing the safety concerns on the route, a process to</w:t>
      </w:r>
      <w:r>
        <w:rPr>
          <w:rFonts w:ascii="Arial" w:hAnsi="Arial" w:cs="Arial"/>
        </w:rPr>
        <w:t xml:space="preserve"> accelerate the works</w:t>
      </w:r>
      <w:r w:rsidR="00E17366">
        <w:rPr>
          <w:rFonts w:ascii="Arial" w:hAnsi="Arial" w:cs="Arial"/>
        </w:rPr>
        <w:t xml:space="preserve"> was initiated.</w:t>
      </w:r>
      <w:r>
        <w:rPr>
          <w:rFonts w:ascii="Arial" w:hAnsi="Arial" w:cs="Arial"/>
        </w:rPr>
        <w:t xml:space="preserve"> </w:t>
      </w:r>
      <w:r w:rsidR="00E17366">
        <w:rPr>
          <w:rFonts w:ascii="Arial" w:hAnsi="Arial" w:cs="Arial"/>
        </w:rPr>
        <w:t xml:space="preserve">To this end, </w:t>
      </w:r>
      <w:r>
        <w:rPr>
          <w:rFonts w:ascii="Arial" w:hAnsi="Arial" w:cs="Arial"/>
        </w:rPr>
        <w:t>one construction project in Mpumalanga and Limpopo</w:t>
      </w:r>
      <w:r w:rsidR="00E17366">
        <w:rPr>
          <w:rFonts w:ascii="Arial" w:hAnsi="Arial" w:cs="Arial"/>
        </w:rPr>
        <w:t>, each,</w:t>
      </w:r>
      <w:r>
        <w:rPr>
          <w:rFonts w:ascii="Arial" w:hAnsi="Arial" w:cs="Arial"/>
        </w:rPr>
        <w:t xml:space="preserve"> commenced in January 2017</w:t>
      </w:r>
      <w:r w:rsidR="00E17366">
        <w:rPr>
          <w:rFonts w:ascii="Arial" w:hAnsi="Arial" w:cs="Arial"/>
        </w:rPr>
        <w:t>, where</w:t>
      </w:r>
      <w:r>
        <w:rPr>
          <w:rFonts w:ascii="Arial" w:hAnsi="Arial" w:cs="Arial"/>
        </w:rPr>
        <w:t xml:space="preserve"> the </w:t>
      </w:r>
      <w:r w:rsidR="00E17366">
        <w:rPr>
          <w:rFonts w:ascii="Arial" w:hAnsi="Arial" w:cs="Arial"/>
        </w:rPr>
        <w:t xml:space="preserve">delays </w:t>
      </w:r>
      <w:r>
        <w:rPr>
          <w:rFonts w:ascii="Arial" w:hAnsi="Arial" w:cs="Arial"/>
        </w:rPr>
        <w:t xml:space="preserve">of regulatory requirements </w:t>
      </w:r>
      <w:r w:rsidR="00E17366">
        <w:rPr>
          <w:rFonts w:ascii="Arial" w:hAnsi="Arial" w:cs="Arial"/>
        </w:rPr>
        <w:t>w</w:t>
      </w:r>
      <w:r w:rsidR="00986B35">
        <w:rPr>
          <w:rFonts w:ascii="Arial" w:hAnsi="Arial" w:cs="Arial"/>
        </w:rPr>
        <w:t>ere</w:t>
      </w:r>
      <w:r w:rsidR="00E17366">
        <w:rPr>
          <w:rFonts w:ascii="Arial" w:hAnsi="Arial" w:cs="Arial"/>
        </w:rPr>
        <w:t xml:space="preserve"> limited</w:t>
      </w:r>
      <w:r>
        <w:rPr>
          <w:rFonts w:ascii="Arial" w:hAnsi="Arial" w:cs="Arial"/>
        </w:rPr>
        <w:t>.</w:t>
      </w:r>
    </w:p>
    <w:p w:rsidR="009804F2" w:rsidRDefault="009804F2" w:rsidP="009804F2">
      <w:pPr>
        <w:spacing w:after="0"/>
        <w:ind w:left="1418" w:hanging="1418"/>
        <w:jc w:val="both"/>
        <w:rPr>
          <w:rFonts w:ascii="Arial" w:hAnsi="Arial" w:cs="Arial"/>
        </w:rPr>
      </w:pPr>
    </w:p>
    <w:tbl>
      <w:tblPr>
        <w:tblStyle w:val="TableGrid"/>
        <w:tblW w:w="0" w:type="auto"/>
        <w:tblLook w:val="04A0" w:firstRow="1" w:lastRow="0" w:firstColumn="1" w:lastColumn="0" w:noHBand="0" w:noVBand="1"/>
      </w:tblPr>
      <w:tblGrid>
        <w:gridCol w:w="1709"/>
        <w:gridCol w:w="1709"/>
        <w:gridCol w:w="1710"/>
        <w:gridCol w:w="1710"/>
        <w:gridCol w:w="1710"/>
        <w:gridCol w:w="1710"/>
      </w:tblGrid>
      <w:tr w:rsidR="00CE45D3" w:rsidTr="00222D6B">
        <w:tc>
          <w:tcPr>
            <w:tcW w:w="1709" w:type="dxa"/>
            <w:vMerge w:val="restart"/>
            <w:shd w:val="clear" w:color="auto" w:fill="F2F2F2" w:themeFill="background1" w:themeFillShade="F2"/>
          </w:tcPr>
          <w:p w:rsidR="00CE45D3" w:rsidRDefault="00CE45D3" w:rsidP="00222D6B">
            <w:pPr>
              <w:rPr>
                <w:rFonts w:ascii="Arial" w:hAnsi="Arial" w:cs="Arial"/>
                <w:b/>
                <w:lang w:eastAsia="x-none"/>
              </w:rPr>
            </w:pPr>
            <w:r>
              <w:rPr>
                <w:rFonts w:ascii="Arial" w:hAnsi="Arial" w:cs="Arial"/>
                <w:b/>
                <w:lang w:eastAsia="x-none"/>
              </w:rPr>
              <w:t>MOLOTO ROAD PROJECT</w:t>
            </w:r>
          </w:p>
        </w:tc>
        <w:tc>
          <w:tcPr>
            <w:tcW w:w="1709" w:type="dxa"/>
            <w:shd w:val="clear" w:color="auto" w:fill="F2F2F2" w:themeFill="background1" w:themeFillShade="F2"/>
          </w:tcPr>
          <w:p w:rsidR="00CE45D3" w:rsidRPr="00222D6B" w:rsidRDefault="00CE45D3" w:rsidP="00222D6B">
            <w:pPr>
              <w:rPr>
                <w:rFonts w:ascii="Arial" w:hAnsi="Arial" w:cs="Arial"/>
                <w:b/>
                <w:lang w:eastAsia="x-none"/>
              </w:rPr>
            </w:pPr>
            <w:r w:rsidRPr="00222D6B">
              <w:rPr>
                <w:rFonts w:ascii="Arial" w:hAnsi="Arial" w:cs="Arial"/>
                <w:b/>
              </w:rPr>
              <w:t>2016/17</w:t>
            </w:r>
          </w:p>
        </w:tc>
        <w:tc>
          <w:tcPr>
            <w:tcW w:w="1710" w:type="dxa"/>
            <w:shd w:val="clear" w:color="auto" w:fill="F2F2F2" w:themeFill="background1" w:themeFillShade="F2"/>
          </w:tcPr>
          <w:p w:rsidR="00CE45D3" w:rsidRPr="00222D6B" w:rsidRDefault="00CE45D3" w:rsidP="00222D6B">
            <w:pPr>
              <w:rPr>
                <w:rFonts w:ascii="Arial" w:hAnsi="Arial" w:cs="Arial"/>
                <w:b/>
                <w:lang w:eastAsia="x-none"/>
              </w:rPr>
            </w:pPr>
            <w:r w:rsidRPr="00222D6B">
              <w:rPr>
                <w:rFonts w:ascii="Arial" w:hAnsi="Arial" w:cs="Arial"/>
                <w:b/>
              </w:rPr>
              <w:t>2017/18</w:t>
            </w:r>
          </w:p>
        </w:tc>
        <w:tc>
          <w:tcPr>
            <w:tcW w:w="1710" w:type="dxa"/>
            <w:shd w:val="clear" w:color="auto" w:fill="F2F2F2" w:themeFill="background1" w:themeFillShade="F2"/>
          </w:tcPr>
          <w:p w:rsidR="00CE45D3" w:rsidRPr="00222D6B" w:rsidRDefault="00CE45D3" w:rsidP="00222D6B">
            <w:pPr>
              <w:rPr>
                <w:rFonts w:ascii="Arial" w:hAnsi="Arial" w:cs="Arial"/>
                <w:b/>
                <w:lang w:eastAsia="x-none"/>
              </w:rPr>
            </w:pPr>
            <w:r w:rsidRPr="00222D6B">
              <w:rPr>
                <w:rFonts w:ascii="Arial" w:hAnsi="Arial" w:cs="Arial"/>
                <w:b/>
              </w:rPr>
              <w:t>2018/19</w:t>
            </w:r>
          </w:p>
        </w:tc>
        <w:tc>
          <w:tcPr>
            <w:tcW w:w="1710" w:type="dxa"/>
            <w:shd w:val="clear" w:color="auto" w:fill="F2F2F2" w:themeFill="background1" w:themeFillShade="F2"/>
          </w:tcPr>
          <w:p w:rsidR="00CE45D3" w:rsidRPr="00222D6B" w:rsidRDefault="00CE45D3" w:rsidP="00222D6B">
            <w:pPr>
              <w:rPr>
                <w:rFonts w:ascii="Arial" w:hAnsi="Arial" w:cs="Arial"/>
                <w:b/>
                <w:lang w:eastAsia="x-none"/>
              </w:rPr>
            </w:pPr>
            <w:r w:rsidRPr="00222D6B">
              <w:rPr>
                <w:rFonts w:ascii="Arial" w:hAnsi="Arial" w:cs="Arial"/>
                <w:b/>
              </w:rPr>
              <w:t>2019/20</w:t>
            </w:r>
          </w:p>
        </w:tc>
        <w:tc>
          <w:tcPr>
            <w:tcW w:w="1710" w:type="dxa"/>
            <w:shd w:val="clear" w:color="auto" w:fill="F2F2F2" w:themeFill="background1" w:themeFillShade="F2"/>
          </w:tcPr>
          <w:p w:rsidR="00CE45D3" w:rsidRPr="00222D6B" w:rsidRDefault="00CE45D3" w:rsidP="00222D6B">
            <w:pPr>
              <w:rPr>
                <w:rFonts w:ascii="Arial" w:hAnsi="Arial" w:cs="Arial"/>
                <w:b/>
                <w:lang w:eastAsia="x-none"/>
              </w:rPr>
            </w:pPr>
            <w:r w:rsidRPr="00222D6B">
              <w:rPr>
                <w:rFonts w:ascii="Arial" w:hAnsi="Arial" w:cs="Arial"/>
                <w:b/>
              </w:rPr>
              <w:t>Totals</w:t>
            </w:r>
          </w:p>
        </w:tc>
      </w:tr>
      <w:tr w:rsidR="00CE45D3" w:rsidTr="00222D6B">
        <w:tc>
          <w:tcPr>
            <w:tcW w:w="1709" w:type="dxa"/>
            <w:vMerge/>
            <w:shd w:val="clear" w:color="auto" w:fill="F2F2F2" w:themeFill="background1" w:themeFillShade="F2"/>
          </w:tcPr>
          <w:p w:rsidR="00CE45D3" w:rsidRDefault="00CE45D3" w:rsidP="00222D6B">
            <w:pPr>
              <w:rPr>
                <w:rFonts w:ascii="Arial" w:hAnsi="Arial" w:cs="Arial"/>
                <w:b/>
                <w:lang w:eastAsia="x-none"/>
              </w:rPr>
            </w:pPr>
          </w:p>
        </w:tc>
        <w:tc>
          <w:tcPr>
            <w:tcW w:w="1709" w:type="dxa"/>
            <w:shd w:val="clear" w:color="auto" w:fill="F2F2F2" w:themeFill="background1" w:themeFillShade="F2"/>
          </w:tcPr>
          <w:p w:rsidR="00CE45D3" w:rsidRPr="00222D6B" w:rsidRDefault="00CE45D3" w:rsidP="00222D6B">
            <w:pPr>
              <w:rPr>
                <w:rFonts w:ascii="Arial" w:hAnsi="Arial" w:cs="Arial"/>
                <w:lang w:eastAsia="x-none"/>
              </w:rPr>
            </w:pPr>
            <w:r w:rsidRPr="00222D6B">
              <w:rPr>
                <w:rFonts w:ascii="Arial" w:hAnsi="Arial" w:cs="Arial"/>
                <w:lang w:eastAsia="x-none"/>
              </w:rPr>
              <w:t>R’ 000</w:t>
            </w:r>
          </w:p>
        </w:tc>
        <w:tc>
          <w:tcPr>
            <w:tcW w:w="1710" w:type="dxa"/>
            <w:shd w:val="clear" w:color="auto" w:fill="F2F2F2" w:themeFill="background1" w:themeFillShade="F2"/>
          </w:tcPr>
          <w:p w:rsidR="00CE45D3" w:rsidRPr="00222D6B" w:rsidRDefault="00CE45D3" w:rsidP="00222D6B">
            <w:pPr>
              <w:rPr>
                <w:rFonts w:ascii="Arial" w:hAnsi="Arial" w:cs="Arial"/>
                <w:lang w:eastAsia="x-none"/>
              </w:rPr>
            </w:pPr>
            <w:r w:rsidRPr="00222D6B">
              <w:rPr>
                <w:rFonts w:ascii="Arial" w:hAnsi="Arial" w:cs="Arial"/>
                <w:lang w:eastAsia="x-none"/>
              </w:rPr>
              <w:t>R’ 000</w:t>
            </w:r>
          </w:p>
        </w:tc>
        <w:tc>
          <w:tcPr>
            <w:tcW w:w="1710" w:type="dxa"/>
            <w:shd w:val="clear" w:color="auto" w:fill="F2F2F2" w:themeFill="background1" w:themeFillShade="F2"/>
          </w:tcPr>
          <w:p w:rsidR="00CE45D3" w:rsidRPr="00222D6B" w:rsidRDefault="00CE45D3" w:rsidP="00222D6B">
            <w:pPr>
              <w:rPr>
                <w:rFonts w:ascii="Arial" w:hAnsi="Arial" w:cs="Arial"/>
                <w:lang w:eastAsia="x-none"/>
              </w:rPr>
            </w:pPr>
            <w:r w:rsidRPr="00222D6B">
              <w:rPr>
                <w:rFonts w:ascii="Arial" w:hAnsi="Arial" w:cs="Arial"/>
                <w:lang w:eastAsia="x-none"/>
              </w:rPr>
              <w:t>R’ 000</w:t>
            </w:r>
          </w:p>
        </w:tc>
        <w:tc>
          <w:tcPr>
            <w:tcW w:w="1710" w:type="dxa"/>
            <w:shd w:val="clear" w:color="auto" w:fill="F2F2F2" w:themeFill="background1" w:themeFillShade="F2"/>
          </w:tcPr>
          <w:p w:rsidR="00CE45D3" w:rsidRPr="00222D6B" w:rsidRDefault="00CE45D3" w:rsidP="00222D6B">
            <w:pPr>
              <w:rPr>
                <w:rFonts w:ascii="Arial" w:hAnsi="Arial" w:cs="Arial"/>
                <w:lang w:eastAsia="x-none"/>
              </w:rPr>
            </w:pPr>
            <w:r w:rsidRPr="00222D6B">
              <w:rPr>
                <w:rFonts w:ascii="Arial" w:hAnsi="Arial" w:cs="Arial"/>
                <w:lang w:eastAsia="x-none"/>
              </w:rPr>
              <w:t>R’ 000</w:t>
            </w:r>
          </w:p>
        </w:tc>
        <w:tc>
          <w:tcPr>
            <w:tcW w:w="1710" w:type="dxa"/>
            <w:shd w:val="clear" w:color="auto" w:fill="F2F2F2" w:themeFill="background1" w:themeFillShade="F2"/>
          </w:tcPr>
          <w:p w:rsidR="00CE45D3" w:rsidRPr="00222D6B" w:rsidRDefault="00CE45D3" w:rsidP="00222D6B">
            <w:pPr>
              <w:rPr>
                <w:rFonts w:ascii="Arial" w:hAnsi="Arial" w:cs="Arial"/>
                <w:lang w:eastAsia="x-none"/>
              </w:rPr>
            </w:pPr>
            <w:r w:rsidRPr="00222D6B">
              <w:rPr>
                <w:rFonts w:ascii="Arial" w:hAnsi="Arial" w:cs="Arial"/>
                <w:lang w:eastAsia="x-none"/>
              </w:rPr>
              <w:t>R’ 000</w:t>
            </w:r>
          </w:p>
        </w:tc>
      </w:tr>
      <w:tr w:rsidR="00CE45D3" w:rsidTr="00222D6B">
        <w:tc>
          <w:tcPr>
            <w:tcW w:w="1709" w:type="dxa"/>
            <w:shd w:val="clear" w:color="auto" w:fill="F2F2F2" w:themeFill="background1" w:themeFillShade="F2"/>
          </w:tcPr>
          <w:p w:rsidR="00CE45D3" w:rsidRDefault="00CE45D3" w:rsidP="00222D6B">
            <w:pPr>
              <w:rPr>
                <w:rFonts w:ascii="Arial" w:hAnsi="Arial" w:cs="Arial"/>
                <w:b/>
                <w:lang w:eastAsia="x-none"/>
              </w:rPr>
            </w:pPr>
            <w:r>
              <w:rPr>
                <w:rFonts w:ascii="Arial" w:hAnsi="Arial" w:cs="Arial"/>
                <w:b/>
                <w:lang w:eastAsia="x-none"/>
              </w:rPr>
              <w:t>Budget</w:t>
            </w:r>
          </w:p>
        </w:tc>
        <w:tc>
          <w:tcPr>
            <w:tcW w:w="1709" w:type="dxa"/>
          </w:tcPr>
          <w:p w:rsidR="00CE45D3" w:rsidRPr="00222D6B" w:rsidRDefault="00CE45D3" w:rsidP="00222D6B">
            <w:pPr>
              <w:rPr>
                <w:rFonts w:ascii="Arial" w:hAnsi="Arial" w:cs="Arial"/>
                <w:lang w:eastAsia="x-none"/>
              </w:rPr>
            </w:pPr>
            <w:r w:rsidRPr="00222D6B">
              <w:rPr>
                <w:rFonts w:ascii="Arial" w:hAnsi="Arial" w:cs="Arial"/>
                <w:lang w:eastAsia="x-none"/>
              </w:rPr>
              <w:t>R 660 834</w:t>
            </w:r>
          </w:p>
        </w:tc>
        <w:tc>
          <w:tcPr>
            <w:tcW w:w="1710" w:type="dxa"/>
          </w:tcPr>
          <w:p w:rsidR="00CE45D3" w:rsidRPr="00222D6B" w:rsidRDefault="00CE45D3" w:rsidP="00222D6B">
            <w:pPr>
              <w:rPr>
                <w:rFonts w:ascii="Arial" w:hAnsi="Arial" w:cs="Arial"/>
                <w:lang w:eastAsia="x-none"/>
              </w:rPr>
            </w:pPr>
            <w:r>
              <w:rPr>
                <w:rFonts w:ascii="Arial" w:hAnsi="Arial" w:cs="Arial"/>
                <w:lang w:eastAsia="x-none"/>
              </w:rPr>
              <w:t xml:space="preserve">R </w:t>
            </w:r>
            <w:r w:rsidRPr="00222D6B">
              <w:rPr>
                <w:rFonts w:ascii="Arial" w:hAnsi="Arial" w:cs="Arial"/>
                <w:lang w:eastAsia="x-none"/>
              </w:rPr>
              <w:t>1 279 029</w:t>
            </w:r>
          </w:p>
        </w:tc>
        <w:tc>
          <w:tcPr>
            <w:tcW w:w="1710" w:type="dxa"/>
          </w:tcPr>
          <w:p w:rsidR="00CE45D3" w:rsidRPr="00222D6B" w:rsidRDefault="00CE45D3" w:rsidP="00222D6B">
            <w:pPr>
              <w:rPr>
                <w:rFonts w:ascii="Arial" w:hAnsi="Arial" w:cs="Arial"/>
                <w:lang w:eastAsia="x-none"/>
              </w:rPr>
            </w:pPr>
            <w:r w:rsidRPr="00222D6B">
              <w:rPr>
                <w:rFonts w:ascii="Arial" w:hAnsi="Arial" w:cs="Arial"/>
                <w:lang w:eastAsia="x-none"/>
              </w:rPr>
              <w:t>1 806 813</w:t>
            </w:r>
          </w:p>
        </w:tc>
        <w:tc>
          <w:tcPr>
            <w:tcW w:w="1710" w:type="dxa"/>
          </w:tcPr>
          <w:p w:rsidR="00CE45D3" w:rsidRPr="00222D6B" w:rsidRDefault="00CE45D3" w:rsidP="00222D6B">
            <w:pPr>
              <w:rPr>
                <w:rFonts w:ascii="Arial" w:hAnsi="Arial" w:cs="Arial"/>
                <w:lang w:eastAsia="x-none"/>
              </w:rPr>
            </w:pPr>
            <w:r w:rsidRPr="00222D6B">
              <w:rPr>
                <w:rFonts w:ascii="Arial" w:hAnsi="Arial" w:cs="Arial"/>
                <w:lang w:eastAsia="x-none"/>
              </w:rPr>
              <w:t>1 691 990</w:t>
            </w:r>
          </w:p>
        </w:tc>
        <w:tc>
          <w:tcPr>
            <w:tcW w:w="1710" w:type="dxa"/>
          </w:tcPr>
          <w:p w:rsidR="00CE45D3" w:rsidRPr="00222D6B" w:rsidRDefault="00CE45D3" w:rsidP="00222D6B">
            <w:pPr>
              <w:rPr>
                <w:rFonts w:ascii="Arial" w:hAnsi="Arial" w:cs="Arial"/>
                <w:lang w:eastAsia="x-none"/>
              </w:rPr>
            </w:pPr>
            <w:r w:rsidRPr="00222D6B">
              <w:rPr>
                <w:rFonts w:ascii="Arial" w:hAnsi="Arial" w:cs="Arial"/>
                <w:lang w:eastAsia="x-none"/>
              </w:rPr>
              <w:t>5 438 660</w:t>
            </w:r>
          </w:p>
        </w:tc>
      </w:tr>
      <w:tr w:rsidR="00CE45D3" w:rsidTr="00222D6B">
        <w:tc>
          <w:tcPr>
            <w:tcW w:w="1709" w:type="dxa"/>
            <w:shd w:val="clear" w:color="auto" w:fill="F2F2F2" w:themeFill="background1" w:themeFillShade="F2"/>
          </w:tcPr>
          <w:p w:rsidR="00CE45D3" w:rsidRDefault="00CE45D3" w:rsidP="00222D6B">
            <w:pPr>
              <w:rPr>
                <w:rFonts w:ascii="Arial" w:hAnsi="Arial" w:cs="Arial"/>
                <w:b/>
                <w:lang w:eastAsia="x-none"/>
              </w:rPr>
            </w:pPr>
            <w:r>
              <w:rPr>
                <w:rFonts w:ascii="Arial" w:hAnsi="Arial" w:cs="Arial"/>
                <w:b/>
                <w:lang w:eastAsia="x-none"/>
              </w:rPr>
              <w:t>Transfer to date</w:t>
            </w:r>
          </w:p>
        </w:tc>
        <w:tc>
          <w:tcPr>
            <w:tcW w:w="1709" w:type="dxa"/>
          </w:tcPr>
          <w:p w:rsidR="00CE45D3" w:rsidRPr="00222D6B" w:rsidRDefault="00CE45D3" w:rsidP="00222D6B">
            <w:pPr>
              <w:rPr>
                <w:rFonts w:ascii="Arial" w:hAnsi="Arial" w:cs="Arial"/>
                <w:lang w:eastAsia="x-none"/>
              </w:rPr>
            </w:pPr>
            <w:r w:rsidRPr="00222D6B">
              <w:rPr>
                <w:rFonts w:ascii="Arial" w:hAnsi="Arial" w:cs="Arial"/>
                <w:lang w:eastAsia="x-none"/>
              </w:rPr>
              <w:t>R 660 834</w:t>
            </w:r>
          </w:p>
        </w:tc>
        <w:tc>
          <w:tcPr>
            <w:tcW w:w="1710" w:type="dxa"/>
          </w:tcPr>
          <w:p w:rsidR="00CE45D3" w:rsidRPr="00222D6B" w:rsidRDefault="00CE45D3" w:rsidP="00222D6B">
            <w:pPr>
              <w:rPr>
                <w:rFonts w:ascii="Arial" w:hAnsi="Arial" w:cs="Arial"/>
                <w:lang w:eastAsia="x-none"/>
              </w:rPr>
            </w:pPr>
            <w:r w:rsidRPr="00222D6B">
              <w:rPr>
                <w:rFonts w:ascii="Arial" w:hAnsi="Arial" w:cs="Arial"/>
                <w:lang w:eastAsia="x-none"/>
              </w:rPr>
              <w:t>R    639 515</w:t>
            </w:r>
          </w:p>
        </w:tc>
        <w:tc>
          <w:tcPr>
            <w:tcW w:w="1710" w:type="dxa"/>
          </w:tcPr>
          <w:p w:rsidR="00CE45D3" w:rsidRPr="00222D6B" w:rsidRDefault="00CE45D3" w:rsidP="00222D6B">
            <w:pPr>
              <w:rPr>
                <w:rFonts w:ascii="Arial" w:hAnsi="Arial" w:cs="Arial"/>
                <w:lang w:eastAsia="x-none"/>
              </w:rPr>
            </w:pPr>
            <w:r w:rsidRPr="00222D6B">
              <w:rPr>
                <w:rFonts w:ascii="Arial" w:hAnsi="Arial" w:cs="Arial"/>
                <w:lang w:eastAsia="x-none"/>
              </w:rPr>
              <w:t>n/a</w:t>
            </w:r>
          </w:p>
        </w:tc>
        <w:tc>
          <w:tcPr>
            <w:tcW w:w="1710" w:type="dxa"/>
          </w:tcPr>
          <w:p w:rsidR="00CE45D3" w:rsidRPr="00222D6B" w:rsidRDefault="00CE45D3" w:rsidP="00222D6B">
            <w:pPr>
              <w:rPr>
                <w:rFonts w:ascii="Arial" w:hAnsi="Arial" w:cs="Arial"/>
                <w:lang w:eastAsia="x-none"/>
              </w:rPr>
            </w:pPr>
            <w:r w:rsidRPr="00222D6B">
              <w:rPr>
                <w:rFonts w:ascii="Arial" w:hAnsi="Arial" w:cs="Arial"/>
                <w:lang w:eastAsia="x-none"/>
              </w:rPr>
              <w:t>n/a</w:t>
            </w:r>
          </w:p>
        </w:tc>
        <w:tc>
          <w:tcPr>
            <w:tcW w:w="1710" w:type="dxa"/>
          </w:tcPr>
          <w:p w:rsidR="00CE45D3" w:rsidRPr="00222D6B" w:rsidRDefault="00CE45D3" w:rsidP="00222D6B">
            <w:pPr>
              <w:rPr>
                <w:rFonts w:ascii="Arial" w:hAnsi="Arial" w:cs="Arial"/>
                <w:lang w:eastAsia="x-none"/>
              </w:rPr>
            </w:pPr>
            <w:r w:rsidRPr="00222D6B">
              <w:rPr>
                <w:rFonts w:ascii="Arial" w:hAnsi="Arial" w:cs="Arial"/>
                <w:lang w:eastAsia="x-none"/>
              </w:rPr>
              <w:t>R 1 300 380</w:t>
            </w:r>
          </w:p>
        </w:tc>
      </w:tr>
    </w:tbl>
    <w:p w:rsidR="00CE45D3" w:rsidRPr="00222D6B" w:rsidRDefault="00CE45D3" w:rsidP="00CE45D3">
      <w:pPr>
        <w:rPr>
          <w:rFonts w:ascii="Arial" w:hAnsi="Arial" w:cs="Arial"/>
          <w:b/>
          <w:lang w:eastAsia="x-none"/>
        </w:rPr>
      </w:pPr>
      <w:r w:rsidRPr="00222D6B">
        <w:rPr>
          <w:rFonts w:ascii="Arial" w:hAnsi="Arial" w:cs="Arial"/>
          <w:b/>
          <w:lang w:eastAsia="x-none"/>
        </w:rPr>
        <w:t>Table 1: Summary of SANRAL Budget Allocations and Expenditure</w:t>
      </w:r>
    </w:p>
    <w:p w:rsidR="00CE45D3" w:rsidRPr="00222D6B" w:rsidRDefault="00CE45D3" w:rsidP="005D4128">
      <w:pPr>
        <w:spacing w:after="0"/>
        <w:jc w:val="both"/>
        <w:rPr>
          <w:rFonts w:ascii="Arial" w:hAnsi="Arial" w:cs="Arial"/>
        </w:rPr>
      </w:pPr>
    </w:p>
    <w:p w:rsidR="00CE45D3" w:rsidRDefault="00CE45D3" w:rsidP="00CE45D3">
      <w:pPr>
        <w:spacing w:after="0"/>
        <w:ind w:left="1418" w:hanging="1418"/>
        <w:jc w:val="both"/>
        <w:rPr>
          <w:rFonts w:ascii="Arial" w:hAnsi="Arial" w:cs="Arial"/>
        </w:rPr>
      </w:pPr>
    </w:p>
    <w:p w:rsidR="009804F2" w:rsidRPr="00A463E8" w:rsidRDefault="00A14D77" w:rsidP="00BF2BEC">
      <w:pPr>
        <w:pStyle w:val="ListParagraph"/>
        <w:numPr>
          <w:ilvl w:val="0"/>
          <w:numId w:val="18"/>
        </w:numPr>
        <w:spacing w:after="0"/>
        <w:ind w:left="1418" w:hanging="1418"/>
        <w:jc w:val="both"/>
        <w:rPr>
          <w:rFonts w:ascii="Arial" w:hAnsi="Arial" w:cs="Arial"/>
        </w:rPr>
      </w:pPr>
      <w:r>
        <w:rPr>
          <w:rFonts w:ascii="Arial" w:hAnsi="Arial" w:cs="Arial"/>
        </w:rPr>
        <w:tab/>
      </w:r>
      <w:r w:rsidR="009804F2">
        <w:rPr>
          <w:rFonts w:ascii="Arial" w:hAnsi="Arial" w:cs="Arial"/>
        </w:rPr>
        <w:t xml:space="preserve">The Gauteng </w:t>
      </w:r>
      <w:r w:rsidR="005E00D4">
        <w:rPr>
          <w:rFonts w:ascii="Arial" w:hAnsi="Arial" w:cs="Arial"/>
        </w:rPr>
        <w:t>section</w:t>
      </w:r>
      <w:r w:rsidR="009804F2">
        <w:rPr>
          <w:rFonts w:ascii="Arial" w:hAnsi="Arial" w:cs="Arial"/>
        </w:rPr>
        <w:t xml:space="preserve"> of the R573 </w:t>
      </w:r>
      <w:proofErr w:type="spellStart"/>
      <w:r w:rsidR="009804F2">
        <w:rPr>
          <w:rFonts w:ascii="Arial" w:hAnsi="Arial" w:cs="Arial"/>
        </w:rPr>
        <w:t>Moloto</w:t>
      </w:r>
      <w:proofErr w:type="spellEnd"/>
      <w:r w:rsidR="009804F2">
        <w:rPr>
          <w:rFonts w:ascii="Arial" w:hAnsi="Arial" w:cs="Arial"/>
        </w:rPr>
        <w:t xml:space="preserve"> road </w:t>
      </w:r>
      <w:r w:rsidR="005E00D4">
        <w:rPr>
          <w:rFonts w:ascii="Arial" w:hAnsi="Arial" w:cs="Arial"/>
        </w:rPr>
        <w:t>is not</w:t>
      </w:r>
      <w:r w:rsidR="009804F2">
        <w:rPr>
          <w:rFonts w:ascii="Arial" w:hAnsi="Arial" w:cs="Arial"/>
        </w:rPr>
        <w:t xml:space="preserve"> transferred to SANRAL</w:t>
      </w:r>
      <w:r w:rsidR="005E00D4">
        <w:rPr>
          <w:rFonts w:ascii="Arial" w:hAnsi="Arial" w:cs="Arial"/>
        </w:rPr>
        <w:t>.</w:t>
      </w:r>
      <w:r w:rsidR="009804F2">
        <w:rPr>
          <w:rFonts w:ascii="Arial" w:hAnsi="Arial" w:cs="Arial"/>
        </w:rPr>
        <w:t xml:space="preserve"> SANRAL and Gauteng Province signed an implementing agent agreement, in which the funding for the design, land acquisition and construction </w:t>
      </w:r>
      <w:r w:rsidR="00E17366">
        <w:rPr>
          <w:rFonts w:ascii="Arial" w:hAnsi="Arial" w:cs="Arial"/>
        </w:rPr>
        <w:t>is provided by the</w:t>
      </w:r>
      <w:r w:rsidR="009804F2">
        <w:rPr>
          <w:rFonts w:ascii="Arial" w:hAnsi="Arial" w:cs="Arial"/>
        </w:rPr>
        <w:t xml:space="preserve"> Gauteng Province</w:t>
      </w:r>
      <w:r w:rsidR="00E17366">
        <w:rPr>
          <w:rFonts w:ascii="Arial" w:hAnsi="Arial" w:cs="Arial"/>
        </w:rPr>
        <w:t>. To date, the Province has not been able to secure the funding and therefore construction has not started.</w:t>
      </w:r>
      <w:r w:rsidR="009804F2">
        <w:rPr>
          <w:rFonts w:ascii="Arial" w:hAnsi="Arial" w:cs="Arial"/>
        </w:rPr>
        <w:t xml:space="preserve"> </w:t>
      </w:r>
    </w:p>
    <w:p w:rsidR="009804F2" w:rsidRDefault="009804F2" w:rsidP="00BF2BEC">
      <w:pPr>
        <w:spacing w:after="0"/>
        <w:ind w:hanging="1418"/>
        <w:jc w:val="both"/>
        <w:rPr>
          <w:rFonts w:ascii="Arial" w:hAnsi="Arial" w:cs="Arial"/>
          <w:sz w:val="24"/>
          <w:szCs w:val="24"/>
        </w:rPr>
      </w:pPr>
    </w:p>
    <w:p w:rsidR="009804F2" w:rsidRPr="009804F2" w:rsidRDefault="009804F2" w:rsidP="00BF2BEC">
      <w:pPr>
        <w:spacing w:after="0"/>
        <w:ind w:left="1418" w:hanging="1418"/>
        <w:jc w:val="both"/>
        <w:rPr>
          <w:rFonts w:ascii="Arial" w:hAnsi="Arial" w:cs="Arial"/>
        </w:rPr>
      </w:pPr>
      <w:r>
        <w:rPr>
          <w:rFonts w:ascii="Arial" w:hAnsi="Arial" w:cs="Arial"/>
          <w:sz w:val="24"/>
          <w:szCs w:val="24"/>
        </w:rPr>
        <w:tab/>
      </w:r>
      <w:r w:rsidR="005E00D4">
        <w:rPr>
          <w:rFonts w:ascii="Arial" w:hAnsi="Arial" w:cs="Arial"/>
          <w:sz w:val="24"/>
          <w:szCs w:val="24"/>
        </w:rPr>
        <w:tab/>
      </w:r>
      <w:r w:rsidRPr="009804F2">
        <w:rPr>
          <w:rFonts w:ascii="Arial" w:hAnsi="Arial" w:cs="Arial"/>
        </w:rPr>
        <w:t xml:space="preserve">The </w:t>
      </w:r>
      <w:r w:rsidR="00A14D77">
        <w:rPr>
          <w:rFonts w:ascii="Arial" w:hAnsi="Arial" w:cs="Arial"/>
        </w:rPr>
        <w:t xml:space="preserve">under-expenditure is therefore only on the Gauteng Provincial section of the </w:t>
      </w:r>
      <w:proofErr w:type="spellStart"/>
      <w:r w:rsidR="00986B35">
        <w:rPr>
          <w:rFonts w:ascii="Arial" w:hAnsi="Arial" w:cs="Arial"/>
        </w:rPr>
        <w:t>M</w:t>
      </w:r>
      <w:r w:rsidR="00A14D77">
        <w:rPr>
          <w:rFonts w:ascii="Arial" w:hAnsi="Arial" w:cs="Arial"/>
        </w:rPr>
        <w:t>oloto</w:t>
      </w:r>
      <w:proofErr w:type="spellEnd"/>
      <w:r w:rsidR="00A14D77">
        <w:rPr>
          <w:rFonts w:ascii="Arial" w:hAnsi="Arial" w:cs="Arial"/>
        </w:rPr>
        <w:t xml:space="preserve"> Road.</w:t>
      </w:r>
    </w:p>
    <w:p w:rsidR="009804F2" w:rsidRPr="009804F2" w:rsidRDefault="009804F2" w:rsidP="004B5D08">
      <w:pPr>
        <w:spacing w:after="0"/>
        <w:jc w:val="both"/>
        <w:rPr>
          <w:rFonts w:ascii="Arial" w:hAnsi="Arial" w:cs="Arial"/>
        </w:rPr>
      </w:pPr>
    </w:p>
    <w:p w:rsidR="009804F2" w:rsidRPr="009804F2" w:rsidRDefault="009804F2" w:rsidP="009804F2">
      <w:pPr>
        <w:spacing w:after="0"/>
        <w:ind w:left="1418" w:hanging="1418"/>
        <w:jc w:val="both"/>
        <w:rPr>
          <w:rFonts w:ascii="Arial" w:hAnsi="Arial" w:cs="Arial"/>
        </w:rPr>
      </w:pPr>
      <w:r w:rsidRPr="009804F2">
        <w:rPr>
          <w:rFonts w:ascii="Arial" w:hAnsi="Arial" w:cs="Arial"/>
        </w:rPr>
        <w:lastRenderedPageBreak/>
        <w:t>(c)(</w:t>
      </w:r>
      <w:proofErr w:type="spellStart"/>
      <w:r w:rsidRPr="009804F2">
        <w:rPr>
          <w:rFonts w:ascii="Arial" w:hAnsi="Arial" w:cs="Arial"/>
        </w:rPr>
        <w:t>i</w:t>
      </w:r>
      <w:proofErr w:type="spellEnd"/>
      <w:r w:rsidRPr="009804F2">
        <w:rPr>
          <w:rFonts w:ascii="Arial" w:hAnsi="Arial" w:cs="Arial"/>
        </w:rPr>
        <w:t>)</w:t>
      </w:r>
      <w:r w:rsidRPr="009804F2">
        <w:rPr>
          <w:rFonts w:ascii="Arial" w:hAnsi="Arial" w:cs="Arial"/>
        </w:rPr>
        <w:tab/>
        <w:t xml:space="preserve">The </w:t>
      </w:r>
      <w:r w:rsidR="00A14D77">
        <w:rPr>
          <w:rFonts w:ascii="Arial" w:hAnsi="Arial" w:cs="Arial"/>
        </w:rPr>
        <w:t xml:space="preserve">section of the </w:t>
      </w:r>
      <w:r w:rsidRPr="009804F2">
        <w:rPr>
          <w:rFonts w:ascii="Arial" w:hAnsi="Arial" w:cs="Arial"/>
        </w:rPr>
        <w:t xml:space="preserve">project </w:t>
      </w:r>
      <w:r w:rsidR="00A14D77">
        <w:rPr>
          <w:rFonts w:ascii="Arial" w:hAnsi="Arial" w:cs="Arial"/>
        </w:rPr>
        <w:t xml:space="preserve">under SANRAL’s jurisdiction </w:t>
      </w:r>
      <w:r w:rsidRPr="009804F2">
        <w:rPr>
          <w:rFonts w:ascii="Arial" w:hAnsi="Arial" w:cs="Arial"/>
        </w:rPr>
        <w:t>is not behind schedule, however the following challenges exist:</w:t>
      </w:r>
    </w:p>
    <w:p w:rsidR="009804F2" w:rsidRPr="009804F2" w:rsidRDefault="009804F2" w:rsidP="009804F2">
      <w:pPr>
        <w:spacing w:after="0"/>
        <w:ind w:left="1418" w:hanging="1418"/>
        <w:jc w:val="both"/>
        <w:rPr>
          <w:rFonts w:ascii="Arial" w:hAnsi="Arial" w:cs="Arial"/>
        </w:rPr>
      </w:pPr>
      <w:r w:rsidRPr="009804F2">
        <w:rPr>
          <w:rFonts w:ascii="Arial" w:hAnsi="Arial" w:cs="Arial"/>
        </w:rPr>
        <w:tab/>
      </w:r>
    </w:p>
    <w:p w:rsidR="009804F2" w:rsidRDefault="009804F2" w:rsidP="009804F2">
      <w:pPr>
        <w:pStyle w:val="ListParagraph"/>
        <w:numPr>
          <w:ilvl w:val="0"/>
          <w:numId w:val="17"/>
        </w:numPr>
        <w:spacing w:after="0"/>
        <w:ind w:left="1418"/>
        <w:jc w:val="both"/>
        <w:rPr>
          <w:rFonts w:ascii="Arial" w:hAnsi="Arial" w:cs="Arial"/>
        </w:rPr>
      </w:pPr>
      <w:r>
        <w:rPr>
          <w:rFonts w:ascii="Arial" w:hAnsi="Arial" w:cs="Arial"/>
          <w:sz w:val="24"/>
          <w:szCs w:val="24"/>
        </w:rPr>
        <w:tab/>
      </w:r>
      <w:r w:rsidRPr="00A463E8">
        <w:rPr>
          <w:rFonts w:ascii="Arial" w:hAnsi="Arial" w:cs="Arial"/>
        </w:rPr>
        <w:t xml:space="preserve">Encroachment of the road reserve – </w:t>
      </w:r>
      <w:r w:rsidR="005E00D4">
        <w:rPr>
          <w:rFonts w:ascii="Arial" w:hAnsi="Arial" w:cs="Arial"/>
        </w:rPr>
        <w:t>The</w:t>
      </w:r>
      <w:r w:rsidRPr="00A463E8">
        <w:rPr>
          <w:rFonts w:ascii="Arial" w:hAnsi="Arial" w:cs="Arial"/>
        </w:rPr>
        <w:t xml:space="preserve"> fact that no proper statuary control was exercised in the </w:t>
      </w:r>
      <w:proofErr w:type="gramStart"/>
      <w:r w:rsidRPr="00A463E8">
        <w:rPr>
          <w:rFonts w:ascii="Arial" w:hAnsi="Arial" w:cs="Arial"/>
        </w:rPr>
        <w:t>past,</w:t>
      </w:r>
      <w:proofErr w:type="gramEnd"/>
      <w:r w:rsidRPr="00A463E8">
        <w:rPr>
          <w:rFonts w:ascii="Arial" w:hAnsi="Arial" w:cs="Arial"/>
        </w:rPr>
        <w:t xml:space="preserve"> a high number of formal and informal structures </w:t>
      </w:r>
      <w:r w:rsidR="005E00D4">
        <w:rPr>
          <w:rFonts w:ascii="Arial" w:hAnsi="Arial" w:cs="Arial"/>
        </w:rPr>
        <w:t>were</w:t>
      </w:r>
      <w:r w:rsidRPr="00A463E8">
        <w:rPr>
          <w:rFonts w:ascii="Arial" w:hAnsi="Arial" w:cs="Arial"/>
        </w:rPr>
        <w:t xml:space="preserve"> erected within </w:t>
      </w:r>
      <w:r>
        <w:rPr>
          <w:rFonts w:ascii="Arial" w:hAnsi="Arial" w:cs="Arial"/>
        </w:rPr>
        <w:t xml:space="preserve">the </w:t>
      </w:r>
      <w:r w:rsidRPr="00A463E8">
        <w:rPr>
          <w:rFonts w:ascii="Arial" w:hAnsi="Arial" w:cs="Arial"/>
        </w:rPr>
        <w:t xml:space="preserve">road reserve. These need to be relocated </w:t>
      </w:r>
      <w:r w:rsidR="005E00D4">
        <w:rPr>
          <w:rFonts w:ascii="Arial" w:hAnsi="Arial" w:cs="Arial"/>
        </w:rPr>
        <w:t>from</w:t>
      </w:r>
      <w:r w:rsidRPr="00A463E8">
        <w:rPr>
          <w:rFonts w:ascii="Arial" w:hAnsi="Arial" w:cs="Arial"/>
        </w:rPr>
        <w:t xml:space="preserve"> the road reserve </w:t>
      </w:r>
      <w:r>
        <w:rPr>
          <w:rFonts w:ascii="Arial" w:hAnsi="Arial" w:cs="Arial"/>
        </w:rPr>
        <w:t xml:space="preserve">prior to any </w:t>
      </w:r>
      <w:r w:rsidRPr="00A463E8">
        <w:rPr>
          <w:rFonts w:ascii="Arial" w:hAnsi="Arial" w:cs="Arial"/>
        </w:rPr>
        <w:t xml:space="preserve">construction </w:t>
      </w:r>
      <w:r>
        <w:rPr>
          <w:rFonts w:ascii="Arial" w:hAnsi="Arial" w:cs="Arial"/>
        </w:rPr>
        <w:t xml:space="preserve">works </w:t>
      </w:r>
      <w:r w:rsidRPr="00A463E8">
        <w:rPr>
          <w:rFonts w:ascii="Arial" w:hAnsi="Arial" w:cs="Arial"/>
        </w:rPr>
        <w:t>commenc</w:t>
      </w:r>
      <w:r>
        <w:rPr>
          <w:rFonts w:ascii="Arial" w:hAnsi="Arial" w:cs="Arial"/>
        </w:rPr>
        <w:t>ing</w:t>
      </w:r>
      <w:r w:rsidRPr="00A463E8">
        <w:rPr>
          <w:rFonts w:ascii="Arial" w:hAnsi="Arial" w:cs="Arial"/>
        </w:rPr>
        <w:t>.</w:t>
      </w:r>
    </w:p>
    <w:p w:rsidR="005E00D4" w:rsidRDefault="009804F2" w:rsidP="0077602D">
      <w:pPr>
        <w:pStyle w:val="ListParagraph"/>
        <w:numPr>
          <w:ilvl w:val="0"/>
          <w:numId w:val="17"/>
        </w:numPr>
        <w:spacing w:after="0"/>
        <w:ind w:left="1418"/>
        <w:jc w:val="both"/>
        <w:rPr>
          <w:rFonts w:ascii="Arial" w:hAnsi="Arial" w:cs="Arial"/>
        </w:rPr>
      </w:pPr>
      <w:r w:rsidRPr="005E00D4">
        <w:rPr>
          <w:rFonts w:ascii="Arial" w:hAnsi="Arial" w:cs="Arial"/>
        </w:rPr>
        <w:t xml:space="preserve">Tribal Land Issues – No formal sub-divisions and title deeds exist in tribal areas. To determine compensation </w:t>
      </w:r>
      <w:r w:rsidR="005E00D4" w:rsidRPr="005E00D4">
        <w:rPr>
          <w:rFonts w:ascii="Arial" w:hAnsi="Arial" w:cs="Arial"/>
        </w:rPr>
        <w:t>for</w:t>
      </w:r>
      <w:r w:rsidRPr="005E00D4">
        <w:rPr>
          <w:rFonts w:ascii="Arial" w:hAnsi="Arial" w:cs="Arial"/>
        </w:rPr>
        <w:t xml:space="preserve"> a land owner, SANRAL needs to </w:t>
      </w:r>
      <w:r w:rsidR="005E00D4" w:rsidRPr="005E00D4">
        <w:rPr>
          <w:rFonts w:ascii="Arial" w:hAnsi="Arial" w:cs="Arial"/>
        </w:rPr>
        <w:t xml:space="preserve">first </w:t>
      </w:r>
      <w:r w:rsidRPr="005E00D4">
        <w:rPr>
          <w:rFonts w:ascii="Arial" w:hAnsi="Arial" w:cs="Arial"/>
        </w:rPr>
        <w:t xml:space="preserve">establish the land affected, which is normally done from sub-division diagrams available at the deeds office. Since that is not existing for this area, SANRAL first need to survey the area and establish such basic sub-division diagrams based on conflicting stakeholders input. This leads to an extended stakeholder engagement and land acquisition process. </w:t>
      </w:r>
    </w:p>
    <w:p w:rsidR="009804F2" w:rsidRPr="005E00D4" w:rsidRDefault="009804F2" w:rsidP="0077602D">
      <w:pPr>
        <w:pStyle w:val="ListParagraph"/>
        <w:numPr>
          <w:ilvl w:val="0"/>
          <w:numId w:val="17"/>
        </w:numPr>
        <w:spacing w:after="0"/>
        <w:ind w:left="1418"/>
        <w:jc w:val="both"/>
        <w:rPr>
          <w:rFonts w:ascii="Arial" w:hAnsi="Arial" w:cs="Arial"/>
        </w:rPr>
      </w:pPr>
      <w:r w:rsidRPr="005E00D4">
        <w:rPr>
          <w:rFonts w:ascii="Arial" w:hAnsi="Arial" w:cs="Arial"/>
        </w:rPr>
        <w:t xml:space="preserve">Demands and threats placed on contractors and subcontractors by local community and </w:t>
      </w:r>
      <w:proofErr w:type="spellStart"/>
      <w:r w:rsidRPr="005E00D4">
        <w:rPr>
          <w:rFonts w:ascii="Arial" w:hAnsi="Arial" w:cs="Arial"/>
        </w:rPr>
        <w:t>organised</w:t>
      </w:r>
      <w:proofErr w:type="spellEnd"/>
      <w:r w:rsidRPr="005E00D4">
        <w:rPr>
          <w:rFonts w:ascii="Arial" w:hAnsi="Arial" w:cs="Arial"/>
        </w:rPr>
        <w:t xml:space="preserve"> groups – demanding employment and business opportunities. To date, delays of 2.5 months and 4 months have been experienced for current construction projects in Mpumalanga and Limpopo, respectively. This will be an ongoing challenge throughout the project.</w:t>
      </w:r>
    </w:p>
    <w:p w:rsidR="009804F2" w:rsidRPr="00A463E8" w:rsidRDefault="009804F2" w:rsidP="009804F2">
      <w:pPr>
        <w:pStyle w:val="ListParagraph"/>
        <w:numPr>
          <w:ilvl w:val="0"/>
          <w:numId w:val="17"/>
        </w:numPr>
        <w:spacing w:after="0"/>
        <w:ind w:left="1418"/>
        <w:jc w:val="both"/>
        <w:rPr>
          <w:rFonts w:ascii="Arial" w:hAnsi="Arial" w:cs="Arial"/>
        </w:rPr>
      </w:pPr>
      <w:r w:rsidRPr="00A463E8">
        <w:rPr>
          <w:rFonts w:ascii="Arial" w:hAnsi="Arial" w:cs="Arial"/>
        </w:rPr>
        <w:t xml:space="preserve">Environmental and mining </w:t>
      </w:r>
      <w:proofErr w:type="spellStart"/>
      <w:r w:rsidRPr="00A463E8">
        <w:rPr>
          <w:rFonts w:ascii="Arial" w:hAnsi="Arial" w:cs="Arial"/>
        </w:rPr>
        <w:t>authorisations</w:t>
      </w:r>
      <w:proofErr w:type="spellEnd"/>
      <w:r w:rsidRPr="00A463E8">
        <w:rPr>
          <w:rFonts w:ascii="Arial" w:hAnsi="Arial" w:cs="Arial"/>
        </w:rPr>
        <w:t xml:space="preserve"> – longer procurement, design and stakeholder engagement processes affect these regulatory processes, thus delaying the implementation phase of the projects.</w:t>
      </w:r>
    </w:p>
    <w:p w:rsidR="009804F2" w:rsidRPr="009E3C6C" w:rsidRDefault="009804F2" w:rsidP="009804F2">
      <w:pPr>
        <w:spacing w:after="0"/>
        <w:jc w:val="both"/>
        <w:rPr>
          <w:rFonts w:ascii="Arial" w:hAnsi="Arial" w:cs="Arial"/>
          <w:sz w:val="24"/>
          <w:szCs w:val="24"/>
        </w:rPr>
      </w:pPr>
    </w:p>
    <w:p w:rsidR="009804F2" w:rsidRPr="005E00D4" w:rsidRDefault="009804F2" w:rsidP="009804F2">
      <w:pPr>
        <w:spacing w:after="0"/>
        <w:ind w:left="1418" w:hanging="1418"/>
        <w:jc w:val="both"/>
        <w:rPr>
          <w:rFonts w:ascii="Arial" w:hAnsi="Arial" w:cs="Arial"/>
        </w:rPr>
      </w:pPr>
      <w:r w:rsidRPr="005E00D4">
        <w:rPr>
          <w:rFonts w:ascii="Arial" w:hAnsi="Arial" w:cs="Arial"/>
        </w:rPr>
        <w:t>(c)(ii)</w:t>
      </w:r>
      <w:r w:rsidRPr="005E00D4">
        <w:rPr>
          <w:rFonts w:ascii="Arial" w:hAnsi="Arial" w:cs="Arial"/>
        </w:rPr>
        <w:tab/>
        <w:t>None.</w:t>
      </w:r>
    </w:p>
    <w:p w:rsidR="009804F2" w:rsidRPr="005E00D4" w:rsidRDefault="009804F2" w:rsidP="009804F2">
      <w:pPr>
        <w:spacing w:after="0"/>
        <w:ind w:left="1418" w:hanging="1418"/>
        <w:jc w:val="both"/>
        <w:rPr>
          <w:rFonts w:ascii="Arial" w:hAnsi="Arial" w:cs="Arial"/>
        </w:rPr>
      </w:pPr>
    </w:p>
    <w:p w:rsidR="009804F2" w:rsidRPr="007C78B0" w:rsidRDefault="009804F2" w:rsidP="009804F2">
      <w:pPr>
        <w:spacing w:after="0"/>
        <w:ind w:left="1440" w:hanging="1425"/>
        <w:jc w:val="both"/>
        <w:rPr>
          <w:rFonts w:ascii="Arial" w:hAnsi="Arial" w:cs="Arial"/>
        </w:rPr>
      </w:pPr>
      <w:r w:rsidRPr="005E00D4">
        <w:rPr>
          <w:rFonts w:ascii="Arial" w:hAnsi="Arial" w:cs="Arial"/>
        </w:rPr>
        <w:t>(d)</w:t>
      </w:r>
      <w:r w:rsidRPr="004B5D08">
        <w:rPr>
          <w:rFonts w:ascii="Arial" w:hAnsi="Arial" w:cs="Arial"/>
        </w:rPr>
        <w:tab/>
        <w:t>(</w:t>
      </w:r>
      <w:proofErr w:type="spellStart"/>
      <w:proofErr w:type="gramStart"/>
      <w:r w:rsidRPr="004B5D08">
        <w:rPr>
          <w:rFonts w:ascii="Arial" w:hAnsi="Arial" w:cs="Arial"/>
        </w:rPr>
        <w:t>i</w:t>
      </w:r>
      <w:proofErr w:type="spellEnd"/>
      <w:proofErr w:type="gramEnd"/>
      <w:r w:rsidRPr="004B5D08">
        <w:rPr>
          <w:rFonts w:ascii="Arial" w:hAnsi="Arial" w:cs="Arial"/>
        </w:rPr>
        <w:t xml:space="preserve">) </w:t>
      </w:r>
      <w:r w:rsidRPr="007C78B0">
        <w:rPr>
          <w:rFonts w:ascii="Arial" w:hAnsi="Arial" w:cs="Arial"/>
        </w:rPr>
        <w:t>Extensive engagement with stakeholders i.e. Local and Tribal Authorities, Land Occupiers and Service Providers.</w:t>
      </w:r>
    </w:p>
    <w:p w:rsidR="009804F2" w:rsidRPr="007C78B0" w:rsidRDefault="009804F2" w:rsidP="009804F2">
      <w:pPr>
        <w:spacing w:after="0"/>
        <w:ind w:left="1440" w:hanging="1425"/>
        <w:jc w:val="both"/>
        <w:rPr>
          <w:rFonts w:ascii="Arial" w:hAnsi="Arial" w:cs="Arial"/>
        </w:rPr>
      </w:pPr>
    </w:p>
    <w:p w:rsidR="009804F2" w:rsidRPr="007C78B0" w:rsidRDefault="009804F2" w:rsidP="009804F2">
      <w:pPr>
        <w:spacing w:after="0"/>
        <w:ind w:left="1418"/>
        <w:jc w:val="both"/>
        <w:rPr>
          <w:rFonts w:ascii="Arial" w:hAnsi="Arial" w:cs="Arial"/>
        </w:rPr>
      </w:pPr>
      <w:r w:rsidRPr="007C78B0">
        <w:rPr>
          <w:rFonts w:ascii="Arial" w:hAnsi="Arial" w:cs="Arial"/>
        </w:rPr>
        <w:t>(ii) Community Participation – Setting up of Public Liaison Committees (PLCs), appointment of the Project Liaison Officers (PLOs) and recruitment processes, which involves setting up databases fo</w:t>
      </w:r>
      <w:r w:rsidR="007C78B0">
        <w:rPr>
          <w:rFonts w:ascii="Arial" w:hAnsi="Arial" w:cs="Arial"/>
        </w:rPr>
        <w:t xml:space="preserve">r </w:t>
      </w:r>
      <w:proofErr w:type="spellStart"/>
      <w:r w:rsidR="007C78B0">
        <w:rPr>
          <w:rFonts w:ascii="Arial" w:hAnsi="Arial" w:cs="Arial"/>
        </w:rPr>
        <w:t>labourers</w:t>
      </w:r>
      <w:proofErr w:type="spellEnd"/>
      <w:r w:rsidR="007C78B0">
        <w:rPr>
          <w:rFonts w:ascii="Arial" w:hAnsi="Arial" w:cs="Arial"/>
        </w:rPr>
        <w:t xml:space="preserve"> and sub-contractors;</w:t>
      </w:r>
      <w:r w:rsidRPr="007C78B0">
        <w:rPr>
          <w:rFonts w:ascii="Arial" w:hAnsi="Arial" w:cs="Arial"/>
        </w:rPr>
        <w:t xml:space="preserve"> and selecting </w:t>
      </w:r>
      <w:proofErr w:type="spellStart"/>
      <w:r w:rsidRPr="007C78B0">
        <w:rPr>
          <w:rFonts w:ascii="Arial" w:hAnsi="Arial" w:cs="Arial"/>
        </w:rPr>
        <w:t>labourers</w:t>
      </w:r>
      <w:proofErr w:type="spellEnd"/>
      <w:r w:rsidRPr="007C78B0">
        <w:rPr>
          <w:rFonts w:ascii="Arial" w:hAnsi="Arial" w:cs="Arial"/>
        </w:rPr>
        <w:t xml:space="preserve"> through the raffle methods in their Wards (32 in Mpumalanga). All these processes need to be completed prior to any construction works commencing.</w:t>
      </w:r>
    </w:p>
    <w:p w:rsidR="009804F2" w:rsidRPr="007C78B0" w:rsidRDefault="009804F2" w:rsidP="009804F2">
      <w:pPr>
        <w:spacing w:after="0"/>
        <w:ind w:left="1418"/>
        <w:jc w:val="both"/>
        <w:rPr>
          <w:rFonts w:ascii="Arial" w:hAnsi="Arial" w:cs="Arial"/>
        </w:rPr>
      </w:pPr>
    </w:p>
    <w:p w:rsidR="00DA0998" w:rsidRPr="007C78B0" w:rsidRDefault="009804F2" w:rsidP="009804F2">
      <w:pPr>
        <w:ind w:left="698" w:firstLine="720"/>
        <w:jc w:val="both"/>
        <w:rPr>
          <w:rFonts w:ascii="Arial" w:hAnsi="Arial" w:cs="Arial"/>
          <w:b/>
          <w:lang w:val="en-ZA" w:eastAsia="x-none"/>
        </w:rPr>
      </w:pPr>
      <w:r w:rsidRPr="007C78B0">
        <w:rPr>
          <w:rFonts w:ascii="Arial" w:hAnsi="Arial" w:cs="Arial"/>
        </w:rPr>
        <w:t xml:space="preserve">(iii) </w:t>
      </w:r>
      <w:r w:rsidR="004B5D08" w:rsidRPr="007C78B0">
        <w:rPr>
          <w:rFonts w:ascii="Arial" w:hAnsi="Arial" w:cs="Arial"/>
        </w:rPr>
        <w:t>Workshops for SMME’s and prospective contractors and sub-contractors.</w:t>
      </w:r>
    </w:p>
    <w:sectPr w:rsidR="00DA0998" w:rsidRPr="007C78B0"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2FE" w:rsidRDefault="00F732FE" w:rsidP="00DB1508">
      <w:pPr>
        <w:spacing w:after="0" w:line="240" w:lineRule="auto"/>
      </w:pPr>
      <w:r>
        <w:separator/>
      </w:r>
    </w:p>
  </w:endnote>
  <w:endnote w:type="continuationSeparator" w:id="0">
    <w:p w:rsidR="00F732FE" w:rsidRDefault="00F732FE"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2FE" w:rsidRDefault="00F732FE" w:rsidP="00DB1508">
      <w:pPr>
        <w:spacing w:after="0" w:line="240" w:lineRule="auto"/>
      </w:pPr>
      <w:r>
        <w:separator/>
      </w:r>
    </w:p>
  </w:footnote>
  <w:footnote w:type="continuationSeparator" w:id="0">
    <w:p w:rsidR="00F732FE" w:rsidRDefault="00F732FE"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A5D50"/>
    <w:multiLevelType w:val="hybridMultilevel"/>
    <w:tmpl w:val="55F04724"/>
    <w:lvl w:ilvl="0" w:tplc="DF94C7A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5326A8B"/>
    <w:multiLevelType w:val="hybridMultilevel"/>
    <w:tmpl w:val="3CA4E6D4"/>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9">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1">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7">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2"/>
  </w:num>
  <w:num w:numId="3">
    <w:abstractNumId w:val="15"/>
  </w:num>
  <w:num w:numId="4">
    <w:abstractNumId w:val="2"/>
  </w:num>
  <w:num w:numId="5">
    <w:abstractNumId w:val="11"/>
  </w:num>
  <w:num w:numId="6">
    <w:abstractNumId w:val="1"/>
  </w:num>
  <w:num w:numId="7">
    <w:abstractNumId w:val="6"/>
  </w:num>
  <w:num w:numId="8">
    <w:abstractNumId w:val="4"/>
  </w:num>
  <w:num w:numId="9">
    <w:abstractNumId w:val="13"/>
  </w:num>
  <w:num w:numId="10">
    <w:abstractNumId w:val="8"/>
  </w:num>
  <w:num w:numId="11">
    <w:abstractNumId w:val="17"/>
  </w:num>
  <w:num w:numId="12">
    <w:abstractNumId w:val="5"/>
  </w:num>
  <w:num w:numId="13">
    <w:abstractNumId w:val="9"/>
  </w:num>
  <w:num w:numId="14">
    <w:abstractNumId w:val="16"/>
  </w:num>
  <w:num w:numId="15">
    <w:abstractNumId w:val="10"/>
  </w:num>
  <w:num w:numId="16">
    <w:abstractNumId w:val="14"/>
  </w:num>
  <w:num w:numId="17">
    <w:abstractNumId w:val="7"/>
  </w:num>
  <w:num w:numId="1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536A"/>
    <w:rsid w:val="00026FD9"/>
    <w:rsid w:val="00031989"/>
    <w:rsid w:val="000333D9"/>
    <w:rsid w:val="00041985"/>
    <w:rsid w:val="00044AC4"/>
    <w:rsid w:val="0005130F"/>
    <w:rsid w:val="00051C53"/>
    <w:rsid w:val="0005391D"/>
    <w:rsid w:val="00055A79"/>
    <w:rsid w:val="000607BB"/>
    <w:rsid w:val="00065792"/>
    <w:rsid w:val="000773B2"/>
    <w:rsid w:val="00080CA6"/>
    <w:rsid w:val="000811A7"/>
    <w:rsid w:val="00082A4E"/>
    <w:rsid w:val="0009500E"/>
    <w:rsid w:val="000B01FF"/>
    <w:rsid w:val="000C3487"/>
    <w:rsid w:val="000E04E0"/>
    <w:rsid w:val="000E0CFE"/>
    <w:rsid w:val="000E1816"/>
    <w:rsid w:val="000E1907"/>
    <w:rsid w:val="000F14B7"/>
    <w:rsid w:val="000F15CB"/>
    <w:rsid w:val="000F29A6"/>
    <w:rsid w:val="000F76BD"/>
    <w:rsid w:val="00100168"/>
    <w:rsid w:val="001306CF"/>
    <w:rsid w:val="00130AB5"/>
    <w:rsid w:val="00131EBD"/>
    <w:rsid w:val="0013407E"/>
    <w:rsid w:val="001479DC"/>
    <w:rsid w:val="00151529"/>
    <w:rsid w:val="00153AAD"/>
    <w:rsid w:val="00156DFD"/>
    <w:rsid w:val="001712B4"/>
    <w:rsid w:val="00173751"/>
    <w:rsid w:val="001828D3"/>
    <w:rsid w:val="001B00F5"/>
    <w:rsid w:val="001B2E53"/>
    <w:rsid w:val="001B7525"/>
    <w:rsid w:val="001C323C"/>
    <w:rsid w:val="001C32E4"/>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20C71"/>
    <w:rsid w:val="002422DA"/>
    <w:rsid w:val="00247297"/>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4B8F"/>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50DCD"/>
    <w:rsid w:val="003510C2"/>
    <w:rsid w:val="003541C5"/>
    <w:rsid w:val="003554D8"/>
    <w:rsid w:val="003614CB"/>
    <w:rsid w:val="00362E8C"/>
    <w:rsid w:val="00366F0D"/>
    <w:rsid w:val="00373A84"/>
    <w:rsid w:val="00384F0A"/>
    <w:rsid w:val="00391284"/>
    <w:rsid w:val="00392460"/>
    <w:rsid w:val="00393E6C"/>
    <w:rsid w:val="00396483"/>
    <w:rsid w:val="003A0196"/>
    <w:rsid w:val="003A196A"/>
    <w:rsid w:val="003A4A56"/>
    <w:rsid w:val="003B15B6"/>
    <w:rsid w:val="003B5402"/>
    <w:rsid w:val="003C53EF"/>
    <w:rsid w:val="003C785A"/>
    <w:rsid w:val="003D7ABC"/>
    <w:rsid w:val="003E219B"/>
    <w:rsid w:val="003E5612"/>
    <w:rsid w:val="003F1D7B"/>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79CC"/>
    <w:rsid w:val="0047634E"/>
    <w:rsid w:val="004813B8"/>
    <w:rsid w:val="00491B48"/>
    <w:rsid w:val="00493015"/>
    <w:rsid w:val="00495833"/>
    <w:rsid w:val="004977A9"/>
    <w:rsid w:val="004A00D3"/>
    <w:rsid w:val="004A09AD"/>
    <w:rsid w:val="004A62DE"/>
    <w:rsid w:val="004B5D08"/>
    <w:rsid w:val="004D17A6"/>
    <w:rsid w:val="004D18C0"/>
    <w:rsid w:val="004D69E5"/>
    <w:rsid w:val="004E03F1"/>
    <w:rsid w:val="004E13FB"/>
    <w:rsid w:val="004E2276"/>
    <w:rsid w:val="004E536A"/>
    <w:rsid w:val="004E67DE"/>
    <w:rsid w:val="004E75EB"/>
    <w:rsid w:val="004F5213"/>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4128"/>
    <w:rsid w:val="005D5448"/>
    <w:rsid w:val="005E00D4"/>
    <w:rsid w:val="005E123E"/>
    <w:rsid w:val="005F20B1"/>
    <w:rsid w:val="005F3F35"/>
    <w:rsid w:val="005F630B"/>
    <w:rsid w:val="006009A0"/>
    <w:rsid w:val="00604285"/>
    <w:rsid w:val="006140CA"/>
    <w:rsid w:val="00617B5C"/>
    <w:rsid w:val="00637B39"/>
    <w:rsid w:val="00650421"/>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F31"/>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5491A"/>
    <w:rsid w:val="00764334"/>
    <w:rsid w:val="00783D94"/>
    <w:rsid w:val="00784077"/>
    <w:rsid w:val="00787784"/>
    <w:rsid w:val="007907EC"/>
    <w:rsid w:val="007A22E6"/>
    <w:rsid w:val="007A5C12"/>
    <w:rsid w:val="007A6B70"/>
    <w:rsid w:val="007B1644"/>
    <w:rsid w:val="007B5D04"/>
    <w:rsid w:val="007C78B0"/>
    <w:rsid w:val="007C7CC7"/>
    <w:rsid w:val="007D3628"/>
    <w:rsid w:val="007E3447"/>
    <w:rsid w:val="007F0FBD"/>
    <w:rsid w:val="007F24B0"/>
    <w:rsid w:val="007F5F7B"/>
    <w:rsid w:val="00802076"/>
    <w:rsid w:val="00802DCE"/>
    <w:rsid w:val="00803673"/>
    <w:rsid w:val="008046C7"/>
    <w:rsid w:val="00805E36"/>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A14FA"/>
    <w:rsid w:val="008A3260"/>
    <w:rsid w:val="008A52D5"/>
    <w:rsid w:val="008B2E50"/>
    <w:rsid w:val="008B4716"/>
    <w:rsid w:val="008B7B8C"/>
    <w:rsid w:val="008C0374"/>
    <w:rsid w:val="008C2F92"/>
    <w:rsid w:val="008E13A6"/>
    <w:rsid w:val="008F0979"/>
    <w:rsid w:val="008F5C5A"/>
    <w:rsid w:val="00913EED"/>
    <w:rsid w:val="00916A9F"/>
    <w:rsid w:val="00916CE7"/>
    <w:rsid w:val="009222A7"/>
    <w:rsid w:val="00926370"/>
    <w:rsid w:val="00926938"/>
    <w:rsid w:val="00930A1C"/>
    <w:rsid w:val="0093674F"/>
    <w:rsid w:val="009405C3"/>
    <w:rsid w:val="00941DB4"/>
    <w:rsid w:val="00942F9D"/>
    <w:rsid w:val="00945835"/>
    <w:rsid w:val="009539AF"/>
    <w:rsid w:val="00957D66"/>
    <w:rsid w:val="00961E2F"/>
    <w:rsid w:val="00965817"/>
    <w:rsid w:val="009763BA"/>
    <w:rsid w:val="0097652F"/>
    <w:rsid w:val="009804F2"/>
    <w:rsid w:val="00983EC7"/>
    <w:rsid w:val="00986B35"/>
    <w:rsid w:val="00990CE2"/>
    <w:rsid w:val="00992AA4"/>
    <w:rsid w:val="00993310"/>
    <w:rsid w:val="009A0286"/>
    <w:rsid w:val="009A0C28"/>
    <w:rsid w:val="009A4739"/>
    <w:rsid w:val="009B0431"/>
    <w:rsid w:val="009C0DE1"/>
    <w:rsid w:val="009C4E79"/>
    <w:rsid w:val="009D6BCB"/>
    <w:rsid w:val="009F3B4B"/>
    <w:rsid w:val="009F7581"/>
    <w:rsid w:val="00A00E4A"/>
    <w:rsid w:val="00A01414"/>
    <w:rsid w:val="00A14D77"/>
    <w:rsid w:val="00A21F7F"/>
    <w:rsid w:val="00A22ECB"/>
    <w:rsid w:val="00A271E1"/>
    <w:rsid w:val="00A31871"/>
    <w:rsid w:val="00A33285"/>
    <w:rsid w:val="00A4192C"/>
    <w:rsid w:val="00A44B9A"/>
    <w:rsid w:val="00A46CC2"/>
    <w:rsid w:val="00A55457"/>
    <w:rsid w:val="00A66D53"/>
    <w:rsid w:val="00A750D6"/>
    <w:rsid w:val="00A756F5"/>
    <w:rsid w:val="00A75AE8"/>
    <w:rsid w:val="00A8367F"/>
    <w:rsid w:val="00A87430"/>
    <w:rsid w:val="00A90242"/>
    <w:rsid w:val="00A90517"/>
    <w:rsid w:val="00A910A7"/>
    <w:rsid w:val="00A96DC3"/>
    <w:rsid w:val="00AA4667"/>
    <w:rsid w:val="00AB2A22"/>
    <w:rsid w:val="00AB3558"/>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7E26"/>
    <w:rsid w:val="00B40FCE"/>
    <w:rsid w:val="00B433E2"/>
    <w:rsid w:val="00B453C8"/>
    <w:rsid w:val="00B47C13"/>
    <w:rsid w:val="00B56227"/>
    <w:rsid w:val="00B60B8E"/>
    <w:rsid w:val="00B621B1"/>
    <w:rsid w:val="00B6535B"/>
    <w:rsid w:val="00B66DDB"/>
    <w:rsid w:val="00B73CF5"/>
    <w:rsid w:val="00B75F59"/>
    <w:rsid w:val="00B85208"/>
    <w:rsid w:val="00B90502"/>
    <w:rsid w:val="00B93309"/>
    <w:rsid w:val="00B95F63"/>
    <w:rsid w:val="00BA3834"/>
    <w:rsid w:val="00BA4847"/>
    <w:rsid w:val="00BA7CE2"/>
    <w:rsid w:val="00BB5EA4"/>
    <w:rsid w:val="00BC06BD"/>
    <w:rsid w:val="00BC2F3F"/>
    <w:rsid w:val="00BC7A99"/>
    <w:rsid w:val="00BD65B7"/>
    <w:rsid w:val="00BE0C5A"/>
    <w:rsid w:val="00BF2BEC"/>
    <w:rsid w:val="00BF349B"/>
    <w:rsid w:val="00BF68B6"/>
    <w:rsid w:val="00BF69C4"/>
    <w:rsid w:val="00C01BD0"/>
    <w:rsid w:val="00C0405D"/>
    <w:rsid w:val="00C202CB"/>
    <w:rsid w:val="00C221EA"/>
    <w:rsid w:val="00C33C1E"/>
    <w:rsid w:val="00C456F7"/>
    <w:rsid w:val="00C50D10"/>
    <w:rsid w:val="00C6207A"/>
    <w:rsid w:val="00C62268"/>
    <w:rsid w:val="00C64770"/>
    <w:rsid w:val="00C731ED"/>
    <w:rsid w:val="00C81DAE"/>
    <w:rsid w:val="00C92817"/>
    <w:rsid w:val="00CA3593"/>
    <w:rsid w:val="00CB640B"/>
    <w:rsid w:val="00CC164A"/>
    <w:rsid w:val="00CE1573"/>
    <w:rsid w:val="00CE45D3"/>
    <w:rsid w:val="00CE54D8"/>
    <w:rsid w:val="00CE7A26"/>
    <w:rsid w:val="00CF4661"/>
    <w:rsid w:val="00CF5BC7"/>
    <w:rsid w:val="00D12E4F"/>
    <w:rsid w:val="00D17202"/>
    <w:rsid w:val="00D17AFC"/>
    <w:rsid w:val="00D222DF"/>
    <w:rsid w:val="00D236B7"/>
    <w:rsid w:val="00D444E5"/>
    <w:rsid w:val="00D74AD1"/>
    <w:rsid w:val="00D82AB0"/>
    <w:rsid w:val="00D91442"/>
    <w:rsid w:val="00D92CFD"/>
    <w:rsid w:val="00D92F30"/>
    <w:rsid w:val="00DA0998"/>
    <w:rsid w:val="00DA1E37"/>
    <w:rsid w:val="00DB1508"/>
    <w:rsid w:val="00DB75A3"/>
    <w:rsid w:val="00DD3A8F"/>
    <w:rsid w:val="00DD4D78"/>
    <w:rsid w:val="00DE16E5"/>
    <w:rsid w:val="00DE5D58"/>
    <w:rsid w:val="00DF6F27"/>
    <w:rsid w:val="00E00BA3"/>
    <w:rsid w:val="00E03876"/>
    <w:rsid w:val="00E06DAC"/>
    <w:rsid w:val="00E10CC5"/>
    <w:rsid w:val="00E1610F"/>
    <w:rsid w:val="00E16B9F"/>
    <w:rsid w:val="00E17366"/>
    <w:rsid w:val="00E24CB8"/>
    <w:rsid w:val="00E26225"/>
    <w:rsid w:val="00E30D7E"/>
    <w:rsid w:val="00E31BF8"/>
    <w:rsid w:val="00E37C58"/>
    <w:rsid w:val="00E37DF9"/>
    <w:rsid w:val="00E42375"/>
    <w:rsid w:val="00E4370C"/>
    <w:rsid w:val="00E4578C"/>
    <w:rsid w:val="00E458BE"/>
    <w:rsid w:val="00E53BF6"/>
    <w:rsid w:val="00E57A4E"/>
    <w:rsid w:val="00E6154F"/>
    <w:rsid w:val="00E676A3"/>
    <w:rsid w:val="00E74736"/>
    <w:rsid w:val="00E80B27"/>
    <w:rsid w:val="00E81167"/>
    <w:rsid w:val="00E8305A"/>
    <w:rsid w:val="00E83B34"/>
    <w:rsid w:val="00E91A0D"/>
    <w:rsid w:val="00EA5A80"/>
    <w:rsid w:val="00EB1C6C"/>
    <w:rsid w:val="00EB53F1"/>
    <w:rsid w:val="00EC4D69"/>
    <w:rsid w:val="00EC68CF"/>
    <w:rsid w:val="00ED3E50"/>
    <w:rsid w:val="00ED4839"/>
    <w:rsid w:val="00EF5FED"/>
    <w:rsid w:val="00EF7862"/>
    <w:rsid w:val="00F00B6B"/>
    <w:rsid w:val="00F13E46"/>
    <w:rsid w:val="00F25A2B"/>
    <w:rsid w:val="00F33DA9"/>
    <w:rsid w:val="00F401E2"/>
    <w:rsid w:val="00F41319"/>
    <w:rsid w:val="00F47756"/>
    <w:rsid w:val="00F477AC"/>
    <w:rsid w:val="00F526AD"/>
    <w:rsid w:val="00F54D10"/>
    <w:rsid w:val="00F5526F"/>
    <w:rsid w:val="00F65142"/>
    <w:rsid w:val="00F732FE"/>
    <w:rsid w:val="00F77ABE"/>
    <w:rsid w:val="00F806FE"/>
    <w:rsid w:val="00F80A48"/>
    <w:rsid w:val="00F80B01"/>
    <w:rsid w:val="00F83C35"/>
    <w:rsid w:val="00F86A5F"/>
    <w:rsid w:val="00F91072"/>
    <w:rsid w:val="00F920A1"/>
    <w:rsid w:val="00FA3CC6"/>
    <w:rsid w:val="00FA6022"/>
    <w:rsid w:val="00FB4378"/>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366763989">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CF858-3BD8-4B8E-A0B2-D9F062747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2017-08-24T09:07:00Z</cp:lastPrinted>
  <dcterms:created xsi:type="dcterms:W3CDTF">2017-08-28T11:15:00Z</dcterms:created>
  <dcterms:modified xsi:type="dcterms:W3CDTF">2017-08-28T11:15:00Z</dcterms:modified>
</cp:coreProperties>
</file>