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2FAE" w:rsidRPr="0009787C" w:rsidRDefault="00572FAE" w:rsidP="00572FAE">
      <w:pPr>
        <w:pStyle w:val="DACBODYTEXT"/>
        <w:spacing w:after="0"/>
        <w:ind w:left="84"/>
        <w:jc w:val="center"/>
        <w:rPr>
          <w:b/>
          <w:sz w:val="32"/>
          <w:szCs w:val="32"/>
        </w:rPr>
      </w:pPr>
      <w:r w:rsidRPr="0009787C">
        <w:rPr>
          <w:b/>
          <w:sz w:val="32"/>
          <w:szCs w:val="32"/>
        </w:rPr>
        <w:t>NATIONAL ASSEMBLY</w:t>
      </w:r>
    </w:p>
    <w:p w:rsidR="00572FAE" w:rsidRDefault="00572FAE" w:rsidP="00572FAE">
      <w:pPr>
        <w:spacing w:after="0" w:line="240" w:lineRule="auto"/>
        <w:jc w:val="both"/>
        <w:rPr>
          <w:rFonts w:cs="Arial"/>
          <w:b/>
          <w:color w:val="FF0000"/>
          <w:sz w:val="28"/>
          <w:szCs w:val="28"/>
          <w:u w:val="single"/>
          <w:lang w:val="en-GB"/>
        </w:rPr>
      </w:pPr>
    </w:p>
    <w:p w:rsidR="00572FAE" w:rsidRPr="0009787C" w:rsidRDefault="00572FAE" w:rsidP="00572FAE">
      <w:pPr>
        <w:pStyle w:val="DACBODYTEXT"/>
        <w:spacing w:after="0" w:line="240" w:lineRule="auto"/>
        <w:ind w:left="84" w:hanging="84"/>
        <w:rPr>
          <w:b/>
          <w:sz w:val="32"/>
          <w:szCs w:val="32"/>
          <w:u w:val="single"/>
        </w:rPr>
      </w:pPr>
      <w:r w:rsidRPr="0009787C">
        <w:rPr>
          <w:b/>
          <w:sz w:val="32"/>
          <w:szCs w:val="32"/>
          <w:u w:val="single"/>
        </w:rPr>
        <w:t>QUESTION NO. 2192-2023</w:t>
      </w:r>
    </w:p>
    <w:p w:rsidR="00572FAE" w:rsidRPr="0009787C" w:rsidRDefault="00572FAE" w:rsidP="00572FAE">
      <w:pPr>
        <w:tabs>
          <w:tab w:val="left" w:pos="576"/>
          <w:tab w:val="left" w:pos="1296"/>
          <w:tab w:val="left" w:pos="6336"/>
        </w:tabs>
        <w:spacing w:after="0" w:line="240" w:lineRule="auto"/>
        <w:ind w:left="70" w:hanging="70"/>
        <w:jc w:val="both"/>
        <w:rPr>
          <w:rFonts w:cs="Arial"/>
          <w:b/>
          <w:sz w:val="32"/>
          <w:szCs w:val="32"/>
        </w:rPr>
      </w:pPr>
      <w:r w:rsidRPr="0009787C">
        <w:rPr>
          <w:rFonts w:cs="Arial"/>
          <w:b/>
          <w:sz w:val="32"/>
          <w:szCs w:val="32"/>
          <w:u w:val="single"/>
        </w:rPr>
        <w:t>FOR WRITTEN REPLY</w:t>
      </w:r>
    </w:p>
    <w:p w:rsidR="00572FAE" w:rsidRPr="0009787C" w:rsidRDefault="00572FAE" w:rsidP="00572FAE">
      <w:pPr>
        <w:spacing w:after="0" w:line="240" w:lineRule="auto"/>
        <w:ind w:right="28"/>
        <w:jc w:val="both"/>
        <w:rPr>
          <w:rFonts w:cs="Arial"/>
          <w:b/>
          <w:bCs/>
          <w:sz w:val="32"/>
          <w:szCs w:val="32"/>
        </w:rPr>
      </w:pPr>
      <w:r w:rsidRPr="0009787C">
        <w:rPr>
          <w:rFonts w:cs="Arial"/>
          <w:b/>
          <w:bCs/>
          <w:sz w:val="32"/>
          <w:szCs w:val="32"/>
        </w:rPr>
        <w:t>INTERNAL QUESTION PAPER NO.21-2023 DATED 02 JUNE 2023</w:t>
      </w:r>
    </w:p>
    <w:p w:rsidR="00572FAE" w:rsidRPr="0009787C" w:rsidRDefault="00572FAE" w:rsidP="00572FAE">
      <w:pPr>
        <w:spacing w:after="0" w:line="240" w:lineRule="auto"/>
        <w:ind w:right="28"/>
        <w:jc w:val="both"/>
        <w:rPr>
          <w:rFonts w:cs="Arial"/>
          <w:b/>
          <w:bCs/>
          <w:sz w:val="32"/>
          <w:szCs w:val="32"/>
        </w:rPr>
      </w:pPr>
      <w:r w:rsidRPr="0009787C">
        <w:rPr>
          <w:rFonts w:cs="Arial"/>
          <w:bCs/>
          <w:sz w:val="32"/>
          <w:szCs w:val="32"/>
          <w:lang w:val="af-ZA"/>
        </w:rPr>
        <w:t>“</w:t>
      </w:r>
      <w:r w:rsidRPr="0009787C">
        <w:rPr>
          <w:rFonts w:cs="Arial"/>
          <w:b/>
          <w:bCs/>
          <w:sz w:val="32"/>
          <w:szCs w:val="32"/>
          <w:lang w:val="af-ZA"/>
        </w:rPr>
        <w:t>Mr N G Myburgh (DA) to ask the Minister of Sport, Arts and Culture</w:t>
      </w:r>
      <w:r w:rsidR="00012B52" w:rsidRPr="0009787C">
        <w:rPr>
          <w:rFonts w:cs="Arial"/>
          <w:b/>
          <w:sz w:val="32"/>
          <w:szCs w:val="32"/>
          <w:lang w:val="af-ZA"/>
        </w:rPr>
        <w:fldChar w:fldCharType="begin"/>
      </w:r>
      <w:r w:rsidRPr="0009787C">
        <w:rPr>
          <w:rFonts w:cs="Arial"/>
          <w:b/>
          <w:sz w:val="32"/>
          <w:szCs w:val="32"/>
        </w:rPr>
        <w:instrText xml:space="preserve"> XE "</w:instrText>
      </w:r>
      <w:r w:rsidRPr="0009787C">
        <w:rPr>
          <w:rFonts w:cs="Arial"/>
          <w:b/>
          <w:sz w:val="32"/>
          <w:szCs w:val="32"/>
          <w:lang w:val="af-ZA"/>
        </w:rPr>
        <w:instrText>Minister of Sport, Arts and Culture</w:instrText>
      </w:r>
      <w:r w:rsidRPr="0009787C">
        <w:rPr>
          <w:rFonts w:cs="Arial"/>
          <w:b/>
          <w:sz w:val="32"/>
          <w:szCs w:val="32"/>
        </w:rPr>
        <w:instrText xml:space="preserve">" </w:instrText>
      </w:r>
      <w:r w:rsidR="00012B52" w:rsidRPr="0009787C">
        <w:rPr>
          <w:rFonts w:cs="Arial"/>
          <w:b/>
          <w:sz w:val="32"/>
          <w:szCs w:val="32"/>
          <w:lang w:val="af-ZA"/>
        </w:rPr>
        <w:fldChar w:fldCharType="end"/>
      </w:r>
      <w:r w:rsidRPr="0009787C">
        <w:rPr>
          <w:rFonts w:cs="Arial"/>
          <w:b/>
          <w:sz w:val="32"/>
          <w:szCs w:val="32"/>
          <w:lang w:val="af-ZA"/>
        </w:rPr>
        <w:t>:</w:t>
      </w:r>
    </w:p>
    <w:p w:rsidR="00572FAE" w:rsidRPr="0009787C" w:rsidRDefault="00572FAE" w:rsidP="00572FAE">
      <w:pPr>
        <w:spacing w:before="100" w:beforeAutospacing="1" w:after="0" w:line="240" w:lineRule="auto"/>
        <w:jc w:val="both"/>
        <w:outlineLvl w:val="0"/>
        <w:rPr>
          <w:rFonts w:cs="Arial"/>
          <w:bCs/>
          <w:sz w:val="32"/>
          <w:szCs w:val="32"/>
          <w:lang w:val="en-US"/>
        </w:rPr>
      </w:pPr>
      <w:r w:rsidRPr="0009787C">
        <w:rPr>
          <w:rFonts w:cs="Arial"/>
          <w:bCs/>
          <w:sz w:val="32"/>
          <w:szCs w:val="32"/>
          <w:lang w:val="en-US"/>
        </w:rPr>
        <w:t xml:space="preserve">(1). </w:t>
      </w:r>
      <w:r w:rsidRPr="0009787C">
        <w:rPr>
          <w:rFonts w:cs="Arial"/>
          <w:bCs/>
          <w:sz w:val="32"/>
          <w:szCs w:val="32"/>
          <w:lang w:val="en-US"/>
        </w:rPr>
        <w:tab/>
        <w:t>What (a) total number of contraventions of the National Heritage Resources Act, Act 25 of 1999, were identified nationwide by the Heritage Inspector and (b) are the relevant details of the specified contraventions.</w:t>
      </w:r>
    </w:p>
    <w:p w:rsidR="00572FAE" w:rsidRPr="0009787C" w:rsidRDefault="00572FAE" w:rsidP="00572FAE">
      <w:pPr>
        <w:spacing w:before="100" w:beforeAutospacing="1" w:after="0" w:line="240" w:lineRule="auto"/>
        <w:jc w:val="both"/>
        <w:outlineLvl w:val="0"/>
        <w:rPr>
          <w:rFonts w:cs="Arial"/>
          <w:bCs/>
          <w:sz w:val="32"/>
          <w:szCs w:val="32"/>
          <w:lang w:val="en-US"/>
        </w:rPr>
      </w:pPr>
      <w:r w:rsidRPr="0009787C">
        <w:rPr>
          <w:rFonts w:cs="Arial"/>
          <w:bCs/>
          <w:sz w:val="32"/>
          <w:szCs w:val="32"/>
          <w:lang w:val="en-US"/>
        </w:rPr>
        <w:t xml:space="preserve">(2). </w:t>
      </w:r>
      <w:r w:rsidRPr="0009787C">
        <w:rPr>
          <w:rFonts w:cs="Arial"/>
          <w:bCs/>
          <w:sz w:val="32"/>
          <w:szCs w:val="32"/>
          <w:lang w:val="en-US"/>
        </w:rPr>
        <w:tab/>
        <w:t xml:space="preserve">what (a) total number of penalties were issued and (b) are the relevant details </w:t>
      </w:r>
      <w:r w:rsidRPr="0009787C">
        <w:rPr>
          <w:rFonts w:cs="Arial"/>
          <w:bCs/>
          <w:sz w:val="32"/>
          <w:szCs w:val="32"/>
          <w:lang w:val="en-US"/>
        </w:rPr>
        <w:tab/>
        <w:t>of the specified penalties, including the Rand value thereof.</w:t>
      </w:r>
    </w:p>
    <w:p w:rsidR="00572FAE" w:rsidRPr="009731CD" w:rsidRDefault="00572FAE" w:rsidP="00572FAE">
      <w:pPr>
        <w:spacing w:before="100" w:beforeAutospacing="1" w:after="0" w:line="240" w:lineRule="auto"/>
        <w:jc w:val="both"/>
        <w:outlineLvl w:val="0"/>
        <w:rPr>
          <w:rFonts w:cs="Arial"/>
          <w:b/>
          <w:bCs/>
          <w:sz w:val="32"/>
          <w:szCs w:val="32"/>
          <w:lang w:val="en-US"/>
        </w:rPr>
      </w:pPr>
      <w:r w:rsidRPr="0009787C">
        <w:rPr>
          <w:rFonts w:cs="Arial"/>
          <w:bCs/>
          <w:sz w:val="32"/>
          <w:szCs w:val="32"/>
          <w:lang w:val="en-US"/>
        </w:rPr>
        <w:t xml:space="preserve">(3). </w:t>
      </w:r>
      <w:r w:rsidRPr="0009787C">
        <w:rPr>
          <w:rFonts w:cs="Arial"/>
          <w:bCs/>
          <w:sz w:val="32"/>
          <w:szCs w:val="32"/>
          <w:lang w:val="en-US"/>
        </w:rPr>
        <w:tab/>
        <w:t xml:space="preserve">what (a) total number of cases were referred to court for prosecution and (b) </w:t>
      </w:r>
      <w:r w:rsidRPr="0009787C">
        <w:rPr>
          <w:rFonts w:cs="Arial"/>
          <w:bCs/>
          <w:sz w:val="32"/>
          <w:szCs w:val="32"/>
          <w:lang w:val="en-US"/>
        </w:rPr>
        <w:tab/>
        <w:t xml:space="preserve">are the relevant details of the specified cases?      </w:t>
      </w:r>
      <w:r w:rsidRPr="0009787C">
        <w:rPr>
          <w:rFonts w:cs="Arial"/>
          <w:b/>
          <w:bCs/>
          <w:sz w:val="32"/>
          <w:szCs w:val="32"/>
          <w:lang w:val="en-US"/>
        </w:rPr>
        <w:t>NW2489E</w:t>
      </w:r>
    </w:p>
    <w:p w:rsidR="00572FAE" w:rsidRPr="0009787C" w:rsidRDefault="00572FAE" w:rsidP="00572FAE">
      <w:pPr>
        <w:spacing w:after="0" w:line="360" w:lineRule="auto"/>
        <w:jc w:val="both"/>
        <w:outlineLvl w:val="0"/>
        <w:rPr>
          <w:rFonts w:cs="Arial"/>
          <w:b/>
          <w:sz w:val="32"/>
          <w:szCs w:val="32"/>
        </w:rPr>
      </w:pPr>
      <w:r w:rsidRPr="0009787C">
        <w:rPr>
          <w:rFonts w:cs="Arial"/>
          <w:b/>
          <w:sz w:val="32"/>
          <w:szCs w:val="32"/>
        </w:rPr>
        <w:t xml:space="preserve">REPLY: </w:t>
      </w:r>
    </w:p>
    <w:p w:rsidR="00572FAE" w:rsidRDefault="00572FAE" w:rsidP="00572FAE">
      <w:pPr>
        <w:spacing w:after="0" w:line="240" w:lineRule="auto"/>
        <w:jc w:val="both"/>
        <w:rPr>
          <w:rFonts w:cs="Arial"/>
          <w:bCs/>
          <w:i/>
          <w:iCs/>
          <w:sz w:val="32"/>
          <w:szCs w:val="32"/>
        </w:rPr>
      </w:pPr>
      <w:r w:rsidRPr="0009787C">
        <w:rPr>
          <w:rFonts w:cs="Arial"/>
          <w:bCs/>
          <w:i/>
          <w:iCs/>
          <w:sz w:val="32"/>
          <w:szCs w:val="32"/>
        </w:rPr>
        <w:t xml:space="preserve">(1). </w:t>
      </w:r>
      <w:r w:rsidRPr="0009787C">
        <w:rPr>
          <w:rFonts w:cs="Arial"/>
          <w:bCs/>
          <w:i/>
          <w:iCs/>
          <w:sz w:val="32"/>
          <w:szCs w:val="32"/>
        </w:rPr>
        <w:tab/>
        <w:t>The total number of incidents received and</w:t>
      </w:r>
      <w:r>
        <w:rPr>
          <w:rFonts w:cs="Arial"/>
          <w:bCs/>
          <w:i/>
          <w:iCs/>
          <w:sz w:val="32"/>
          <w:szCs w:val="32"/>
        </w:rPr>
        <w:t xml:space="preserve"> processed by the South Africa </w:t>
      </w:r>
      <w:r w:rsidRPr="0009787C">
        <w:rPr>
          <w:rFonts w:cs="Arial"/>
          <w:bCs/>
          <w:i/>
          <w:iCs/>
          <w:sz w:val="32"/>
          <w:szCs w:val="32"/>
        </w:rPr>
        <w:t>Heritage Resources Agency (SAHR</w:t>
      </w:r>
      <w:r>
        <w:rPr>
          <w:rFonts w:cs="Arial"/>
          <w:bCs/>
          <w:i/>
          <w:iCs/>
          <w:sz w:val="32"/>
          <w:szCs w:val="32"/>
        </w:rPr>
        <w:t xml:space="preserve">A) as part of implementing the </w:t>
      </w:r>
      <w:r w:rsidRPr="0009787C">
        <w:rPr>
          <w:rFonts w:cs="Arial"/>
          <w:bCs/>
          <w:i/>
          <w:iCs/>
          <w:sz w:val="32"/>
          <w:szCs w:val="32"/>
        </w:rPr>
        <w:t>National Heritage Resources Act, Act 25 of 1999, over the past 3 financ</w:t>
      </w:r>
      <w:r>
        <w:rPr>
          <w:rFonts w:cs="Arial"/>
          <w:bCs/>
          <w:i/>
          <w:iCs/>
          <w:sz w:val="32"/>
          <w:szCs w:val="32"/>
        </w:rPr>
        <w:t xml:space="preserve">ial </w:t>
      </w:r>
      <w:r w:rsidRPr="0009787C">
        <w:rPr>
          <w:rFonts w:cs="Arial"/>
          <w:bCs/>
          <w:i/>
          <w:iCs/>
          <w:sz w:val="32"/>
          <w:szCs w:val="32"/>
        </w:rPr>
        <w:t xml:space="preserve">years (2020/2021, 2021/2022, 2022/2023) is eighty-six (86) as shown in the </w:t>
      </w:r>
      <w:r w:rsidRPr="0009787C">
        <w:rPr>
          <w:rFonts w:cs="Arial"/>
          <w:bCs/>
          <w:i/>
          <w:iCs/>
          <w:sz w:val="32"/>
          <w:szCs w:val="32"/>
        </w:rPr>
        <w:tab/>
        <w:t>Table below. This includes contraventions, a</w:t>
      </w:r>
      <w:r>
        <w:rPr>
          <w:rFonts w:cs="Arial"/>
          <w:bCs/>
          <w:i/>
          <w:iCs/>
          <w:sz w:val="32"/>
          <w:szCs w:val="32"/>
        </w:rPr>
        <w:t>ccidental finds, and other non-</w:t>
      </w:r>
      <w:r w:rsidRPr="0009787C">
        <w:rPr>
          <w:rFonts w:cs="Arial"/>
          <w:bCs/>
          <w:i/>
          <w:iCs/>
          <w:sz w:val="32"/>
          <w:szCs w:val="32"/>
        </w:rPr>
        <w:t xml:space="preserve">contravention complaints. Each Provincial Heritage Resources Authority </w:t>
      </w:r>
      <w:r w:rsidRPr="0009787C">
        <w:rPr>
          <w:rFonts w:cs="Arial"/>
          <w:bCs/>
          <w:i/>
          <w:iCs/>
          <w:sz w:val="32"/>
          <w:szCs w:val="32"/>
        </w:rPr>
        <w:tab/>
        <w:t xml:space="preserve">(PHRA) is responsible for the management </w:t>
      </w:r>
      <w:r>
        <w:rPr>
          <w:rFonts w:cs="Arial"/>
          <w:bCs/>
          <w:i/>
          <w:iCs/>
          <w:sz w:val="32"/>
          <w:szCs w:val="32"/>
        </w:rPr>
        <w:t xml:space="preserve">of contraventions within their </w:t>
      </w:r>
      <w:r w:rsidRPr="0009787C">
        <w:rPr>
          <w:rFonts w:cs="Arial"/>
          <w:bCs/>
          <w:i/>
          <w:iCs/>
          <w:sz w:val="32"/>
          <w:szCs w:val="32"/>
        </w:rPr>
        <w:t>respective areas of remit in implementing t</w:t>
      </w:r>
      <w:r>
        <w:rPr>
          <w:rFonts w:cs="Arial"/>
          <w:bCs/>
          <w:i/>
          <w:iCs/>
          <w:sz w:val="32"/>
          <w:szCs w:val="32"/>
        </w:rPr>
        <w:t xml:space="preserve">he National Heritage Resources </w:t>
      </w:r>
      <w:r w:rsidRPr="0009787C">
        <w:rPr>
          <w:rFonts w:cs="Arial"/>
          <w:bCs/>
          <w:i/>
          <w:iCs/>
          <w:sz w:val="32"/>
          <w:szCs w:val="32"/>
        </w:rPr>
        <w:t>Act, Act 25 of 1999. As such SAHRA</w:t>
      </w:r>
      <w:r>
        <w:rPr>
          <w:rFonts w:cs="Arial"/>
          <w:bCs/>
          <w:i/>
          <w:iCs/>
          <w:sz w:val="32"/>
          <w:szCs w:val="32"/>
        </w:rPr>
        <w:t xml:space="preserve"> does not maintain a record of </w:t>
      </w:r>
      <w:r w:rsidRPr="0009787C">
        <w:rPr>
          <w:rFonts w:cs="Arial"/>
          <w:bCs/>
          <w:i/>
          <w:iCs/>
          <w:sz w:val="32"/>
          <w:szCs w:val="32"/>
        </w:rPr>
        <w:t>contraventions where SAHRA was not the responsible authority or other</w:t>
      </w:r>
      <w:r>
        <w:rPr>
          <w:rFonts w:cs="Arial"/>
          <w:bCs/>
          <w:i/>
          <w:iCs/>
          <w:sz w:val="32"/>
          <w:szCs w:val="32"/>
        </w:rPr>
        <w:t xml:space="preserve">wise </w:t>
      </w:r>
      <w:r w:rsidRPr="0009787C">
        <w:rPr>
          <w:rFonts w:cs="Arial"/>
          <w:bCs/>
          <w:i/>
          <w:iCs/>
          <w:sz w:val="32"/>
          <w:szCs w:val="32"/>
        </w:rPr>
        <w:t xml:space="preserve">not involved. </w:t>
      </w:r>
    </w:p>
    <w:p w:rsidR="00572FAE" w:rsidRDefault="00572FAE" w:rsidP="00572FAE">
      <w:pPr>
        <w:spacing w:after="0" w:line="240" w:lineRule="auto"/>
        <w:jc w:val="both"/>
        <w:rPr>
          <w:rFonts w:cs="Arial"/>
          <w:bCs/>
          <w:i/>
          <w:iCs/>
          <w:sz w:val="32"/>
          <w:szCs w:val="32"/>
        </w:rPr>
      </w:pPr>
    </w:p>
    <w:p w:rsidR="00572FAE" w:rsidRDefault="00572FAE" w:rsidP="00572FAE">
      <w:pPr>
        <w:spacing w:after="0" w:line="240" w:lineRule="auto"/>
        <w:jc w:val="both"/>
        <w:rPr>
          <w:rFonts w:cs="Arial"/>
          <w:bCs/>
          <w:i/>
          <w:iCs/>
          <w:sz w:val="32"/>
          <w:szCs w:val="32"/>
        </w:rPr>
      </w:pPr>
    </w:p>
    <w:p w:rsidR="00572FAE" w:rsidRPr="0009787C" w:rsidRDefault="00572FAE" w:rsidP="00572FAE">
      <w:pPr>
        <w:spacing w:after="0" w:line="240" w:lineRule="auto"/>
        <w:jc w:val="both"/>
        <w:rPr>
          <w:rFonts w:cs="Arial"/>
          <w:bCs/>
          <w:sz w:val="32"/>
          <w:szCs w:val="32"/>
        </w:rPr>
      </w:pPr>
    </w:p>
    <w:tbl>
      <w:tblPr>
        <w:tblW w:w="0" w:type="auto"/>
        <w:jc w:val="center"/>
        <w:tblCellMar>
          <w:left w:w="0" w:type="dxa"/>
          <w:right w:w="0" w:type="dxa"/>
        </w:tblCellMar>
        <w:tblLook w:val="04A0"/>
      </w:tblPr>
      <w:tblGrid>
        <w:gridCol w:w="3251"/>
        <w:gridCol w:w="1351"/>
        <w:gridCol w:w="1351"/>
        <w:gridCol w:w="1351"/>
        <w:gridCol w:w="1180"/>
      </w:tblGrid>
      <w:tr w:rsidR="00572FAE" w:rsidRPr="003C2AA6" w:rsidTr="00A90BA4">
        <w:trPr>
          <w:trHeight w:val="288"/>
          <w:jc w:val="center"/>
        </w:trPr>
        <w:tc>
          <w:tcPr>
            <w:tcW w:w="3251" w:type="dxa"/>
            <w:tcBorders>
              <w:top w:val="single" w:sz="8" w:space="0" w:color="auto"/>
              <w:left w:val="single" w:sz="8" w:space="0" w:color="auto"/>
              <w:bottom w:val="single" w:sz="8" w:space="0" w:color="auto"/>
              <w:right w:val="single" w:sz="8" w:space="0" w:color="auto"/>
            </w:tcBorders>
            <w:shd w:val="clear" w:color="auto" w:fill="6C0000"/>
            <w:noWrap/>
            <w:tcMar>
              <w:top w:w="0" w:type="dxa"/>
              <w:left w:w="108" w:type="dxa"/>
              <w:bottom w:w="0" w:type="dxa"/>
              <w:right w:w="108" w:type="dxa"/>
            </w:tcMar>
            <w:hideMark/>
          </w:tcPr>
          <w:p w:rsidR="00572FAE" w:rsidRPr="003C2AA6" w:rsidRDefault="00572FAE" w:rsidP="00A90BA4">
            <w:pPr>
              <w:spacing w:after="0" w:line="360" w:lineRule="auto"/>
              <w:jc w:val="both"/>
              <w:rPr>
                <w:rFonts w:cs="Arial"/>
                <w:bCs/>
                <w:sz w:val="24"/>
                <w:szCs w:val="24"/>
              </w:rPr>
            </w:pPr>
          </w:p>
        </w:tc>
        <w:tc>
          <w:tcPr>
            <w:tcW w:w="809" w:type="dxa"/>
            <w:tcBorders>
              <w:top w:val="single" w:sz="8" w:space="0" w:color="auto"/>
              <w:left w:val="nil"/>
              <w:bottom w:val="single" w:sz="8" w:space="0" w:color="auto"/>
              <w:right w:val="single" w:sz="8" w:space="0" w:color="auto"/>
            </w:tcBorders>
            <w:shd w:val="clear" w:color="auto" w:fill="6C0000"/>
            <w:noWrap/>
            <w:tcMar>
              <w:top w:w="0" w:type="dxa"/>
              <w:left w:w="108" w:type="dxa"/>
              <w:bottom w:w="0" w:type="dxa"/>
              <w:right w:w="108" w:type="dxa"/>
            </w:tcMar>
            <w:hideMark/>
          </w:tcPr>
          <w:p w:rsidR="00572FAE" w:rsidRPr="003C2AA6" w:rsidRDefault="00572FAE" w:rsidP="00A90BA4">
            <w:pPr>
              <w:spacing w:after="0" w:line="360" w:lineRule="auto"/>
              <w:jc w:val="both"/>
              <w:rPr>
                <w:rFonts w:cs="Arial"/>
                <w:bCs/>
                <w:sz w:val="24"/>
                <w:szCs w:val="24"/>
              </w:rPr>
            </w:pPr>
            <w:r w:rsidRPr="003C2AA6">
              <w:rPr>
                <w:rFonts w:cs="Arial"/>
                <w:b/>
                <w:bCs/>
                <w:i/>
                <w:iCs/>
                <w:sz w:val="24"/>
                <w:szCs w:val="24"/>
              </w:rPr>
              <w:t>2020/2021</w:t>
            </w:r>
          </w:p>
        </w:tc>
        <w:tc>
          <w:tcPr>
            <w:tcW w:w="1256" w:type="dxa"/>
            <w:tcBorders>
              <w:top w:val="single" w:sz="8" w:space="0" w:color="auto"/>
              <w:left w:val="nil"/>
              <w:bottom w:val="single" w:sz="8" w:space="0" w:color="auto"/>
              <w:right w:val="single" w:sz="8" w:space="0" w:color="auto"/>
            </w:tcBorders>
            <w:shd w:val="clear" w:color="auto" w:fill="6C0000"/>
            <w:noWrap/>
            <w:tcMar>
              <w:top w:w="0" w:type="dxa"/>
              <w:left w:w="108" w:type="dxa"/>
              <w:bottom w:w="0" w:type="dxa"/>
              <w:right w:w="108" w:type="dxa"/>
            </w:tcMar>
            <w:hideMark/>
          </w:tcPr>
          <w:p w:rsidR="00572FAE" w:rsidRPr="003C2AA6" w:rsidRDefault="00572FAE" w:rsidP="00A90BA4">
            <w:pPr>
              <w:spacing w:after="0" w:line="360" w:lineRule="auto"/>
              <w:jc w:val="both"/>
              <w:rPr>
                <w:rFonts w:cs="Arial"/>
                <w:bCs/>
                <w:sz w:val="24"/>
                <w:szCs w:val="24"/>
              </w:rPr>
            </w:pPr>
            <w:r w:rsidRPr="003C2AA6">
              <w:rPr>
                <w:rFonts w:cs="Arial"/>
                <w:b/>
                <w:bCs/>
                <w:i/>
                <w:iCs/>
                <w:sz w:val="24"/>
                <w:szCs w:val="24"/>
              </w:rPr>
              <w:t>2021/2022</w:t>
            </w:r>
          </w:p>
        </w:tc>
        <w:tc>
          <w:tcPr>
            <w:tcW w:w="1256" w:type="dxa"/>
            <w:tcBorders>
              <w:top w:val="single" w:sz="8" w:space="0" w:color="auto"/>
              <w:left w:val="nil"/>
              <w:bottom w:val="single" w:sz="8" w:space="0" w:color="auto"/>
              <w:right w:val="single" w:sz="8" w:space="0" w:color="auto"/>
            </w:tcBorders>
            <w:shd w:val="clear" w:color="auto" w:fill="6C0000"/>
            <w:noWrap/>
            <w:tcMar>
              <w:top w:w="0" w:type="dxa"/>
              <w:left w:w="108" w:type="dxa"/>
              <w:bottom w:w="0" w:type="dxa"/>
              <w:right w:w="108" w:type="dxa"/>
            </w:tcMar>
            <w:hideMark/>
          </w:tcPr>
          <w:p w:rsidR="00572FAE" w:rsidRPr="003C2AA6" w:rsidRDefault="00572FAE" w:rsidP="00A90BA4">
            <w:pPr>
              <w:spacing w:after="0" w:line="360" w:lineRule="auto"/>
              <w:jc w:val="both"/>
              <w:rPr>
                <w:rFonts w:cs="Arial"/>
                <w:bCs/>
                <w:sz w:val="24"/>
                <w:szCs w:val="24"/>
              </w:rPr>
            </w:pPr>
            <w:r w:rsidRPr="003C2AA6">
              <w:rPr>
                <w:rFonts w:cs="Arial"/>
                <w:b/>
                <w:bCs/>
                <w:i/>
                <w:iCs/>
                <w:sz w:val="24"/>
                <w:szCs w:val="24"/>
              </w:rPr>
              <w:t>2022/2023</w:t>
            </w:r>
          </w:p>
        </w:tc>
        <w:tc>
          <w:tcPr>
            <w:tcW w:w="1180" w:type="dxa"/>
            <w:tcBorders>
              <w:top w:val="single" w:sz="8" w:space="0" w:color="auto"/>
              <w:left w:val="nil"/>
              <w:bottom w:val="single" w:sz="8" w:space="0" w:color="auto"/>
              <w:right w:val="single" w:sz="8" w:space="0" w:color="auto"/>
            </w:tcBorders>
            <w:shd w:val="clear" w:color="auto" w:fill="6C0000"/>
            <w:noWrap/>
            <w:tcMar>
              <w:top w:w="0" w:type="dxa"/>
              <w:left w:w="108" w:type="dxa"/>
              <w:bottom w:w="0" w:type="dxa"/>
              <w:right w:w="108" w:type="dxa"/>
            </w:tcMar>
            <w:hideMark/>
          </w:tcPr>
          <w:p w:rsidR="00572FAE" w:rsidRPr="003C2AA6" w:rsidRDefault="00572FAE" w:rsidP="00A90BA4">
            <w:pPr>
              <w:spacing w:after="0" w:line="360" w:lineRule="auto"/>
              <w:jc w:val="right"/>
              <w:rPr>
                <w:rFonts w:cs="Arial"/>
                <w:bCs/>
                <w:sz w:val="24"/>
                <w:szCs w:val="24"/>
              </w:rPr>
            </w:pPr>
            <w:r w:rsidRPr="003C2AA6">
              <w:rPr>
                <w:rFonts w:cs="Arial"/>
                <w:b/>
                <w:bCs/>
                <w:i/>
                <w:iCs/>
                <w:sz w:val="24"/>
                <w:szCs w:val="24"/>
              </w:rPr>
              <w:t>Total</w:t>
            </w:r>
          </w:p>
        </w:tc>
      </w:tr>
      <w:tr w:rsidR="00572FAE" w:rsidRPr="003C2AA6" w:rsidTr="00A90BA4">
        <w:trPr>
          <w:trHeight w:val="288"/>
          <w:jc w:val="center"/>
        </w:trPr>
        <w:tc>
          <w:tcPr>
            <w:tcW w:w="325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572FAE" w:rsidRPr="003C2AA6" w:rsidRDefault="00572FAE" w:rsidP="00A90BA4">
            <w:pPr>
              <w:spacing w:after="0" w:line="360" w:lineRule="auto"/>
              <w:rPr>
                <w:rFonts w:cs="Arial"/>
                <w:bCs/>
                <w:sz w:val="24"/>
                <w:szCs w:val="24"/>
              </w:rPr>
            </w:pPr>
            <w:r w:rsidRPr="003C2AA6">
              <w:rPr>
                <w:rFonts w:cs="Arial"/>
                <w:b/>
                <w:bCs/>
                <w:i/>
                <w:iCs/>
                <w:sz w:val="24"/>
                <w:szCs w:val="24"/>
              </w:rPr>
              <w:t>Incidents Reported per year</w:t>
            </w:r>
          </w:p>
        </w:tc>
        <w:tc>
          <w:tcPr>
            <w:tcW w:w="809" w:type="dxa"/>
            <w:tcBorders>
              <w:top w:val="nil"/>
              <w:left w:val="nil"/>
              <w:bottom w:val="single" w:sz="8" w:space="0" w:color="auto"/>
              <w:right w:val="single" w:sz="8" w:space="0" w:color="auto"/>
            </w:tcBorders>
            <w:noWrap/>
            <w:tcMar>
              <w:top w:w="0" w:type="dxa"/>
              <w:left w:w="108" w:type="dxa"/>
              <w:bottom w:w="0" w:type="dxa"/>
              <w:right w:w="108" w:type="dxa"/>
            </w:tcMar>
            <w:hideMark/>
          </w:tcPr>
          <w:p w:rsidR="00572FAE" w:rsidRPr="003C2AA6" w:rsidRDefault="00572FAE" w:rsidP="00A90BA4">
            <w:pPr>
              <w:spacing w:after="0" w:line="360" w:lineRule="auto"/>
              <w:rPr>
                <w:rFonts w:cs="Arial"/>
                <w:sz w:val="24"/>
                <w:szCs w:val="24"/>
              </w:rPr>
            </w:pPr>
            <w:r w:rsidRPr="003C2AA6">
              <w:rPr>
                <w:rFonts w:cs="Arial"/>
                <w:i/>
                <w:iCs/>
                <w:sz w:val="24"/>
                <w:szCs w:val="24"/>
              </w:rPr>
              <w:t>17</w:t>
            </w:r>
          </w:p>
        </w:tc>
        <w:tc>
          <w:tcPr>
            <w:tcW w:w="1256" w:type="dxa"/>
            <w:tcBorders>
              <w:top w:val="nil"/>
              <w:left w:val="nil"/>
              <w:bottom w:val="single" w:sz="8" w:space="0" w:color="auto"/>
              <w:right w:val="single" w:sz="8" w:space="0" w:color="auto"/>
            </w:tcBorders>
            <w:noWrap/>
            <w:tcMar>
              <w:top w:w="0" w:type="dxa"/>
              <w:left w:w="108" w:type="dxa"/>
              <w:bottom w:w="0" w:type="dxa"/>
              <w:right w:w="108" w:type="dxa"/>
            </w:tcMar>
            <w:hideMark/>
          </w:tcPr>
          <w:p w:rsidR="00572FAE" w:rsidRPr="003C2AA6" w:rsidRDefault="00572FAE" w:rsidP="00A90BA4">
            <w:pPr>
              <w:spacing w:after="0" w:line="360" w:lineRule="auto"/>
              <w:rPr>
                <w:rFonts w:cs="Arial"/>
                <w:sz w:val="24"/>
                <w:szCs w:val="24"/>
              </w:rPr>
            </w:pPr>
            <w:r w:rsidRPr="003C2AA6">
              <w:rPr>
                <w:rFonts w:cs="Arial"/>
                <w:i/>
                <w:iCs/>
                <w:sz w:val="24"/>
                <w:szCs w:val="24"/>
              </w:rPr>
              <w:t>25</w:t>
            </w:r>
          </w:p>
        </w:tc>
        <w:tc>
          <w:tcPr>
            <w:tcW w:w="1256" w:type="dxa"/>
            <w:tcBorders>
              <w:top w:val="nil"/>
              <w:left w:val="nil"/>
              <w:bottom w:val="single" w:sz="8" w:space="0" w:color="auto"/>
              <w:right w:val="single" w:sz="8" w:space="0" w:color="auto"/>
            </w:tcBorders>
            <w:noWrap/>
            <w:tcMar>
              <w:top w:w="0" w:type="dxa"/>
              <w:left w:w="108" w:type="dxa"/>
              <w:bottom w:w="0" w:type="dxa"/>
              <w:right w:w="108" w:type="dxa"/>
            </w:tcMar>
            <w:hideMark/>
          </w:tcPr>
          <w:p w:rsidR="00572FAE" w:rsidRPr="003C2AA6" w:rsidRDefault="00572FAE" w:rsidP="00A90BA4">
            <w:pPr>
              <w:spacing w:after="0" w:line="360" w:lineRule="auto"/>
              <w:rPr>
                <w:rFonts w:cs="Arial"/>
                <w:sz w:val="24"/>
                <w:szCs w:val="24"/>
              </w:rPr>
            </w:pPr>
            <w:r w:rsidRPr="003C2AA6">
              <w:rPr>
                <w:rFonts w:cs="Arial"/>
                <w:i/>
                <w:iCs/>
                <w:sz w:val="24"/>
                <w:szCs w:val="24"/>
              </w:rPr>
              <w:t>44</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hideMark/>
          </w:tcPr>
          <w:p w:rsidR="00572FAE" w:rsidRPr="003C2AA6" w:rsidRDefault="00572FAE" w:rsidP="00A90BA4">
            <w:pPr>
              <w:spacing w:after="0" w:line="360" w:lineRule="auto"/>
              <w:jc w:val="right"/>
              <w:rPr>
                <w:rFonts w:cs="Arial"/>
                <w:bCs/>
                <w:sz w:val="24"/>
                <w:szCs w:val="24"/>
              </w:rPr>
            </w:pPr>
            <w:r w:rsidRPr="003C2AA6">
              <w:rPr>
                <w:rFonts w:cs="Arial"/>
                <w:b/>
                <w:bCs/>
                <w:i/>
                <w:iCs/>
                <w:sz w:val="24"/>
                <w:szCs w:val="24"/>
              </w:rPr>
              <w:t>86</w:t>
            </w:r>
          </w:p>
        </w:tc>
      </w:tr>
    </w:tbl>
    <w:p w:rsidR="00572FAE" w:rsidRPr="003C2AA6" w:rsidRDefault="00572FAE" w:rsidP="00572FAE">
      <w:pPr>
        <w:spacing w:after="0" w:line="360" w:lineRule="auto"/>
        <w:jc w:val="both"/>
        <w:rPr>
          <w:rFonts w:cs="Arial"/>
          <w:bCs/>
          <w:i/>
          <w:iCs/>
          <w:sz w:val="24"/>
          <w:szCs w:val="24"/>
        </w:rPr>
      </w:pPr>
      <w:r w:rsidRPr="003C2AA6">
        <w:rPr>
          <w:rFonts w:cs="Arial"/>
          <w:bCs/>
          <w:i/>
          <w:iCs/>
          <w:sz w:val="24"/>
          <w:szCs w:val="24"/>
        </w:rPr>
        <w:t> </w:t>
      </w:r>
    </w:p>
    <w:p w:rsidR="00572FAE" w:rsidRPr="0009787C" w:rsidRDefault="00572FAE" w:rsidP="00572FAE">
      <w:pPr>
        <w:tabs>
          <w:tab w:val="num" w:pos="360"/>
        </w:tabs>
        <w:spacing w:line="240" w:lineRule="auto"/>
        <w:jc w:val="both"/>
        <w:rPr>
          <w:rFonts w:cs="Arial"/>
          <w:bCs/>
          <w:i/>
          <w:iCs/>
          <w:sz w:val="28"/>
          <w:szCs w:val="28"/>
        </w:rPr>
      </w:pPr>
      <w:r w:rsidRPr="003C2AA6">
        <w:rPr>
          <w:rFonts w:cs="Arial"/>
          <w:b/>
          <w:color w:val="404040" w:themeColor="text1" w:themeTint="BF"/>
          <w:sz w:val="24"/>
          <w:szCs w:val="24"/>
        </w:rPr>
        <w:t>(2).</w:t>
      </w:r>
      <w:r w:rsidRPr="003C2AA6">
        <w:rPr>
          <w:rFonts w:cs="Arial"/>
          <w:b/>
          <w:color w:val="404040" w:themeColor="text1" w:themeTint="BF"/>
          <w:sz w:val="24"/>
          <w:szCs w:val="24"/>
        </w:rPr>
        <w:tab/>
      </w:r>
      <w:r w:rsidRPr="0009787C">
        <w:rPr>
          <w:rFonts w:cs="Arial"/>
          <w:bCs/>
          <w:i/>
          <w:iCs/>
          <w:sz w:val="28"/>
          <w:szCs w:val="28"/>
        </w:rPr>
        <w:t>In terms of Section 51 of the National Heritage R</w:t>
      </w:r>
      <w:r>
        <w:rPr>
          <w:rFonts w:cs="Arial"/>
          <w:bCs/>
          <w:i/>
          <w:iCs/>
          <w:sz w:val="28"/>
          <w:szCs w:val="28"/>
        </w:rPr>
        <w:t xml:space="preserve">esources Act, Act 25 of 1999, </w:t>
      </w:r>
      <w:r w:rsidRPr="0009787C">
        <w:rPr>
          <w:rFonts w:cs="Arial"/>
          <w:bCs/>
          <w:i/>
          <w:iCs/>
          <w:sz w:val="28"/>
          <w:szCs w:val="28"/>
        </w:rPr>
        <w:t>SAHRA does not administer penalties as this fall</w:t>
      </w:r>
      <w:r>
        <w:rPr>
          <w:rFonts w:cs="Arial"/>
          <w:bCs/>
          <w:i/>
          <w:iCs/>
          <w:sz w:val="28"/>
          <w:szCs w:val="28"/>
        </w:rPr>
        <w:t xml:space="preserve"> within the scope of the </w:t>
      </w:r>
      <w:r w:rsidRPr="0009787C">
        <w:rPr>
          <w:rFonts w:cs="Arial"/>
          <w:bCs/>
          <w:i/>
          <w:iCs/>
          <w:sz w:val="28"/>
          <w:szCs w:val="28"/>
        </w:rPr>
        <w:t>Department of Justice.</w:t>
      </w:r>
    </w:p>
    <w:p w:rsidR="00572FAE" w:rsidRPr="0009787C" w:rsidRDefault="00572FAE" w:rsidP="00572FAE">
      <w:pPr>
        <w:spacing w:line="240" w:lineRule="auto"/>
        <w:jc w:val="both"/>
        <w:rPr>
          <w:rFonts w:cs="Arial"/>
          <w:bCs/>
          <w:i/>
          <w:iCs/>
          <w:sz w:val="28"/>
          <w:szCs w:val="28"/>
        </w:rPr>
      </w:pPr>
      <w:r w:rsidRPr="0009787C">
        <w:rPr>
          <w:rFonts w:cs="Arial"/>
          <w:b/>
          <w:color w:val="404040" w:themeColor="text1" w:themeTint="BF"/>
          <w:sz w:val="28"/>
          <w:szCs w:val="28"/>
        </w:rPr>
        <w:t xml:space="preserve">(3). </w:t>
      </w:r>
      <w:r w:rsidRPr="0009787C">
        <w:rPr>
          <w:rFonts w:cs="Arial"/>
          <w:b/>
          <w:color w:val="404040" w:themeColor="text1" w:themeTint="BF"/>
          <w:sz w:val="28"/>
          <w:szCs w:val="28"/>
        </w:rPr>
        <w:tab/>
      </w:r>
      <w:r w:rsidRPr="0009787C">
        <w:rPr>
          <w:rFonts w:cs="Arial"/>
          <w:bCs/>
          <w:i/>
          <w:iCs/>
          <w:sz w:val="28"/>
          <w:szCs w:val="28"/>
        </w:rPr>
        <w:t xml:space="preserve">Indicated in the table below is the Five (5) cases that have been escalated </w:t>
      </w:r>
      <w:r w:rsidRPr="0009787C">
        <w:rPr>
          <w:rFonts w:cs="Arial"/>
          <w:bCs/>
          <w:i/>
          <w:iCs/>
          <w:sz w:val="28"/>
          <w:szCs w:val="28"/>
        </w:rPr>
        <w:tab/>
        <w:t>for further legal action in collaboration with SAHRA.</w:t>
      </w:r>
    </w:p>
    <w:tbl>
      <w:tblPr>
        <w:tblW w:w="0" w:type="auto"/>
        <w:tblCellMar>
          <w:left w:w="0" w:type="dxa"/>
          <w:right w:w="0" w:type="dxa"/>
        </w:tblCellMar>
        <w:tblLook w:val="04A0"/>
      </w:tblPr>
      <w:tblGrid>
        <w:gridCol w:w="2117"/>
        <w:gridCol w:w="1711"/>
        <w:gridCol w:w="2024"/>
        <w:gridCol w:w="3346"/>
      </w:tblGrid>
      <w:tr w:rsidR="00572FAE" w:rsidRPr="003C2AA6" w:rsidTr="00A90BA4">
        <w:trPr>
          <w:trHeight w:val="288"/>
        </w:trPr>
        <w:tc>
          <w:tcPr>
            <w:tcW w:w="2117" w:type="dxa"/>
            <w:tcBorders>
              <w:top w:val="single" w:sz="8" w:space="0" w:color="auto"/>
              <w:left w:val="single" w:sz="8" w:space="0" w:color="auto"/>
              <w:bottom w:val="single" w:sz="8" w:space="0" w:color="auto"/>
              <w:right w:val="single" w:sz="8" w:space="0" w:color="auto"/>
            </w:tcBorders>
            <w:shd w:val="clear" w:color="auto" w:fill="6C0000"/>
            <w:noWrap/>
            <w:tcMar>
              <w:top w:w="0" w:type="dxa"/>
              <w:left w:w="108" w:type="dxa"/>
              <w:bottom w:w="0" w:type="dxa"/>
              <w:right w:w="108" w:type="dxa"/>
            </w:tcMar>
            <w:hideMark/>
          </w:tcPr>
          <w:p w:rsidR="00572FAE" w:rsidRPr="003C2AA6" w:rsidRDefault="00572FAE" w:rsidP="00A90BA4">
            <w:pPr>
              <w:spacing w:after="0" w:line="360" w:lineRule="auto"/>
              <w:jc w:val="center"/>
              <w:rPr>
                <w:rFonts w:cs="Arial"/>
                <w:b/>
                <w:sz w:val="24"/>
                <w:szCs w:val="24"/>
              </w:rPr>
            </w:pPr>
            <w:r w:rsidRPr="003C2AA6">
              <w:rPr>
                <w:rFonts w:cs="Arial"/>
                <w:b/>
                <w:sz w:val="24"/>
                <w:szCs w:val="24"/>
              </w:rPr>
              <w:t>Case</w:t>
            </w:r>
          </w:p>
        </w:tc>
        <w:tc>
          <w:tcPr>
            <w:tcW w:w="1519" w:type="dxa"/>
            <w:tcBorders>
              <w:top w:val="single" w:sz="8" w:space="0" w:color="auto"/>
              <w:left w:val="nil"/>
              <w:bottom w:val="single" w:sz="8" w:space="0" w:color="auto"/>
              <w:right w:val="single" w:sz="8" w:space="0" w:color="auto"/>
            </w:tcBorders>
            <w:shd w:val="clear" w:color="auto" w:fill="6C0000"/>
            <w:noWrap/>
            <w:tcMar>
              <w:top w:w="0" w:type="dxa"/>
              <w:left w:w="108" w:type="dxa"/>
              <w:bottom w:w="0" w:type="dxa"/>
              <w:right w:w="108" w:type="dxa"/>
            </w:tcMar>
            <w:hideMark/>
          </w:tcPr>
          <w:p w:rsidR="00572FAE" w:rsidRPr="003C2AA6" w:rsidRDefault="00572FAE" w:rsidP="00A90BA4">
            <w:pPr>
              <w:spacing w:after="0" w:line="360" w:lineRule="auto"/>
              <w:jc w:val="center"/>
              <w:rPr>
                <w:rFonts w:cs="Arial"/>
                <w:b/>
                <w:sz w:val="24"/>
                <w:szCs w:val="24"/>
              </w:rPr>
            </w:pPr>
            <w:r w:rsidRPr="003C2AA6">
              <w:rPr>
                <w:rFonts w:cs="Arial"/>
                <w:b/>
                <w:sz w:val="24"/>
                <w:szCs w:val="24"/>
              </w:rPr>
              <w:t>In terms of</w:t>
            </w:r>
          </w:p>
        </w:tc>
        <w:tc>
          <w:tcPr>
            <w:tcW w:w="2024" w:type="dxa"/>
            <w:tcBorders>
              <w:top w:val="single" w:sz="8" w:space="0" w:color="auto"/>
              <w:left w:val="nil"/>
              <w:bottom w:val="single" w:sz="8" w:space="0" w:color="auto"/>
              <w:right w:val="single" w:sz="8" w:space="0" w:color="auto"/>
            </w:tcBorders>
            <w:shd w:val="clear" w:color="auto" w:fill="6C0000"/>
            <w:noWrap/>
            <w:tcMar>
              <w:top w:w="0" w:type="dxa"/>
              <w:left w:w="108" w:type="dxa"/>
              <w:bottom w:w="0" w:type="dxa"/>
              <w:right w:w="108" w:type="dxa"/>
            </w:tcMar>
            <w:hideMark/>
          </w:tcPr>
          <w:p w:rsidR="00572FAE" w:rsidRPr="003C2AA6" w:rsidRDefault="00572FAE" w:rsidP="00A90BA4">
            <w:pPr>
              <w:spacing w:after="0" w:line="360" w:lineRule="auto"/>
              <w:jc w:val="center"/>
              <w:rPr>
                <w:rFonts w:cs="Arial"/>
                <w:b/>
                <w:sz w:val="24"/>
                <w:szCs w:val="24"/>
              </w:rPr>
            </w:pPr>
            <w:r w:rsidRPr="003C2AA6">
              <w:rPr>
                <w:rFonts w:cs="Arial"/>
                <w:b/>
                <w:sz w:val="24"/>
                <w:szCs w:val="24"/>
              </w:rPr>
              <w:t>Prosecution Status</w:t>
            </w:r>
          </w:p>
        </w:tc>
        <w:tc>
          <w:tcPr>
            <w:tcW w:w="3346" w:type="dxa"/>
            <w:tcBorders>
              <w:top w:val="single" w:sz="8" w:space="0" w:color="auto"/>
              <w:left w:val="nil"/>
              <w:bottom w:val="single" w:sz="8" w:space="0" w:color="auto"/>
              <w:right w:val="single" w:sz="8" w:space="0" w:color="auto"/>
            </w:tcBorders>
            <w:shd w:val="clear" w:color="auto" w:fill="6C0000"/>
            <w:noWrap/>
            <w:tcMar>
              <w:top w:w="0" w:type="dxa"/>
              <w:left w:w="108" w:type="dxa"/>
              <w:bottom w:w="0" w:type="dxa"/>
              <w:right w:w="108" w:type="dxa"/>
            </w:tcMar>
            <w:hideMark/>
          </w:tcPr>
          <w:p w:rsidR="00572FAE" w:rsidRPr="003C2AA6" w:rsidRDefault="00572FAE" w:rsidP="00A90BA4">
            <w:pPr>
              <w:spacing w:after="0" w:line="360" w:lineRule="auto"/>
              <w:jc w:val="center"/>
              <w:rPr>
                <w:rFonts w:cs="Arial"/>
                <w:b/>
                <w:sz w:val="24"/>
                <w:szCs w:val="24"/>
              </w:rPr>
            </w:pPr>
            <w:r w:rsidRPr="003C2AA6">
              <w:rPr>
                <w:rFonts w:cs="Arial"/>
                <w:b/>
                <w:sz w:val="24"/>
                <w:szCs w:val="24"/>
              </w:rPr>
              <w:t>Details</w:t>
            </w:r>
          </w:p>
        </w:tc>
      </w:tr>
      <w:tr w:rsidR="00572FAE" w:rsidRPr="003C2AA6" w:rsidTr="00A90BA4">
        <w:trPr>
          <w:trHeight w:val="288"/>
        </w:trPr>
        <w:tc>
          <w:tcPr>
            <w:tcW w:w="211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572FAE" w:rsidRPr="003C2AA6" w:rsidRDefault="00572FAE" w:rsidP="00A90BA4">
            <w:pPr>
              <w:spacing w:after="0" w:line="360" w:lineRule="auto"/>
              <w:rPr>
                <w:rFonts w:cs="Arial"/>
                <w:bCs/>
                <w:sz w:val="24"/>
                <w:szCs w:val="24"/>
              </w:rPr>
            </w:pPr>
            <w:r w:rsidRPr="003C2AA6">
              <w:rPr>
                <w:rFonts w:cs="Arial"/>
                <w:bCs/>
                <w:sz w:val="24"/>
                <w:szCs w:val="24"/>
              </w:rPr>
              <w:t>Theft from the Transnet Museum in George</w:t>
            </w:r>
          </w:p>
        </w:tc>
        <w:tc>
          <w:tcPr>
            <w:tcW w:w="1519" w:type="dxa"/>
            <w:tcBorders>
              <w:top w:val="nil"/>
              <w:left w:val="nil"/>
              <w:bottom w:val="single" w:sz="8" w:space="0" w:color="auto"/>
              <w:right w:val="single" w:sz="8" w:space="0" w:color="auto"/>
            </w:tcBorders>
            <w:noWrap/>
            <w:tcMar>
              <w:top w:w="0" w:type="dxa"/>
              <w:left w:w="108" w:type="dxa"/>
              <w:bottom w:w="0" w:type="dxa"/>
              <w:right w:w="108" w:type="dxa"/>
            </w:tcMar>
            <w:hideMark/>
          </w:tcPr>
          <w:p w:rsidR="00572FAE" w:rsidRPr="003C2AA6" w:rsidRDefault="00572FAE" w:rsidP="00A90BA4">
            <w:pPr>
              <w:spacing w:after="0" w:line="360" w:lineRule="auto"/>
              <w:rPr>
                <w:rFonts w:cs="Arial"/>
                <w:bCs/>
                <w:sz w:val="24"/>
                <w:szCs w:val="24"/>
              </w:rPr>
            </w:pPr>
            <w:r w:rsidRPr="003C2AA6">
              <w:rPr>
                <w:rFonts w:cs="Arial"/>
                <w:bCs/>
                <w:sz w:val="24"/>
                <w:szCs w:val="24"/>
              </w:rPr>
              <w:t>Theft Report</w:t>
            </w:r>
          </w:p>
        </w:tc>
        <w:tc>
          <w:tcPr>
            <w:tcW w:w="2024" w:type="dxa"/>
            <w:tcBorders>
              <w:top w:val="nil"/>
              <w:left w:val="nil"/>
              <w:bottom w:val="single" w:sz="8" w:space="0" w:color="auto"/>
              <w:right w:val="single" w:sz="8" w:space="0" w:color="auto"/>
            </w:tcBorders>
            <w:noWrap/>
            <w:tcMar>
              <w:top w:w="0" w:type="dxa"/>
              <w:left w:w="108" w:type="dxa"/>
              <w:bottom w:w="0" w:type="dxa"/>
              <w:right w:w="108" w:type="dxa"/>
            </w:tcMar>
            <w:hideMark/>
          </w:tcPr>
          <w:p w:rsidR="00572FAE" w:rsidRPr="003C2AA6" w:rsidRDefault="00572FAE" w:rsidP="00A90BA4">
            <w:pPr>
              <w:spacing w:after="0" w:line="360" w:lineRule="auto"/>
              <w:rPr>
                <w:rFonts w:cs="Arial"/>
                <w:bCs/>
                <w:sz w:val="24"/>
                <w:szCs w:val="24"/>
              </w:rPr>
            </w:pPr>
            <w:r w:rsidRPr="003C2AA6">
              <w:rPr>
                <w:rFonts w:cs="Arial"/>
                <w:bCs/>
                <w:sz w:val="24"/>
                <w:szCs w:val="24"/>
              </w:rPr>
              <w:t>Prosecuted</w:t>
            </w:r>
          </w:p>
        </w:tc>
        <w:tc>
          <w:tcPr>
            <w:tcW w:w="3346" w:type="dxa"/>
            <w:tcBorders>
              <w:top w:val="nil"/>
              <w:left w:val="nil"/>
              <w:bottom w:val="single" w:sz="8" w:space="0" w:color="auto"/>
              <w:right w:val="single" w:sz="8" w:space="0" w:color="auto"/>
            </w:tcBorders>
            <w:noWrap/>
            <w:tcMar>
              <w:top w:w="0" w:type="dxa"/>
              <w:left w:w="108" w:type="dxa"/>
              <w:bottom w:w="0" w:type="dxa"/>
              <w:right w:w="108" w:type="dxa"/>
            </w:tcMar>
            <w:hideMark/>
          </w:tcPr>
          <w:p w:rsidR="00572FAE" w:rsidRPr="003C2AA6" w:rsidRDefault="00572FAE" w:rsidP="00A90BA4">
            <w:pPr>
              <w:spacing w:after="0" w:line="360" w:lineRule="auto"/>
              <w:rPr>
                <w:rFonts w:cs="Arial"/>
                <w:bCs/>
                <w:sz w:val="24"/>
                <w:szCs w:val="24"/>
              </w:rPr>
            </w:pPr>
            <w:r w:rsidRPr="003C2AA6">
              <w:rPr>
                <w:rFonts w:cs="Arial"/>
                <w:bCs/>
                <w:sz w:val="24"/>
                <w:szCs w:val="24"/>
              </w:rPr>
              <w:t>The accused was found guilty and sentenced to a year in jail.</w:t>
            </w:r>
          </w:p>
        </w:tc>
      </w:tr>
      <w:tr w:rsidR="00572FAE" w:rsidRPr="003C2AA6" w:rsidTr="00A90BA4">
        <w:trPr>
          <w:trHeight w:val="288"/>
        </w:trPr>
        <w:tc>
          <w:tcPr>
            <w:tcW w:w="211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572FAE" w:rsidRPr="003C2AA6" w:rsidRDefault="00572FAE" w:rsidP="00A90BA4">
            <w:pPr>
              <w:spacing w:after="0" w:line="360" w:lineRule="auto"/>
              <w:rPr>
                <w:rFonts w:cs="Arial"/>
                <w:bCs/>
                <w:sz w:val="24"/>
                <w:szCs w:val="24"/>
              </w:rPr>
            </w:pPr>
            <w:r w:rsidRPr="003C2AA6">
              <w:rPr>
                <w:rFonts w:cs="Arial"/>
                <w:bCs/>
                <w:sz w:val="24"/>
                <w:szCs w:val="24"/>
              </w:rPr>
              <w:t>Albion Dog Cart</w:t>
            </w:r>
          </w:p>
        </w:tc>
        <w:tc>
          <w:tcPr>
            <w:tcW w:w="1519" w:type="dxa"/>
            <w:tcBorders>
              <w:top w:val="nil"/>
              <w:left w:val="nil"/>
              <w:bottom w:val="single" w:sz="8" w:space="0" w:color="auto"/>
              <w:right w:val="single" w:sz="8" w:space="0" w:color="auto"/>
            </w:tcBorders>
            <w:noWrap/>
            <w:tcMar>
              <w:top w:w="0" w:type="dxa"/>
              <w:left w:w="108" w:type="dxa"/>
              <w:bottom w:w="0" w:type="dxa"/>
              <w:right w:w="108" w:type="dxa"/>
            </w:tcMar>
            <w:hideMark/>
          </w:tcPr>
          <w:p w:rsidR="00572FAE" w:rsidRPr="003C2AA6" w:rsidRDefault="00572FAE" w:rsidP="00A90BA4">
            <w:pPr>
              <w:spacing w:after="0" w:line="360" w:lineRule="auto"/>
              <w:rPr>
                <w:rFonts w:cs="Arial"/>
                <w:bCs/>
                <w:sz w:val="24"/>
                <w:szCs w:val="24"/>
              </w:rPr>
            </w:pPr>
            <w:r w:rsidRPr="003C2AA6">
              <w:rPr>
                <w:rFonts w:cs="Arial"/>
                <w:bCs/>
                <w:sz w:val="24"/>
                <w:szCs w:val="24"/>
              </w:rPr>
              <w:t>Contravention of section 32 (19) of the NHRA</w:t>
            </w:r>
          </w:p>
        </w:tc>
        <w:tc>
          <w:tcPr>
            <w:tcW w:w="2024" w:type="dxa"/>
            <w:tcBorders>
              <w:top w:val="nil"/>
              <w:left w:val="nil"/>
              <w:bottom w:val="single" w:sz="8" w:space="0" w:color="auto"/>
              <w:right w:val="single" w:sz="8" w:space="0" w:color="auto"/>
            </w:tcBorders>
            <w:noWrap/>
            <w:tcMar>
              <w:top w:w="0" w:type="dxa"/>
              <w:left w:w="108" w:type="dxa"/>
              <w:bottom w:w="0" w:type="dxa"/>
              <w:right w:w="108" w:type="dxa"/>
            </w:tcMar>
            <w:hideMark/>
          </w:tcPr>
          <w:p w:rsidR="00572FAE" w:rsidRPr="003C2AA6" w:rsidRDefault="00572FAE" w:rsidP="00A90BA4">
            <w:pPr>
              <w:spacing w:after="0" w:line="360" w:lineRule="auto"/>
              <w:rPr>
                <w:rFonts w:cs="Arial"/>
                <w:bCs/>
                <w:sz w:val="24"/>
                <w:szCs w:val="24"/>
              </w:rPr>
            </w:pPr>
            <w:r w:rsidRPr="003C2AA6">
              <w:rPr>
                <w:rFonts w:cs="Arial"/>
                <w:bCs/>
                <w:sz w:val="24"/>
                <w:szCs w:val="24"/>
              </w:rPr>
              <w:t>Escalated to the Director of Public Prosecution’s Office and DPCI</w:t>
            </w:r>
          </w:p>
        </w:tc>
        <w:tc>
          <w:tcPr>
            <w:tcW w:w="3346" w:type="dxa"/>
            <w:tcBorders>
              <w:top w:val="nil"/>
              <w:left w:val="nil"/>
              <w:bottom w:val="single" w:sz="8" w:space="0" w:color="auto"/>
              <w:right w:val="single" w:sz="8" w:space="0" w:color="auto"/>
            </w:tcBorders>
            <w:noWrap/>
            <w:tcMar>
              <w:top w:w="0" w:type="dxa"/>
              <w:left w:w="108" w:type="dxa"/>
              <w:bottom w:w="0" w:type="dxa"/>
              <w:right w:w="108" w:type="dxa"/>
            </w:tcMar>
            <w:hideMark/>
          </w:tcPr>
          <w:p w:rsidR="00572FAE" w:rsidRPr="003C2AA6" w:rsidRDefault="00572FAE" w:rsidP="00A90BA4">
            <w:pPr>
              <w:spacing w:after="0" w:line="360" w:lineRule="auto"/>
              <w:rPr>
                <w:rFonts w:cs="Arial"/>
                <w:bCs/>
                <w:sz w:val="24"/>
                <w:szCs w:val="24"/>
              </w:rPr>
            </w:pPr>
            <w:r w:rsidRPr="003C2AA6">
              <w:rPr>
                <w:rFonts w:cs="Arial"/>
                <w:bCs/>
                <w:sz w:val="24"/>
                <w:szCs w:val="24"/>
              </w:rPr>
              <w:t>A warrant of arrest (J51) will be filed for the accused which will be exercised should the accused enter into South Africa. The report will be filed after the 19 June 2023</w:t>
            </w:r>
          </w:p>
        </w:tc>
      </w:tr>
      <w:tr w:rsidR="00572FAE" w:rsidRPr="003C2AA6" w:rsidTr="00A90BA4">
        <w:trPr>
          <w:trHeight w:val="288"/>
        </w:trPr>
        <w:tc>
          <w:tcPr>
            <w:tcW w:w="211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572FAE" w:rsidRPr="003C2AA6" w:rsidRDefault="00572FAE" w:rsidP="00A90BA4">
            <w:pPr>
              <w:spacing w:after="0" w:line="360" w:lineRule="auto"/>
              <w:rPr>
                <w:rFonts w:cs="Arial"/>
                <w:bCs/>
                <w:sz w:val="24"/>
                <w:szCs w:val="24"/>
              </w:rPr>
            </w:pPr>
            <w:r w:rsidRPr="003C2AA6">
              <w:rPr>
                <w:rFonts w:cs="Arial"/>
                <w:bCs/>
                <w:sz w:val="24"/>
                <w:szCs w:val="24"/>
              </w:rPr>
              <w:t>Nelson Mandela Collection</w:t>
            </w:r>
          </w:p>
        </w:tc>
        <w:tc>
          <w:tcPr>
            <w:tcW w:w="1519" w:type="dxa"/>
            <w:tcBorders>
              <w:top w:val="nil"/>
              <w:left w:val="nil"/>
              <w:bottom w:val="single" w:sz="8" w:space="0" w:color="auto"/>
              <w:right w:val="single" w:sz="8" w:space="0" w:color="auto"/>
            </w:tcBorders>
            <w:noWrap/>
            <w:tcMar>
              <w:top w:w="0" w:type="dxa"/>
              <w:left w:w="108" w:type="dxa"/>
              <w:bottom w:w="0" w:type="dxa"/>
              <w:right w:w="108" w:type="dxa"/>
            </w:tcMar>
            <w:hideMark/>
          </w:tcPr>
          <w:p w:rsidR="00572FAE" w:rsidRPr="003C2AA6" w:rsidRDefault="00572FAE" w:rsidP="00A90BA4">
            <w:pPr>
              <w:spacing w:after="0" w:line="360" w:lineRule="auto"/>
              <w:rPr>
                <w:rFonts w:cs="Arial"/>
                <w:bCs/>
                <w:sz w:val="24"/>
                <w:szCs w:val="24"/>
              </w:rPr>
            </w:pPr>
            <w:r w:rsidRPr="003C2AA6">
              <w:rPr>
                <w:rFonts w:cs="Arial"/>
                <w:bCs/>
                <w:sz w:val="24"/>
                <w:szCs w:val="24"/>
              </w:rPr>
              <w:t>Contravention of section 32 (19) of the NHRA</w:t>
            </w:r>
          </w:p>
        </w:tc>
        <w:tc>
          <w:tcPr>
            <w:tcW w:w="2024" w:type="dxa"/>
            <w:tcBorders>
              <w:top w:val="nil"/>
              <w:left w:val="nil"/>
              <w:bottom w:val="single" w:sz="8" w:space="0" w:color="auto"/>
              <w:right w:val="single" w:sz="8" w:space="0" w:color="auto"/>
            </w:tcBorders>
            <w:noWrap/>
            <w:tcMar>
              <w:top w:w="0" w:type="dxa"/>
              <w:left w:w="108" w:type="dxa"/>
              <w:bottom w:w="0" w:type="dxa"/>
              <w:right w:w="108" w:type="dxa"/>
            </w:tcMar>
            <w:hideMark/>
          </w:tcPr>
          <w:p w:rsidR="00572FAE" w:rsidRPr="003C2AA6" w:rsidRDefault="00572FAE" w:rsidP="00A90BA4">
            <w:pPr>
              <w:spacing w:after="0" w:line="360" w:lineRule="auto"/>
              <w:rPr>
                <w:rFonts w:cs="Arial"/>
                <w:bCs/>
                <w:sz w:val="24"/>
                <w:szCs w:val="24"/>
              </w:rPr>
            </w:pPr>
            <w:r w:rsidRPr="003C2AA6">
              <w:rPr>
                <w:rFonts w:cs="Arial"/>
                <w:bCs/>
                <w:sz w:val="24"/>
                <w:szCs w:val="24"/>
              </w:rPr>
              <w:t>Escalated to the Director of Public Prosecution’s Office and DPCI</w:t>
            </w:r>
          </w:p>
        </w:tc>
        <w:tc>
          <w:tcPr>
            <w:tcW w:w="3346" w:type="dxa"/>
            <w:tcBorders>
              <w:top w:val="nil"/>
              <w:left w:val="nil"/>
              <w:bottom w:val="single" w:sz="8" w:space="0" w:color="auto"/>
              <w:right w:val="single" w:sz="8" w:space="0" w:color="auto"/>
            </w:tcBorders>
            <w:noWrap/>
            <w:tcMar>
              <w:top w:w="0" w:type="dxa"/>
              <w:left w:w="108" w:type="dxa"/>
              <w:bottom w:w="0" w:type="dxa"/>
              <w:right w:w="108" w:type="dxa"/>
            </w:tcMar>
            <w:hideMark/>
          </w:tcPr>
          <w:p w:rsidR="00572FAE" w:rsidRPr="003C2AA6" w:rsidRDefault="00572FAE" w:rsidP="00A90BA4">
            <w:pPr>
              <w:spacing w:after="0" w:line="360" w:lineRule="auto"/>
              <w:rPr>
                <w:rFonts w:cs="Arial"/>
                <w:bCs/>
                <w:sz w:val="24"/>
                <w:szCs w:val="24"/>
              </w:rPr>
            </w:pPr>
            <w:r w:rsidRPr="003C2AA6">
              <w:rPr>
                <w:rFonts w:cs="Arial"/>
                <w:bCs/>
                <w:sz w:val="24"/>
                <w:szCs w:val="24"/>
              </w:rPr>
              <w:t>Case likely to be recommended to the NPA; decision will be communicated to SAHRA in due course.</w:t>
            </w:r>
          </w:p>
        </w:tc>
      </w:tr>
      <w:tr w:rsidR="00572FAE" w:rsidRPr="003C2AA6" w:rsidTr="00A90BA4">
        <w:trPr>
          <w:trHeight w:val="288"/>
        </w:trPr>
        <w:tc>
          <w:tcPr>
            <w:tcW w:w="211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572FAE" w:rsidRPr="003C2AA6" w:rsidRDefault="00572FAE" w:rsidP="00A90BA4">
            <w:pPr>
              <w:spacing w:after="0" w:line="360" w:lineRule="auto"/>
              <w:rPr>
                <w:rFonts w:cs="Arial"/>
                <w:bCs/>
                <w:sz w:val="24"/>
                <w:szCs w:val="24"/>
              </w:rPr>
            </w:pPr>
            <w:r w:rsidRPr="003C2AA6">
              <w:rPr>
                <w:rFonts w:cs="Arial"/>
                <w:bCs/>
                <w:sz w:val="24"/>
                <w:szCs w:val="24"/>
              </w:rPr>
              <w:t>Beauchamp – Proctor Medals</w:t>
            </w:r>
          </w:p>
        </w:tc>
        <w:tc>
          <w:tcPr>
            <w:tcW w:w="1519" w:type="dxa"/>
            <w:tcBorders>
              <w:top w:val="nil"/>
              <w:left w:val="nil"/>
              <w:bottom w:val="single" w:sz="8" w:space="0" w:color="auto"/>
              <w:right w:val="single" w:sz="8" w:space="0" w:color="auto"/>
            </w:tcBorders>
            <w:noWrap/>
            <w:tcMar>
              <w:top w:w="0" w:type="dxa"/>
              <w:left w:w="108" w:type="dxa"/>
              <w:bottom w:w="0" w:type="dxa"/>
              <w:right w:w="108" w:type="dxa"/>
            </w:tcMar>
            <w:hideMark/>
          </w:tcPr>
          <w:p w:rsidR="00572FAE" w:rsidRPr="003C2AA6" w:rsidRDefault="00572FAE" w:rsidP="00A90BA4">
            <w:pPr>
              <w:spacing w:after="0" w:line="360" w:lineRule="auto"/>
              <w:rPr>
                <w:rFonts w:cs="Arial"/>
                <w:bCs/>
                <w:sz w:val="24"/>
                <w:szCs w:val="24"/>
              </w:rPr>
            </w:pPr>
            <w:r w:rsidRPr="003C2AA6">
              <w:rPr>
                <w:rFonts w:cs="Arial"/>
                <w:bCs/>
                <w:sz w:val="24"/>
                <w:szCs w:val="24"/>
              </w:rPr>
              <w:t>Contravention of section 32 (19) of the NHRA</w:t>
            </w:r>
          </w:p>
        </w:tc>
        <w:tc>
          <w:tcPr>
            <w:tcW w:w="2024" w:type="dxa"/>
            <w:tcBorders>
              <w:top w:val="nil"/>
              <w:left w:val="nil"/>
              <w:bottom w:val="single" w:sz="8" w:space="0" w:color="auto"/>
              <w:right w:val="single" w:sz="8" w:space="0" w:color="auto"/>
            </w:tcBorders>
            <w:noWrap/>
            <w:tcMar>
              <w:top w:w="0" w:type="dxa"/>
              <w:left w:w="108" w:type="dxa"/>
              <w:bottom w:w="0" w:type="dxa"/>
              <w:right w:w="108" w:type="dxa"/>
            </w:tcMar>
            <w:hideMark/>
          </w:tcPr>
          <w:p w:rsidR="00572FAE" w:rsidRPr="003C2AA6" w:rsidRDefault="00572FAE" w:rsidP="00A90BA4">
            <w:pPr>
              <w:spacing w:after="0" w:line="360" w:lineRule="auto"/>
              <w:rPr>
                <w:rFonts w:cs="Arial"/>
                <w:bCs/>
                <w:sz w:val="24"/>
                <w:szCs w:val="24"/>
              </w:rPr>
            </w:pPr>
            <w:r w:rsidRPr="003C2AA6">
              <w:rPr>
                <w:rFonts w:cs="Arial"/>
                <w:bCs/>
                <w:sz w:val="24"/>
                <w:szCs w:val="24"/>
              </w:rPr>
              <w:t>Escalated to the Director of Public Prosecution’s Office and DPCI</w:t>
            </w:r>
          </w:p>
        </w:tc>
        <w:tc>
          <w:tcPr>
            <w:tcW w:w="3346" w:type="dxa"/>
            <w:tcBorders>
              <w:top w:val="nil"/>
              <w:left w:val="nil"/>
              <w:bottom w:val="single" w:sz="8" w:space="0" w:color="auto"/>
              <w:right w:val="single" w:sz="8" w:space="0" w:color="auto"/>
            </w:tcBorders>
            <w:noWrap/>
            <w:tcMar>
              <w:top w:w="0" w:type="dxa"/>
              <w:left w:w="108" w:type="dxa"/>
              <w:bottom w:w="0" w:type="dxa"/>
              <w:right w:w="108" w:type="dxa"/>
            </w:tcMar>
            <w:hideMark/>
          </w:tcPr>
          <w:p w:rsidR="00572FAE" w:rsidRPr="003C2AA6" w:rsidRDefault="00572FAE" w:rsidP="00A90BA4">
            <w:pPr>
              <w:spacing w:after="0" w:line="360" w:lineRule="auto"/>
              <w:rPr>
                <w:rFonts w:cs="Arial"/>
                <w:bCs/>
                <w:sz w:val="24"/>
                <w:szCs w:val="24"/>
              </w:rPr>
            </w:pPr>
            <w:r w:rsidRPr="003C2AA6">
              <w:rPr>
                <w:rFonts w:cs="Arial"/>
                <w:bCs/>
                <w:sz w:val="24"/>
                <w:szCs w:val="24"/>
              </w:rPr>
              <w:t>Decision to prosecute will be communicated by 19 June 2023</w:t>
            </w:r>
          </w:p>
        </w:tc>
      </w:tr>
      <w:tr w:rsidR="00572FAE" w:rsidRPr="003C2AA6" w:rsidTr="00A90BA4">
        <w:trPr>
          <w:trHeight w:val="288"/>
        </w:trPr>
        <w:tc>
          <w:tcPr>
            <w:tcW w:w="211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572FAE" w:rsidRPr="003C2AA6" w:rsidRDefault="00572FAE" w:rsidP="00A90BA4">
            <w:pPr>
              <w:spacing w:after="0" w:line="360" w:lineRule="auto"/>
              <w:rPr>
                <w:rFonts w:cs="Arial"/>
                <w:bCs/>
                <w:sz w:val="24"/>
                <w:szCs w:val="24"/>
              </w:rPr>
            </w:pPr>
            <w:r w:rsidRPr="003C2AA6">
              <w:rPr>
                <w:rFonts w:cs="Arial"/>
                <w:bCs/>
                <w:sz w:val="24"/>
                <w:szCs w:val="24"/>
              </w:rPr>
              <w:t>Alexis Preller Artwork</w:t>
            </w:r>
          </w:p>
        </w:tc>
        <w:tc>
          <w:tcPr>
            <w:tcW w:w="1519" w:type="dxa"/>
            <w:tcBorders>
              <w:top w:val="nil"/>
              <w:left w:val="nil"/>
              <w:bottom w:val="single" w:sz="8" w:space="0" w:color="auto"/>
              <w:right w:val="single" w:sz="8" w:space="0" w:color="auto"/>
            </w:tcBorders>
            <w:noWrap/>
            <w:tcMar>
              <w:top w:w="0" w:type="dxa"/>
              <w:left w:w="108" w:type="dxa"/>
              <w:bottom w:w="0" w:type="dxa"/>
              <w:right w:w="108" w:type="dxa"/>
            </w:tcMar>
            <w:hideMark/>
          </w:tcPr>
          <w:p w:rsidR="00572FAE" w:rsidRPr="003C2AA6" w:rsidRDefault="00572FAE" w:rsidP="00A90BA4">
            <w:pPr>
              <w:spacing w:after="0" w:line="360" w:lineRule="auto"/>
              <w:rPr>
                <w:rFonts w:cs="Arial"/>
                <w:bCs/>
                <w:sz w:val="24"/>
                <w:szCs w:val="24"/>
              </w:rPr>
            </w:pPr>
            <w:r w:rsidRPr="003C2AA6">
              <w:rPr>
                <w:rFonts w:cs="Arial"/>
                <w:bCs/>
                <w:sz w:val="24"/>
                <w:szCs w:val="24"/>
              </w:rPr>
              <w:t>Theft Report</w:t>
            </w:r>
          </w:p>
        </w:tc>
        <w:tc>
          <w:tcPr>
            <w:tcW w:w="2024" w:type="dxa"/>
            <w:tcBorders>
              <w:top w:val="nil"/>
              <w:left w:val="nil"/>
              <w:bottom w:val="single" w:sz="8" w:space="0" w:color="auto"/>
              <w:right w:val="single" w:sz="8" w:space="0" w:color="auto"/>
            </w:tcBorders>
            <w:noWrap/>
            <w:tcMar>
              <w:top w:w="0" w:type="dxa"/>
              <w:left w:w="108" w:type="dxa"/>
              <w:bottom w:w="0" w:type="dxa"/>
              <w:right w:w="108" w:type="dxa"/>
            </w:tcMar>
            <w:hideMark/>
          </w:tcPr>
          <w:p w:rsidR="00572FAE" w:rsidRPr="003C2AA6" w:rsidRDefault="00572FAE" w:rsidP="00A90BA4">
            <w:pPr>
              <w:spacing w:after="0" w:line="360" w:lineRule="auto"/>
              <w:rPr>
                <w:rFonts w:cs="Arial"/>
                <w:bCs/>
                <w:sz w:val="24"/>
                <w:szCs w:val="24"/>
              </w:rPr>
            </w:pPr>
            <w:r w:rsidRPr="003C2AA6">
              <w:rPr>
                <w:rFonts w:cs="Arial"/>
                <w:bCs/>
                <w:sz w:val="24"/>
                <w:szCs w:val="24"/>
              </w:rPr>
              <w:t>Escalated to the Director of Public Prosecution’s Office and DPCI</w:t>
            </w:r>
          </w:p>
        </w:tc>
        <w:tc>
          <w:tcPr>
            <w:tcW w:w="3346" w:type="dxa"/>
            <w:tcBorders>
              <w:top w:val="nil"/>
              <w:left w:val="nil"/>
              <w:bottom w:val="single" w:sz="8" w:space="0" w:color="auto"/>
              <w:right w:val="single" w:sz="8" w:space="0" w:color="auto"/>
            </w:tcBorders>
            <w:noWrap/>
            <w:tcMar>
              <w:top w:w="0" w:type="dxa"/>
              <w:left w:w="108" w:type="dxa"/>
              <w:bottom w:w="0" w:type="dxa"/>
              <w:right w:w="108" w:type="dxa"/>
            </w:tcMar>
            <w:hideMark/>
          </w:tcPr>
          <w:p w:rsidR="00572FAE" w:rsidRPr="003C2AA6" w:rsidRDefault="00572FAE" w:rsidP="00A90BA4">
            <w:pPr>
              <w:spacing w:after="0" w:line="360" w:lineRule="auto"/>
              <w:rPr>
                <w:rFonts w:cs="Arial"/>
                <w:bCs/>
                <w:sz w:val="24"/>
                <w:szCs w:val="24"/>
              </w:rPr>
            </w:pPr>
            <w:r w:rsidRPr="003C2AA6">
              <w:rPr>
                <w:rFonts w:cs="Arial"/>
                <w:bCs/>
                <w:sz w:val="24"/>
                <w:szCs w:val="24"/>
              </w:rPr>
              <w:t>DPCI recovered the painting from an auction house. The owner of the painting requested for transferral to a suitable location; artwork was handed over to Pretoria Art Gallery for Protection and Conservation</w:t>
            </w:r>
          </w:p>
        </w:tc>
      </w:tr>
    </w:tbl>
    <w:p w:rsidR="00572FAE" w:rsidRPr="009731CD" w:rsidRDefault="00572FAE" w:rsidP="00572FAE">
      <w:pPr>
        <w:spacing w:after="0" w:line="360" w:lineRule="auto"/>
        <w:jc w:val="both"/>
        <w:rPr>
          <w:rFonts w:eastAsia="Times New Roman" w:cs="Arial"/>
          <w:b/>
          <w:bCs/>
          <w:sz w:val="24"/>
          <w:szCs w:val="24"/>
          <w:lang w:val="en-GB" w:eastAsia="en-ZA"/>
        </w:rPr>
      </w:pPr>
      <w:r w:rsidRPr="00255F3D">
        <w:rPr>
          <w:rFonts w:eastAsia="Times New Roman" w:cs="Arial"/>
          <w:b/>
          <w:bCs/>
          <w:sz w:val="24"/>
          <w:szCs w:val="24"/>
          <w:lang w:val="en-GB" w:eastAsia="en-ZA"/>
        </w:rPr>
        <w:t xml:space="preserve">                                             </w:t>
      </w:r>
      <w:r>
        <w:rPr>
          <w:rFonts w:eastAsia="Times New Roman" w:cs="Arial"/>
          <w:b/>
          <w:bCs/>
          <w:sz w:val="24"/>
          <w:szCs w:val="24"/>
          <w:lang w:val="en-GB" w:eastAsia="en-ZA"/>
        </w:rPr>
        <w:t xml:space="preserve">                               </w:t>
      </w:r>
    </w:p>
    <w:bookmarkStart w:id="0" w:name="_MON_1748023413"/>
    <w:bookmarkEnd w:id="0"/>
    <w:p w:rsidR="00572FAE" w:rsidRDefault="00572FAE" w:rsidP="00572FAE">
      <w:pPr>
        <w:pStyle w:val="ListParagraph"/>
        <w:shd w:val="clear" w:color="auto" w:fill="FFFFFF"/>
        <w:spacing w:line="360" w:lineRule="auto"/>
        <w:jc w:val="both"/>
        <w:rPr>
          <w:rFonts w:cstheme="minorHAnsi"/>
          <w:sz w:val="24"/>
          <w:szCs w:val="24"/>
        </w:rPr>
      </w:pPr>
      <w:r w:rsidRPr="00012B52">
        <w:rPr>
          <w:rFonts w:cstheme="minorHAnsi"/>
          <w:sz w:val="24"/>
          <w:szCs w:val="24"/>
        </w:rPr>
        <w:object w:dxaOrig="1376" w:dyaOrig="8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45pt" o:ole="">
            <v:imagedata r:id="rId4" o:title=""/>
          </v:shape>
          <o:OLEObject Type="Embed" ProgID="Word.Document.12" ShapeID="_x0000_i1025" DrawAspect="Icon" ObjectID="_1749632583" r:id="rId5">
            <o:FieldCodes>\s</o:FieldCodes>
          </o:OLEObject>
        </w:object>
      </w:r>
    </w:p>
    <w:p w:rsidR="00421F4A" w:rsidRDefault="00421F4A"/>
    <w:sectPr w:rsidR="00421F4A" w:rsidSect="00012B52">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compat/>
  <w:rsids>
    <w:rsidRoot w:val="00572FAE"/>
    <w:rsid w:val="00012B52"/>
    <w:rsid w:val="000960D8"/>
    <w:rsid w:val="00333258"/>
    <w:rsid w:val="00421F4A"/>
    <w:rsid w:val="00572FAE"/>
    <w:rsid w:val="00C91347"/>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2FAE"/>
    <w:pPr>
      <w:spacing w:after="200" w:line="276" w:lineRule="auto"/>
    </w:pPr>
    <w:rPr>
      <w:rFonts w:ascii="Arial" w:hAnsi="Arial"/>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CBODYTEXT">
    <w:name w:val="DAC BODY TEXT"/>
    <w:basedOn w:val="Normal"/>
    <w:qFormat/>
    <w:rsid w:val="00572FAE"/>
    <w:pPr>
      <w:ind w:left="993"/>
    </w:pPr>
    <w:rPr>
      <w:szCs w:val="18"/>
    </w:rPr>
  </w:style>
  <w:style w:type="paragraph" w:styleId="ListParagraph">
    <w:name w:val="List Paragraph"/>
    <w:aliases w:val="Dot pt,F5 List Paragraph,List Paragraph1,No Spacing1,List Paragraph Char Char Char,Indicator Text,Colorful List - Accent 11,Numbered Para 1,Bullet 1,Bullet Points,List Paragraph2,MAIN CONTENT,Normal numbered,Issue Action POC,3,Bullets"/>
    <w:basedOn w:val="Normal"/>
    <w:link w:val="ListParagraphChar"/>
    <w:uiPriority w:val="34"/>
    <w:qFormat/>
    <w:rsid w:val="00572FAE"/>
    <w:pPr>
      <w:ind w:left="720"/>
      <w:contextualSpacing/>
    </w:p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List Paragraph2 Char"/>
    <w:link w:val="ListParagraph"/>
    <w:uiPriority w:val="34"/>
    <w:locked/>
    <w:rsid w:val="00572FAE"/>
    <w:rPr>
      <w:rFonts w:ascii="Arial" w:hAnsi="Arial"/>
      <w:sz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package" Target="embeddings/Microsoft_Office_Word_Document1.docx"/><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480</Words>
  <Characters>2737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Sibongile Mbotwe</dc:creator>
  <cp:lastModifiedBy>USER</cp:lastModifiedBy>
  <cp:revision>2</cp:revision>
  <dcterms:created xsi:type="dcterms:W3CDTF">2023-06-30T10:16:00Z</dcterms:created>
  <dcterms:modified xsi:type="dcterms:W3CDTF">2023-06-30T10:16:00Z</dcterms:modified>
</cp:coreProperties>
</file>