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A3" w:rsidRPr="002B2433" w:rsidRDefault="00073CA3" w:rsidP="00073CA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B2433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073CA3" w:rsidRPr="002B2433" w:rsidRDefault="00073CA3" w:rsidP="00073CA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2B2433">
        <w:rPr>
          <w:rFonts w:ascii="Arial" w:hAnsi="Arial" w:cs="Arial"/>
          <w:b/>
          <w:bCs/>
          <w:sz w:val="32"/>
          <w:szCs w:val="32"/>
          <w:u w:val="single"/>
        </w:rPr>
        <w:t>QUESTION No. 2186-2020</w:t>
      </w:r>
    </w:p>
    <w:p w:rsidR="00073CA3" w:rsidRPr="002B2433" w:rsidRDefault="00073CA3" w:rsidP="00073CA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B2433">
        <w:rPr>
          <w:rFonts w:ascii="Arial" w:hAnsi="Arial" w:cs="Arial"/>
          <w:b/>
          <w:bCs/>
          <w:sz w:val="32"/>
          <w:szCs w:val="32"/>
          <w:u w:val="single"/>
        </w:rPr>
        <w:t>FOR WRITTEN REPLY</w:t>
      </w:r>
    </w:p>
    <w:p w:rsidR="00073CA3" w:rsidRDefault="00073CA3" w:rsidP="00073CA3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u w:val="single"/>
          <w:lang w:val="en-GB"/>
        </w:rPr>
      </w:pPr>
    </w:p>
    <w:p w:rsidR="00073CA3" w:rsidRPr="002B2433" w:rsidRDefault="00073CA3" w:rsidP="00073CA3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2B2433">
        <w:rPr>
          <w:rFonts w:ascii="Arial" w:hAnsi="Arial" w:cs="Arial"/>
          <w:b/>
          <w:bCs/>
          <w:sz w:val="32"/>
          <w:szCs w:val="32"/>
        </w:rPr>
        <w:t>Internal Question Paper No. 36-2020, Date of publication 09 October 2020</w:t>
      </w:r>
    </w:p>
    <w:p w:rsidR="00073CA3" w:rsidRPr="002B2433" w:rsidRDefault="00073CA3" w:rsidP="00073CA3">
      <w:pPr>
        <w:pStyle w:val="DACBODYTEXT"/>
        <w:spacing w:after="0" w:line="240" w:lineRule="auto"/>
        <w:ind w:left="0"/>
        <w:jc w:val="both"/>
        <w:rPr>
          <w:rFonts w:cs="Arial"/>
          <w:sz w:val="32"/>
          <w:szCs w:val="32"/>
        </w:rPr>
      </w:pPr>
      <w:r w:rsidRPr="002B2433">
        <w:rPr>
          <w:rFonts w:cs="Arial"/>
          <w:sz w:val="32"/>
          <w:szCs w:val="32"/>
        </w:rPr>
        <w:t xml:space="preserve">“Dr A </w:t>
      </w:r>
      <w:proofErr w:type="spellStart"/>
      <w:r w:rsidRPr="002B2433">
        <w:rPr>
          <w:rFonts w:cs="Arial"/>
          <w:sz w:val="32"/>
          <w:szCs w:val="32"/>
        </w:rPr>
        <w:t>Lotriet</w:t>
      </w:r>
      <w:proofErr w:type="spellEnd"/>
      <w:r w:rsidRPr="002B2433">
        <w:rPr>
          <w:rFonts w:cs="Arial"/>
          <w:sz w:val="32"/>
          <w:szCs w:val="32"/>
        </w:rPr>
        <w:t xml:space="preserve"> (DA) to ask the Minister of Sports, Arts and Culture</w:t>
      </w:r>
    </w:p>
    <w:p w:rsidR="00073CA3" w:rsidRDefault="00073CA3" w:rsidP="00073CA3">
      <w:pPr>
        <w:shd w:val="clear" w:color="auto" w:fill="FFFFFF" w:themeFill="background1"/>
        <w:spacing w:before="100" w:beforeAutospacing="1" w:after="0" w:line="240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2B2433">
        <w:rPr>
          <w:rFonts w:ascii="Arial" w:hAnsi="Arial" w:cs="Arial"/>
          <w:sz w:val="32"/>
          <w:szCs w:val="32"/>
        </w:rPr>
        <w:t>Whether (a) the SA Sport Confederation and Olympic Committee, (b) the SA Sports Trust and (c) any national federation pay any amounts to financial consultants; if so, what (</w:t>
      </w:r>
      <w:proofErr w:type="spellStart"/>
      <w:r w:rsidRPr="002B2433">
        <w:rPr>
          <w:rFonts w:ascii="Arial" w:hAnsi="Arial" w:cs="Arial"/>
          <w:sz w:val="32"/>
          <w:szCs w:val="32"/>
        </w:rPr>
        <w:t>i</w:t>
      </w:r>
      <w:proofErr w:type="spellEnd"/>
      <w:r w:rsidRPr="002B2433">
        <w:rPr>
          <w:rFonts w:ascii="Arial" w:hAnsi="Arial" w:cs="Arial"/>
          <w:sz w:val="32"/>
          <w:szCs w:val="32"/>
        </w:rPr>
        <w:t>) are the full names of the financial consultants, (ii) amounts do the entities pay per month and (iii) total amount paid does each specified entity pa</w:t>
      </w:r>
      <w:r>
        <w:rPr>
          <w:rFonts w:ascii="Arial" w:hAnsi="Arial" w:cs="Arial"/>
          <w:sz w:val="32"/>
          <w:szCs w:val="32"/>
        </w:rPr>
        <w:t xml:space="preserve">y to each specified consultant? </w:t>
      </w:r>
      <w:r w:rsidRPr="002B2433">
        <w:rPr>
          <w:rFonts w:ascii="Arial" w:hAnsi="Arial" w:cs="Arial"/>
          <w:sz w:val="32"/>
          <w:szCs w:val="32"/>
        </w:rPr>
        <w:t xml:space="preserve">NW2755E                                                                                                         </w:t>
      </w:r>
    </w:p>
    <w:p w:rsidR="00073CA3" w:rsidRPr="002B2433" w:rsidRDefault="00073CA3" w:rsidP="00073CA3">
      <w:pPr>
        <w:shd w:val="clear" w:color="auto" w:fill="FFFFFF" w:themeFill="background1"/>
        <w:spacing w:before="100" w:beforeAutospacing="1" w:after="0" w:line="240" w:lineRule="auto"/>
        <w:jc w:val="both"/>
        <w:outlineLvl w:val="0"/>
        <w:rPr>
          <w:rFonts w:ascii="Arial" w:hAnsi="Arial" w:cs="Arial"/>
          <w:sz w:val="32"/>
          <w:szCs w:val="32"/>
        </w:rPr>
      </w:pPr>
    </w:p>
    <w:p w:rsidR="00073CA3" w:rsidRPr="002B2433" w:rsidRDefault="00073CA3" w:rsidP="00073CA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2B2433">
        <w:rPr>
          <w:rFonts w:ascii="Arial" w:hAnsi="Arial" w:cs="Arial"/>
          <w:b/>
          <w:sz w:val="32"/>
          <w:szCs w:val="32"/>
        </w:rPr>
        <w:t>REPLY</w:t>
      </w:r>
    </w:p>
    <w:p w:rsidR="00073CA3" w:rsidRPr="002B2433" w:rsidRDefault="00073CA3" w:rsidP="00073CA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B2433">
        <w:rPr>
          <w:rFonts w:ascii="Arial" w:hAnsi="Arial" w:cs="Arial"/>
          <w:sz w:val="32"/>
          <w:szCs w:val="32"/>
        </w:rPr>
        <w:t>a)</w:t>
      </w:r>
      <w:r w:rsidRPr="002B2433">
        <w:rPr>
          <w:rFonts w:ascii="Arial" w:hAnsi="Arial" w:cs="Arial"/>
          <w:sz w:val="32"/>
          <w:szCs w:val="32"/>
        </w:rPr>
        <w:tab/>
        <w:t>SA Sport Confederation and Olympic Commit</w:t>
      </w:r>
      <w:r>
        <w:rPr>
          <w:rFonts w:ascii="Arial" w:hAnsi="Arial" w:cs="Arial"/>
          <w:sz w:val="32"/>
          <w:szCs w:val="32"/>
        </w:rPr>
        <w:t xml:space="preserve">tee indicated that they do not </w:t>
      </w:r>
      <w:r w:rsidRPr="002B2433">
        <w:rPr>
          <w:rFonts w:ascii="Arial" w:hAnsi="Arial" w:cs="Arial"/>
          <w:sz w:val="32"/>
          <w:szCs w:val="32"/>
        </w:rPr>
        <w:t xml:space="preserve">utilize the services of Financial Consultants </w:t>
      </w:r>
    </w:p>
    <w:p w:rsidR="00073CA3" w:rsidRPr="002B2433" w:rsidRDefault="00073CA3" w:rsidP="00073CA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2B2433">
        <w:rPr>
          <w:rFonts w:ascii="Arial" w:hAnsi="Arial" w:cs="Arial"/>
          <w:sz w:val="32"/>
          <w:szCs w:val="32"/>
        </w:rPr>
        <w:t>b)</w:t>
      </w:r>
      <w:r w:rsidRPr="002B2433">
        <w:rPr>
          <w:rFonts w:ascii="Arial" w:hAnsi="Arial" w:cs="Arial"/>
          <w:sz w:val="32"/>
          <w:szCs w:val="32"/>
        </w:rPr>
        <w:tab/>
        <w:t>The Sports Trust indicated that they do not uti</w:t>
      </w:r>
      <w:r>
        <w:rPr>
          <w:rFonts w:ascii="Arial" w:hAnsi="Arial" w:cs="Arial"/>
          <w:sz w:val="32"/>
          <w:szCs w:val="32"/>
        </w:rPr>
        <w:t xml:space="preserve">lize the services of Financial Consultants. </w:t>
      </w:r>
      <w:r w:rsidRPr="002B2433">
        <w:rPr>
          <w:rFonts w:ascii="Arial" w:hAnsi="Arial" w:cs="Arial"/>
          <w:sz w:val="32"/>
          <w:szCs w:val="32"/>
        </w:rPr>
        <w:t>They have a full time Accounta</w:t>
      </w:r>
      <w:r>
        <w:rPr>
          <w:rFonts w:ascii="Arial" w:hAnsi="Arial" w:cs="Arial"/>
          <w:sz w:val="32"/>
          <w:szCs w:val="32"/>
        </w:rPr>
        <w:t xml:space="preserve">nt and Assistant Accountant to </w:t>
      </w:r>
      <w:r w:rsidRPr="002B2433">
        <w:rPr>
          <w:rFonts w:ascii="Arial" w:hAnsi="Arial" w:cs="Arial"/>
          <w:sz w:val="32"/>
          <w:szCs w:val="32"/>
        </w:rPr>
        <w:t>manage the day-to-day financial functions of The Sports Trust.</w:t>
      </w:r>
    </w:p>
    <w:p w:rsidR="00073CA3" w:rsidRDefault="00073CA3" w:rsidP="00073CA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c) </w:t>
      </w:r>
      <w:r w:rsidRPr="002B2433">
        <w:rPr>
          <w:rFonts w:ascii="Arial" w:hAnsi="Arial" w:cs="Arial"/>
          <w:sz w:val="32"/>
          <w:szCs w:val="32"/>
        </w:rPr>
        <w:t>The following is the status from the federations that responded;</w:t>
      </w:r>
    </w:p>
    <w:p w:rsidR="00073CA3" w:rsidRPr="002B2433" w:rsidRDefault="00073CA3" w:rsidP="00073CA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315"/>
        <w:gridCol w:w="5035"/>
      </w:tblGrid>
      <w:tr w:rsidR="00073CA3" w:rsidRPr="002B2433" w:rsidTr="002D7D3E">
        <w:trPr>
          <w:trHeight w:val="31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2433">
              <w:rPr>
                <w:rFonts w:ascii="Arial" w:hAnsi="Arial" w:cs="Arial"/>
                <w:b/>
                <w:bCs/>
                <w:sz w:val="32"/>
                <w:szCs w:val="32"/>
              </w:rPr>
              <w:t>Federations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2433">
              <w:rPr>
                <w:rFonts w:ascii="Arial" w:hAnsi="Arial" w:cs="Arial"/>
                <w:b/>
                <w:bCs/>
                <w:sz w:val="32"/>
                <w:szCs w:val="32"/>
              </w:rPr>
              <w:t>Responses</w:t>
            </w:r>
          </w:p>
        </w:tc>
      </w:tr>
      <w:tr w:rsidR="00073CA3" w:rsidRPr="002B2433" w:rsidTr="002D7D3E">
        <w:trPr>
          <w:trHeight w:val="29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Badminton South Africa (Badminton SA)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Indicated that they do not pay any financial consultants</w:t>
            </w:r>
          </w:p>
        </w:tc>
      </w:tr>
      <w:tr w:rsidR="00073CA3" w:rsidRPr="002B2433" w:rsidTr="002D7D3E">
        <w:trPr>
          <w:trHeight w:val="29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Canoeing South Africa (Canoeing SA)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Indicated that they do not pay any financial consultants</w:t>
            </w:r>
          </w:p>
        </w:tc>
      </w:tr>
      <w:tr w:rsidR="00073CA3" w:rsidRPr="002B2433" w:rsidTr="002D7D3E">
        <w:trPr>
          <w:trHeight w:val="83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Cricket South Africa (CSA)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 xml:space="preserve">Cricket South Africa indicated that they use consultants for the elite part of pathway (National Teams and High Performance </w:t>
            </w:r>
            <w:proofErr w:type="spellStart"/>
            <w:r w:rsidRPr="002B2433">
              <w:rPr>
                <w:rFonts w:ascii="Arial" w:hAnsi="Arial" w:cs="Arial"/>
                <w:sz w:val="32"/>
                <w:szCs w:val="32"/>
              </w:rPr>
              <w:t>Programme</w:t>
            </w:r>
            <w:proofErr w:type="spellEnd"/>
            <w:r w:rsidRPr="002B2433">
              <w:rPr>
                <w:rFonts w:ascii="Arial" w:hAnsi="Arial" w:cs="Arial"/>
                <w:sz w:val="32"/>
                <w:szCs w:val="32"/>
              </w:rPr>
              <w:t xml:space="preserve">).  Nothing from the </w:t>
            </w:r>
            <w:r w:rsidRPr="002B2433">
              <w:rPr>
                <w:rFonts w:ascii="Arial" w:hAnsi="Arial" w:cs="Arial"/>
                <w:sz w:val="32"/>
                <w:szCs w:val="32"/>
              </w:rPr>
              <w:lastRenderedPageBreak/>
              <w:t>grant received from the Sports Ministry on Hubs and Development of Girls / Women is used on consultants</w:t>
            </w:r>
          </w:p>
        </w:tc>
      </w:tr>
      <w:tr w:rsidR="00073CA3" w:rsidRPr="002B2433" w:rsidTr="002D7D3E">
        <w:trPr>
          <w:trHeight w:val="29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lastRenderedPageBreak/>
              <w:t>Darts South Africa (DSA)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Indicated that DSA does not utilize financial consultants</w:t>
            </w:r>
          </w:p>
        </w:tc>
      </w:tr>
      <w:tr w:rsidR="00073CA3" w:rsidRPr="002B2433" w:rsidTr="002D7D3E">
        <w:trPr>
          <w:trHeight w:val="29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Karate South Africa (KSA)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Indicated that they do not pay any financial consultants</w:t>
            </w:r>
          </w:p>
        </w:tc>
      </w:tr>
      <w:tr w:rsidR="00073CA3" w:rsidRPr="002B2433" w:rsidTr="002D7D3E">
        <w:trPr>
          <w:trHeight w:val="29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Lifesaving South Africa (LSA)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Indicated that they do not pay any financial consultants</w:t>
            </w:r>
          </w:p>
        </w:tc>
      </w:tr>
      <w:tr w:rsidR="00073CA3" w:rsidRPr="002B2433" w:rsidTr="002D7D3E">
        <w:trPr>
          <w:trHeight w:val="29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Motorsport South Africa (Motorsport SA)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Indicated that they do not pay any financial consultants</w:t>
            </w:r>
          </w:p>
        </w:tc>
      </w:tr>
      <w:tr w:rsidR="00073CA3" w:rsidRPr="002B2433" w:rsidTr="002D7D3E">
        <w:trPr>
          <w:trHeight w:val="29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B2433">
              <w:rPr>
                <w:rFonts w:ascii="Arial" w:hAnsi="Arial" w:cs="Arial"/>
                <w:sz w:val="32"/>
                <w:szCs w:val="32"/>
              </w:rPr>
              <w:t>Ringball</w:t>
            </w:r>
            <w:proofErr w:type="spellEnd"/>
            <w:r w:rsidRPr="002B2433">
              <w:rPr>
                <w:rFonts w:ascii="Arial" w:hAnsi="Arial" w:cs="Arial"/>
                <w:sz w:val="32"/>
                <w:szCs w:val="32"/>
              </w:rPr>
              <w:t xml:space="preserve"> Association of South Africa (RASA)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Indicated that they do not pay any financial consultants</w:t>
            </w:r>
          </w:p>
        </w:tc>
      </w:tr>
      <w:tr w:rsidR="00073CA3" w:rsidRPr="002B2433" w:rsidTr="002D7D3E">
        <w:trPr>
          <w:trHeight w:val="87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Roller Sport South Africa (RSSA)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Indicated that they do not pay any financial consultants</w:t>
            </w:r>
          </w:p>
        </w:tc>
      </w:tr>
      <w:tr w:rsidR="00073CA3" w:rsidRPr="002B2433" w:rsidTr="002D7D3E">
        <w:trPr>
          <w:trHeight w:val="735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Rowing South Africa (Rowing SA)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Rowing South Africa indicated that they do not contract any financial consultants or make any payments to financial consultants</w:t>
            </w:r>
          </w:p>
        </w:tc>
      </w:tr>
      <w:tr w:rsidR="00073CA3" w:rsidRPr="002B2433" w:rsidTr="002D7D3E">
        <w:trPr>
          <w:trHeight w:val="75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SA Association for the Intellectually Impaired (SAAII)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2B2433">
              <w:rPr>
                <w:rFonts w:ascii="Arial" w:hAnsi="Arial" w:cs="Arial"/>
                <w:sz w:val="32"/>
                <w:szCs w:val="32"/>
              </w:rPr>
              <w:t>Sasa</w:t>
            </w:r>
            <w:proofErr w:type="spellEnd"/>
            <w:r w:rsidRPr="002B2433">
              <w:rPr>
                <w:rFonts w:ascii="Arial" w:hAnsi="Arial" w:cs="Arial"/>
                <w:sz w:val="32"/>
                <w:szCs w:val="32"/>
              </w:rPr>
              <w:t>-II Indicated that they do not use services of financial consultants</w:t>
            </w:r>
          </w:p>
        </w:tc>
      </w:tr>
      <w:tr w:rsidR="00073CA3" w:rsidRPr="002B2433" w:rsidTr="002D7D3E">
        <w:trPr>
          <w:trHeight w:val="495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South African Amateur Fencing Association (SAAFA)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Indicated that they do not pay any financial consultants</w:t>
            </w:r>
          </w:p>
        </w:tc>
      </w:tr>
      <w:tr w:rsidR="00073CA3" w:rsidRPr="002B2433" w:rsidTr="002D7D3E">
        <w:trPr>
          <w:trHeight w:val="675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South African Body Building Federation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Indicated that they do not pay any financial consultants</w:t>
            </w:r>
          </w:p>
        </w:tc>
      </w:tr>
      <w:tr w:rsidR="00073CA3" w:rsidRPr="002B2433" w:rsidTr="002D7D3E">
        <w:trPr>
          <w:trHeight w:val="29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South African Confederation of Cue Sport (SACCS)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 xml:space="preserve">SACCS indicated that they do not pay any amounts to financial consultants </w:t>
            </w:r>
          </w:p>
        </w:tc>
      </w:tr>
      <w:tr w:rsidR="00073CA3" w:rsidRPr="002B2433" w:rsidTr="002D7D3E">
        <w:trPr>
          <w:trHeight w:val="495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South African Ice Hockey Association (SAIHA)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Indicated that they do not make use of any financial consultants</w:t>
            </w:r>
          </w:p>
        </w:tc>
      </w:tr>
      <w:tr w:rsidR="00073CA3" w:rsidRPr="002B2433" w:rsidTr="002D7D3E">
        <w:trPr>
          <w:trHeight w:val="615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lastRenderedPageBreak/>
              <w:t>South African Korfball Federation (SAKF)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 xml:space="preserve">South African Korfball Federation indicated that they do not engage any consultants </w:t>
            </w:r>
          </w:p>
        </w:tc>
      </w:tr>
      <w:tr w:rsidR="00073CA3" w:rsidRPr="002B2433" w:rsidTr="002D7D3E">
        <w:trPr>
          <w:trHeight w:val="60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South African Powerlifting Federation (SAPF)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SA Powerlifting Federation indicated that they do not pay amounts to financial consultants</w:t>
            </w:r>
          </w:p>
        </w:tc>
      </w:tr>
      <w:tr w:rsidR="00073CA3" w:rsidRPr="002B2433" w:rsidTr="002D7D3E">
        <w:trPr>
          <w:trHeight w:val="645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South African Rugby Union (SARU)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 xml:space="preserve">Indicated that they do not procure the services of financial consultants </w:t>
            </w:r>
          </w:p>
        </w:tc>
      </w:tr>
      <w:tr w:rsidR="00073CA3" w:rsidRPr="002B2433" w:rsidTr="002D7D3E">
        <w:trPr>
          <w:trHeight w:val="54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South African Table Tennis Board (SATTB)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The South African Table Tennis Board (SATTB) indicated that they do not pay any amounts to any financial consultants</w:t>
            </w:r>
          </w:p>
        </w:tc>
      </w:tr>
      <w:tr w:rsidR="00073CA3" w:rsidRPr="002B2433" w:rsidTr="002D7D3E">
        <w:trPr>
          <w:trHeight w:val="132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South African Tug-of War Federation (SATWF)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 xml:space="preserve">The South African Tug-of-War Federation indicated that they do not </w:t>
            </w:r>
            <w:proofErr w:type="spellStart"/>
            <w:r w:rsidRPr="002B2433">
              <w:rPr>
                <w:rFonts w:ascii="Arial" w:hAnsi="Arial" w:cs="Arial"/>
                <w:sz w:val="32"/>
                <w:szCs w:val="32"/>
              </w:rPr>
              <w:t>utilise</w:t>
            </w:r>
            <w:proofErr w:type="spellEnd"/>
            <w:r w:rsidRPr="002B2433">
              <w:rPr>
                <w:rFonts w:ascii="Arial" w:hAnsi="Arial" w:cs="Arial"/>
                <w:sz w:val="32"/>
                <w:szCs w:val="32"/>
              </w:rPr>
              <w:t xml:space="preserve"> financial consultants, nor do they pay any consulting fees to consultants</w:t>
            </w:r>
          </w:p>
        </w:tc>
      </w:tr>
      <w:tr w:rsidR="00073CA3" w:rsidRPr="002B2433" w:rsidTr="002D7D3E">
        <w:trPr>
          <w:trHeight w:val="84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South African Weightlifting Federation (SAWF)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 xml:space="preserve">South African Weightlifting indicated that they do not make use of consultants </w:t>
            </w:r>
          </w:p>
        </w:tc>
      </w:tr>
      <w:tr w:rsidR="00073CA3" w:rsidRPr="002B2433" w:rsidTr="002D7D3E">
        <w:trPr>
          <w:trHeight w:val="630"/>
        </w:trPr>
        <w:tc>
          <w:tcPr>
            <w:tcW w:w="431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Squash South Africa (Squash SA)</w:t>
            </w:r>
          </w:p>
        </w:tc>
        <w:tc>
          <w:tcPr>
            <w:tcW w:w="5035" w:type="dxa"/>
            <w:hideMark/>
          </w:tcPr>
          <w:p w:rsidR="00073CA3" w:rsidRPr="002B2433" w:rsidRDefault="00073CA3" w:rsidP="002D7D3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2B2433">
              <w:rPr>
                <w:rFonts w:ascii="Arial" w:hAnsi="Arial" w:cs="Arial"/>
                <w:sz w:val="32"/>
                <w:szCs w:val="32"/>
              </w:rPr>
              <w:t>Squash indicated that they do not pay any consultants. Their Treasurer is an accountant and has his own firm.  He does not receive an Honorarium from the Federation</w:t>
            </w:r>
          </w:p>
        </w:tc>
      </w:tr>
    </w:tbl>
    <w:p w:rsidR="00073CA3" w:rsidRPr="002B2433" w:rsidRDefault="00073CA3" w:rsidP="00073CA3">
      <w:pPr>
        <w:pStyle w:val="DACBODYTEXT"/>
        <w:ind w:left="0"/>
        <w:jc w:val="both"/>
        <w:rPr>
          <w:rFonts w:cs="Arial"/>
        </w:rPr>
      </w:pPr>
    </w:p>
    <w:p w:rsidR="00073CA3" w:rsidRDefault="00073CA3" w:rsidP="00073CA3">
      <w:pPr>
        <w:pStyle w:val="DACBODYTEXT"/>
        <w:ind w:left="0"/>
        <w:jc w:val="both"/>
        <w:rPr>
          <w:rFonts w:cs="Arial"/>
          <w:sz w:val="24"/>
          <w:szCs w:val="24"/>
        </w:rPr>
      </w:pPr>
    </w:p>
    <w:p w:rsidR="00073CA3" w:rsidRDefault="00073CA3" w:rsidP="00073CA3">
      <w:pPr>
        <w:pStyle w:val="DACBODYTEXT"/>
        <w:ind w:left="0"/>
        <w:jc w:val="both"/>
        <w:rPr>
          <w:rFonts w:cs="Arial"/>
          <w:sz w:val="24"/>
          <w:szCs w:val="24"/>
        </w:rPr>
      </w:pPr>
    </w:p>
    <w:p w:rsidR="00073CA3" w:rsidRDefault="00073CA3" w:rsidP="00073CA3">
      <w:pPr>
        <w:pStyle w:val="DACBODYTEXT"/>
        <w:ind w:left="0"/>
        <w:jc w:val="both"/>
        <w:rPr>
          <w:rFonts w:cs="Arial"/>
          <w:sz w:val="24"/>
          <w:szCs w:val="24"/>
        </w:rPr>
      </w:pPr>
    </w:p>
    <w:p w:rsidR="00073CA3" w:rsidRDefault="00073CA3" w:rsidP="00073CA3">
      <w:pPr>
        <w:pStyle w:val="DACBODYTEXT"/>
        <w:ind w:left="0"/>
        <w:jc w:val="both"/>
        <w:rPr>
          <w:rFonts w:cs="Arial"/>
          <w:sz w:val="24"/>
          <w:szCs w:val="24"/>
        </w:rPr>
      </w:pPr>
    </w:p>
    <w:p w:rsidR="00073CA3" w:rsidRDefault="00073CA3" w:rsidP="00073CA3">
      <w:pPr>
        <w:pStyle w:val="DACBODYTEXT"/>
        <w:ind w:left="0"/>
        <w:jc w:val="both"/>
        <w:rPr>
          <w:rFonts w:cs="Arial"/>
          <w:sz w:val="24"/>
          <w:szCs w:val="24"/>
        </w:rPr>
      </w:pPr>
    </w:p>
    <w:p w:rsidR="00073CA3" w:rsidRDefault="00073CA3" w:rsidP="00073CA3">
      <w:pPr>
        <w:pStyle w:val="DACBODYTEXT"/>
        <w:ind w:left="0"/>
        <w:jc w:val="both"/>
        <w:rPr>
          <w:rFonts w:cs="Arial"/>
          <w:sz w:val="24"/>
          <w:szCs w:val="24"/>
        </w:rPr>
      </w:pPr>
    </w:p>
    <w:p w:rsidR="00073CA3" w:rsidRDefault="00073CA3" w:rsidP="00073CA3">
      <w:pPr>
        <w:pStyle w:val="DACBODYTEXT"/>
        <w:ind w:left="0"/>
        <w:jc w:val="both"/>
        <w:rPr>
          <w:rFonts w:cs="Arial"/>
          <w:sz w:val="24"/>
          <w:szCs w:val="24"/>
        </w:rPr>
      </w:pPr>
    </w:p>
    <w:p w:rsidR="00073CA3" w:rsidRPr="002B2433" w:rsidRDefault="00073CA3" w:rsidP="00073CA3">
      <w:pPr>
        <w:pStyle w:val="DACBODYTEXT"/>
        <w:ind w:left="0"/>
        <w:jc w:val="both"/>
        <w:rPr>
          <w:rFonts w:cs="Arial"/>
          <w:sz w:val="24"/>
          <w:szCs w:val="24"/>
        </w:rPr>
      </w:pPr>
    </w:p>
    <w:p w:rsidR="00C27C96" w:rsidRDefault="00C27C96"/>
    <w:sectPr w:rsidR="00C27C96" w:rsidSect="00827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CA3"/>
    <w:rsid w:val="00073CA3"/>
    <w:rsid w:val="00827A8D"/>
    <w:rsid w:val="00953463"/>
    <w:rsid w:val="00C2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73CA3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073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2020-11-02T12:57:00Z</dcterms:created>
  <dcterms:modified xsi:type="dcterms:W3CDTF">2020-11-02T12:57:00Z</dcterms:modified>
</cp:coreProperties>
</file>