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59A2" w:rsidRPr="00497489" w:rsidRDefault="008659A2" w:rsidP="00497489">
      <w:pPr>
        <w:pStyle w:val="BodyText"/>
        <w:ind w:left="2740"/>
        <w:rPr>
          <w:rFonts w:ascii="Times New Roman"/>
          <w:sz w:val="20"/>
          <w:szCs w:val="20"/>
        </w:rPr>
      </w:pPr>
    </w:p>
    <w:p w:rsidR="008659A2" w:rsidRPr="00497489" w:rsidRDefault="008659A2" w:rsidP="00497489">
      <w:pPr>
        <w:pStyle w:val="BodyText"/>
        <w:rPr>
          <w:rFonts w:ascii="Times New Roman"/>
          <w:sz w:val="20"/>
          <w:szCs w:val="20"/>
        </w:rPr>
      </w:pPr>
    </w:p>
    <w:p w:rsidR="008659A2" w:rsidRPr="00497489" w:rsidRDefault="002F61FA" w:rsidP="00497489">
      <w:pPr>
        <w:ind w:left="2934" w:right="2792"/>
        <w:jc w:val="center"/>
        <w:rPr>
          <w:b/>
          <w:sz w:val="20"/>
          <w:szCs w:val="20"/>
        </w:rPr>
      </w:pPr>
      <w:r w:rsidRPr="00497489">
        <w:rPr>
          <w:b/>
          <w:sz w:val="20"/>
          <w:szCs w:val="20"/>
        </w:rPr>
        <w:t>NATIONAL ASSEMBLY QUESTIONS FOR WRITTEN REPLY</w:t>
      </w:r>
    </w:p>
    <w:p w:rsidR="008659A2" w:rsidRPr="00497489" w:rsidRDefault="008659A2" w:rsidP="00497489">
      <w:pPr>
        <w:pStyle w:val="BodyText"/>
        <w:rPr>
          <w:b/>
          <w:sz w:val="20"/>
          <w:szCs w:val="20"/>
        </w:rPr>
      </w:pPr>
    </w:p>
    <w:p w:rsidR="008659A2" w:rsidRPr="00497489" w:rsidRDefault="002F61FA" w:rsidP="00497489">
      <w:pPr>
        <w:ind w:left="2932" w:right="2792"/>
        <w:jc w:val="center"/>
        <w:rPr>
          <w:b/>
          <w:sz w:val="20"/>
          <w:szCs w:val="20"/>
        </w:rPr>
      </w:pPr>
      <w:r w:rsidRPr="00497489">
        <w:rPr>
          <w:b/>
          <w:sz w:val="20"/>
          <w:szCs w:val="20"/>
        </w:rPr>
        <w:t>QUESTION NUMBER 2170</w:t>
      </w:r>
    </w:p>
    <w:p w:rsidR="008659A2" w:rsidRPr="00497489" w:rsidRDefault="002F61FA" w:rsidP="00497489">
      <w:pPr>
        <w:ind w:left="2309" w:right="2170"/>
        <w:jc w:val="center"/>
        <w:rPr>
          <w:b/>
          <w:sz w:val="20"/>
          <w:szCs w:val="20"/>
        </w:rPr>
      </w:pPr>
      <w:r w:rsidRPr="00497489">
        <w:rPr>
          <w:b/>
          <w:sz w:val="20"/>
          <w:szCs w:val="20"/>
        </w:rPr>
        <w:t>DATE OF PUBLICATION: 03 SEPTEMBER 2021</w:t>
      </w:r>
    </w:p>
    <w:p w:rsidR="008659A2" w:rsidRPr="00497489" w:rsidRDefault="008659A2" w:rsidP="00497489">
      <w:pPr>
        <w:pStyle w:val="BodyText"/>
        <w:rPr>
          <w:b/>
          <w:sz w:val="20"/>
          <w:szCs w:val="20"/>
        </w:rPr>
      </w:pPr>
    </w:p>
    <w:p w:rsidR="008659A2" w:rsidRPr="00497489" w:rsidRDefault="008659A2" w:rsidP="00497489">
      <w:pPr>
        <w:pStyle w:val="BodyText"/>
        <w:rPr>
          <w:b/>
          <w:sz w:val="20"/>
          <w:szCs w:val="20"/>
        </w:rPr>
      </w:pPr>
    </w:p>
    <w:p w:rsidR="008659A2" w:rsidRPr="00497489" w:rsidRDefault="008659A2" w:rsidP="00497489">
      <w:pPr>
        <w:pStyle w:val="BodyText"/>
        <w:rPr>
          <w:b/>
          <w:sz w:val="20"/>
          <w:szCs w:val="20"/>
        </w:rPr>
      </w:pPr>
    </w:p>
    <w:p w:rsidR="008659A2" w:rsidRPr="00497489" w:rsidRDefault="002F61FA" w:rsidP="00497489">
      <w:pPr>
        <w:pStyle w:val="Heading1"/>
        <w:ind w:left="980"/>
        <w:rPr>
          <w:sz w:val="20"/>
          <w:szCs w:val="20"/>
        </w:rPr>
      </w:pPr>
      <w:r w:rsidRPr="00497489">
        <w:rPr>
          <w:sz w:val="20"/>
          <w:szCs w:val="20"/>
        </w:rPr>
        <w:t>2170. Ms R N Komane (EFF) to ask the Minister of Cooperative Governance and Traditional Affairs:</w:t>
      </w:r>
    </w:p>
    <w:p w:rsidR="008659A2" w:rsidRPr="00497489" w:rsidRDefault="008659A2" w:rsidP="00497489">
      <w:pPr>
        <w:pStyle w:val="BodyText"/>
        <w:rPr>
          <w:b/>
          <w:sz w:val="20"/>
          <w:szCs w:val="20"/>
        </w:rPr>
      </w:pPr>
    </w:p>
    <w:p w:rsidR="008659A2" w:rsidRPr="00497489" w:rsidRDefault="002F61FA" w:rsidP="00497489">
      <w:pPr>
        <w:pStyle w:val="BodyText"/>
        <w:ind w:left="968"/>
        <w:rPr>
          <w:sz w:val="20"/>
          <w:szCs w:val="20"/>
        </w:rPr>
      </w:pPr>
      <w:r w:rsidRPr="00497489">
        <w:rPr>
          <w:sz w:val="20"/>
          <w:szCs w:val="20"/>
        </w:rPr>
        <w:t>QUESTION:</w:t>
      </w:r>
    </w:p>
    <w:p w:rsidR="008659A2" w:rsidRPr="00497489" w:rsidRDefault="008659A2" w:rsidP="00497489">
      <w:pPr>
        <w:pStyle w:val="BodyText"/>
        <w:rPr>
          <w:sz w:val="20"/>
          <w:szCs w:val="20"/>
        </w:rPr>
      </w:pPr>
    </w:p>
    <w:p w:rsidR="008659A2" w:rsidRPr="00497489" w:rsidRDefault="002F61FA" w:rsidP="00497489">
      <w:pPr>
        <w:pStyle w:val="BodyText"/>
        <w:ind w:left="980" w:right="123" w:hanging="360"/>
        <w:jc w:val="both"/>
        <w:rPr>
          <w:sz w:val="20"/>
          <w:szCs w:val="20"/>
        </w:rPr>
      </w:pPr>
      <w:r w:rsidRPr="00497489">
        <w:rPr>
          <w:sz w:val="20"/>
          <w:szCs w:val="20"/>
        </w:rPr>
        <w:t>(1) What other forms of redress are being sought following the implementation of section 100 of the Constitution of the Republic of South Africa, 1996, to place certain North-West provincial departments under administration? NW2462E</w:t>
      </w:r>
    </w:p>
    <w:p w:rsidR="008659A2" w:rsidRPr="00497489" w:rsidRDefault="002F61FA" w:rsidP="00497489">
      <w:pPr>
        <w:pStyle w:val="Heading1"/>
        <w:ind w:firstLine="0"/>
        <w:rPr>
          <w:sz w:val="20"/>
          <w:szCs w:val="20"/>
        </w:rPr>
      </w:pPr>
      <w:r w:rsidRPr="00497489">
        <w:rPr>
          <w:sz w:val="20"/>
          <w:szCs w:val="20"/>
        </w:rPr>
        <w:t>REPLY:</w:t>
      </w:r>
    </w:p>
    <w:p w:rsidR="008659A2" w:rsidRPr="00497489" w:rsidRDefault="008659A2" w:rsidP="00497489">
      <w:pPr>
        <w:pStyle w:val="BodyText"/>
        <w:rPr>
          <w:b/>
          <w:sz w:val="20"/>
          <w:szCs w:val="20"/>
        </w:rPr>
      </w:pPr>
    </w:p>
    <w:p w:rsidR="008659A2" w:rsidRPr="00497489" w:rsidRDefault="008659A2" w:rsidP="00497489">
      <w:pPr>
        <w:pStyle w:val="BodyText"/>
        <w:rPr>
          <w:b/>
          <w:sz w:val="20"/>
          <w:szCs w:val="20"/>
        </w:rPr>
      </w:pPr>
    </w:p>
    <w:p w:rsidR="008659A2" w:rsidRPr="00497489" w:rsidRDefault="002F61FA" w:rsidP="00497489">
      <w:pPr>
        <w:pStyle w:val="BodyText"/>
        <w:ind w:left="118" w:right="115"/>
        <w:jc w:val="both"/>
        <w:rPr>
          <w:sz w:val="20"/>
          <w:szCs w:val="20"/>
        </w:rPr>
      </w:pPr>
      <w:r w:rsidRPr="00497489">
        <w:rPr>
          <w:sz w:val="20"/>
          <w:szCs w:val="20"/>
        </w:rPr>
        <w:t>The IMTT intends to conduct and conclude the intervention in strict accordance to the mandate given by Cabinet. Section 100 of the Constitution provides that when a province cannot or does not fulfil an executive obligation in terms of the Constitution o</w:t>
      </w:r>
      <w:r w:rsidRPr="00497489">
        <w:rPr>
          <w:sz w:val="20"/>
          <w:szCs w:val="20"/>
        </w:rPr>
        <w:t>r legislation, the national executive may intervene by taking any appropriate steps to ensure fulfilment of that obligation, including issuing a directive to the provincial executive,</w:t>
      </w:r>
      <w:r w:rsidRPr="00497489">
        <w:rPr>
          <w:spacing w:val="-16"/>
          <w:sz w:val="20"/>
          <w:szCs w:val="20"/>
        </w:rPr>
        <w:t xml:space="preserve"> </w:t>
      </w:r>
      <w:r w:rsidRPr="00497489">
        <w:rPr>
          <w:sz w:val="20"/>
          <w:szCs w:val="20"/>
        </w:rPr>
        <w:t>describing</w:t>
      </w:r>
      <w:r w:rsidRPr="00497489">
        <w:rPr>
          <w:spacing w:val="-16"/>
          <w:sz w:val="20"/>
          <w:szCs w:val="20"/>
        </w:rPr>
        <w:t xml:space="preserve"> </w:t>
      </w:r>
      <w:r w:rsidRPr="00497489">
        <w:rPr>
          <w:sz w:val="20"/>
          <w:szCs w:val="20"/>
        </w:rPr>
        <w:t>the</w:t>
      </w:r>
      <w:r w:rsidRPr="00497489">
        <w:rPr>
          <w:spacing w:val="-15"/>
          <w:sz w:val="20"/>
          <w:szCs w:val="20"/>
        </w:rPr>
        <w:t xml:space="preserve"> </w:t>
      </w:r>
      <w:r w:rsidRPr="00497489">
        <w:rPr>
          <w:sz w:val="20"/>
          <w:szCs w:val="20"/>
        </w:rPr>
        <w:t>extent</w:t>
      </w:r>
      <w:r w:rsidRPr="00497489">
        <w:rPr>
          <w:spacing w:val="-18"/>
          <w:sz w:val="20"/>
          <w:szCs w:val="20"/>
        </w:rPr>
        <w:t xml:space="preserve"> </w:t>
      </w:r>
      <w:r w:rsidRPr="00497489">
        <w:rPr>
          <w:sz w:val="20"/>
          <w:szCs w:val="20"/>
        </w:rPr>
        <w:t>of</w:t>
      </w:r>
      <w:r w:rsidRPr="00497489">
        <w:rPr>
          <w:spacing w:val="-13"/>
          <w:sz w:val="20"/>
          <w:szCs w:val="20"/>
        </w:rPr>
        <w:t xml:space="preserve"> </w:t>
      </w:r>
      <w:r w:rsidRPr="00497489">
        <w:rPr>
          <w:sz w:val="20"/>
          <w:szCs w:val="20"/>
        </w:rPr>
        <w:t>the</w:t>
      </w:r>
      <w:r w:rsidRPr="00497489">
        <w:rPr>
          <w:spacing w:val="-17"/>
          <w:sz w:val="20"/>
          <w:szCs w:val="20"/>
        </w:rPr>
        <w:t xml:space="preserve"> </w:t>
      </w:r>
      <w:r w:rsidRPr="00497489">
        <w:rPr>
          <w:sz w:val="20"/>
          <w:szCs w:val="20"/>
        </w:rPr>
        <w:t>failure</w:t>
      </w:r>
      <w:r w:rsidRPr="00497489">
        <w:rPr>
          <w:spacing w:val="-16"/>
          <w:sz w:val="20"/>
          <w:szCs w:val="20"/>
        </w:rPr>
        <w:t xml:space="preserve"> </w:t>
      </w:r>
      <w:r w:rsidRPr="00497489">
        <w:rPr>
          <w:sz w:val="20"/>
          <w:szCs w:val="20"/>
        </w:rPr>
        <w:t>to</w:t>
      </w:r>
      <w:r w:rsidRPr="00497489">
        <w:rPr>
          <w:spacing w:val="-17"/>
          <w:sz w:val="20"/>
          <w:szCs w:val="20"/>
        </w:rPr>
        <w:t xml:space="preserve"> </w:t>
      </w:r>
      <w:r w:rsidRPr="00497489">
        <w:rPr>
          <w:sz w:val="20"/>
          <w:szCs w:val="20"/>
        </w:rPr>
        <w:t>fulfil</w:t>
      </w:r>
      <w:r w:rsidRPr="00497489">
        <w:rPr>
          <w:spacing w:val="-16"/>
          <w:sz w:val="20"/>
          <w:szCs w:val="20"/>
        </w:rPr>
        <w:t xml:space="preserve"> </w:t>
      </w:r>
      <w:r w:rsidRPr="00497489">
        <w:rPr>
          <w:sz w:val="20"/>
          <w:szCs w:val="20"/>
        </w:rPr>
        <w:t>its</w:t>
      </w:r>
      <w:r w:rsidRPr="00497489">
        <w:rPr>
          <w:spacing w:val="-16"/>
          <w:sz w:val="20"/>
          <w:szCs w:val="20"/>
        </w:rPr>
        <w:t xml:space="preserve"> </w:t>
      </w:r>
      <w:r w:rsidRPr="00497489">
        <w:rPr>
          <w:sz w:val="20"/>
          <w:szCs w:val="20"/>
        </w:rPr>
        <w:t>obligations</w:t>
      </w:r>
      <w:r w:rsidRPr="00497489">
        <w:rPr>
          <w:spacing w:val="-15"/>
          <w:sz w:val="20"/>
          <w:szCs w:val="20"/>
        </w:rPr>
        <w:t xml:space="preserve"> </w:t>
      </w:r>
      <w:r w:rsidRPr="00497489">
        <w:rPr>
          <w:sz w:val="20"/>
          <w:szCs w:val="20"/>
        </w:rPr>
        <w:t>and</w:t>
      </w:r>
      <w:r w:rsidRPr="00497489">
        <w:rPr>
          <w:spacing w:val="-15"/>
          <w:sz w:val="20"/>
          <w:szCs w:val="20"/>
        </w:rPr>
        <w:t xml:space="preserve"> </w:t>
      </w:r>
      <w:r w:rsidRPr="00497489">
        <w:rPr>
          <w:sz w:val="20"/>
          <w:szCs w:val="20"/>
        </w:rPr>
        <w:t>stati</w:t>
      </w:r>
      <w:r w:rsidRPr="00497489">
        <w:rPr>
          <w:sz w:val="20"/>
          <w:szCs w:val="20"/>
        </w:rPr>
        <w:t>ng</w:t>
      </w:r>
      <w:r w:rsidRPr="00497489">
        <w:rPr>
          <w:spacing w:val="-18"/>
          <w:sz w:val="20"/>
          <w:szCs w:val="20"/>
        </w:rPr>
        <w:t xml:space="preserve"> </w:t>
      </w:r>
      <w:r w:rsidRPr="00497489">
        <w:rPr>
          <w:sz w:val="20"/>
          <w:szCs w:val="20"/>
        </w:rPr>
        <w:t>any</w:t>
      </w:r>
      <w:r w:rsidRPr="00497489">
        <w:rPr>
          <w:spacing w:val="-18"/>
          <w:sz w:val="20"/>
          <w:szCs w:val="20"/>
        </w:rPr>
        <w:t xml:space="preserve"> </w:t>
      </w:r>
      <w:r w:rsidRPr="00497489">
        <w:rPr>
          <w:sz w:val="20"/>
          <w:szCs w:val="20"/>
        </w:rPr>
        <w:t>steps required</w:t>
      </w:r>
      <w:r w:rsidRPr="00497489">
        <w:rPr>
          <w:spacing w:val="-7"/>
          <w:sz w:val="20"/>
          <w:szCs w:val="20"/>
        </w:rPr>
        <w:t xml:space="preserve"> </w:t>
      </w:r>
      <w:r w:rsidRPr="00497489">
        <w:rPr>
          <w:sz w:val="20"/>
          <w:szCs w:val="20"/>
        </w:rPr>
        <w:t>to</w:t>
      </w:r>
      <w:r w:rsidRPr="00497489">
        <w:rPr>
          <w:spacing w:val="-8"/>
          <w:sz w:val="20"/>
          <w:szCs w:val="20"/>
        </w:rPr>
        <w:t xml:space="preserve"> </w:t>
      </w:r>
      <w:r w:rsidRPr="00497489">
        <w:rPr>
          <w:sz w:val="20"/>
          <w:szCs w:val="20"/>
        </w:rPr>
        <w:t>meet</w:t>
      </w:r>
      <w:r w:rsidRPr="00497489">
        <w:rPr>
          <w:spacing w:val="-9"/>
          <w:sz w:val="20"/>
          <w:szCs w:val="20"/>
        </w:rPr>
        <w:t xml:space="preserve"> </w:t>
      </w:r>
      <w:r w:rsidRPr="00497489">
        <w:rPr>
          <w:sz w:val="20"/>
          <w:szCs w:val="20"/>
        </w:rPr>
        <w:t>its</w:t>
      </w:r>
      <w:r w:rsidRPr="00497489">
        <w:rPr>
          <w:spacing w:val="-7"/>
          <w:sz w:val="20"/>
          <w:szCs w:val="20"/>
        </w:rPr>
        <w:t xml:space="preserve"> </w:t>
      </w:r>
      <w:r w:rsidRPr="00497489">
        <w:rPr>
          <w:sz w:val="20"/>
          <w:szCs w:val="20"/>
        </w:rPr>
        <w:t>obligations;</w:t>
      </w:r>
      <w:r w:rsidRPr="00497489">
        <w:rPr>
          <w:spacing w:val="-6"/>
          <w:sz w:val="20"/>
          <w:szCs w:val="20"/>
        </w:rPr>
        <w:t xml:space="preserve"> </w:t>
      </w:r>
      <w:r w:rsidRPr="00497489">
        <w:rPr>
          <w:sz w:val="20"/>
          <w:szCs w:val="20"/>
        </w:rPr>
        <w:t>an</w:t>
      </w:r>
      <w:r w:rsidRPr="00497489">
        <w:rPr>
          <w:spacing w:val="-7"/>
          <w:sz w:val="20"/>
          <w:szCs w:val="20"/>
        </w:rPr>
        <w:t xml:space="preserve"> </w:t>
      </w:r>
      <w:r w:rsidRPr="00497489">
        <w:rPr>
          <w:sz w:val="20"/>
          <w:szCs w:val="20"/>
        </w:rPr>
        <w:t>assuming</w:t>
      </w:r>
      <w:r w:rsidRPr="00497489">
        <w:rPr>
          <w:spacing w:val="-8"/>
          <w:sz w:val="20"/>
          <w:szCs w:val="20"/>
        </w:rPr>
        <w:t xml:space="preserve"> </w:t>
      </w:r>
      <w:r w:rsidRPr="00497489">
        <w:rPr>
          <w:sz w:val="20"/>
          <w:szCs w:val="20"/>
        </w:rPr>
        <w:t>responsibility</w:t>
      </w:r>
      <w:r w:rsidRPr="00497489">
        <w:rPr>
          <w:spacing w:val="-9"/>
          <w:sz w:val="20"/>
          <w:szCs w:val="20"/>
        </w:rPr>
        <w:t xml:space="preserve"> </w:t>
      </w:r>
      <w:r w:rsidRPr="00497489">
        <w:rPr>
          <w:sz w:val="20"/>
          <w:szCs w:val="20"/>
        </w:rPr>
        <w:t>for</w:t>
      </w:r>
      <w:r w:rsidRPr="00497489">
        <w:rPr>
          <w:spacing w:val="-10"/>
          <w:sz w:val="20"/>
          <w:szCs w:val="20"/>
        </w:rPr>
        <w:t xml:space="preserve"> </w:t>
      </w:r>
      <w:r w:rsidRPr="00497489">
        <w:rPr>
          <w:sz w:val="20"/>
          <w:szCs w:val="20"/>
        </w:rPr>
        <w:t>the</w:t>
      </w:r>
      <w:r w:rsidRPr="00497489">
        <w:rPr>
          <w:spacing w:val="-8"/>
          <w:sz w:val="20"/>
          <w:szCs w:val="20"/>
        </w:rPr>
        <w:t xml:space="preserve"> </w:t>
      </w:r>
      <w:r w:rsidRPr="00497489">
        <w:rPr>
          <w:sz w:val="20"/>
          <w:szCs w:val="20"/>
        </w:rPr>
        <w:t>relevant</w:t>
      </w:r>
      <w:r w:rsidRPr="00497489">
        <w:rPr>
          <w:spacing w:val="-7"/>
          <w:sz w:val="20"/>
          <w:szCs w:val="20"/>
        </w:rPr>
        <w:t xml:space="preserve"> </w:t>
      </w:r>
      <w:r w:rsidRPr="00497489">
        <w:rPr>
          <w:sz w:val="20"/>
          <w:szCs w:val="20"/>
        </w:rPr>
        <w:t>obligation</w:t>
      </w:r>
      <w:r w:rsidRPr="00497489">
        <w:rPr>
          <w:spacing w:val="-6"/>
          <w:sz w:val="20"/>
          <w:szCs w:val="20"/>
        </w:rPr>
        <w:t xml:space="preserve"> </w:t>
      </w:r>
      <w:r w:rsidRPr="00497489">
        <w:rPr>
          <w:sz w:val="20"/>
          <w:szCs w:val="20"/>
        </w:rPr>
        <w:t>in that</w:t>
      </w:r>
      <w:r w:rsidRPr="00497489">
        <w:rPr>
          <w:spacing w:val="-2"/>
          <w:sz w:val="20"/>
          <w:szCs w:val="20"/>
        </w:rPr>
        <w:t xml:space="preserve"> </w:t>
      </w:r>
      <w:r w:rsidRPr="00497489">
        <w:rPr>
          <w:sz w:val="20"/>
          <w:szCs w:val="20"/>
        </w:rPr>
        <w:t>province.</w:t>
      </w:r>
    </w:p>
    <w:p w:rsidR="008659A2" w:rsidRPr="00497489" w:rsidRDefault="008659A2" w:rsidP="00497489">
      <w:pPr>
        <w:pStyle w:val="BodyText"/>
        <w:rPr>
          <w:sz w:val="20"/>
          <w:szCs w:val="20"/>
        </w:rPr>
      </w:pPr>
    </w:p>
    <w:p w:rsidR="008659A2" w:rsidRPr="00497489" w:rsidRDefault="002F61FA" w:rsidP="00497489">
      <w:pPr>
        <w:pStyle w:val="BodyText"/>
        <w:ind w:left="118" w:right="120"/>
        <w:jc w:val="both"/>
        <w:rPr>
          <w:sz w:val="20"/>
          <w:szCs w:val="20"/>
        </w:rPr>
      </w:pPr>
      <w:r w:rsidRPr="00497489">
        <w:rPr>
          <w:sz w:val="20"/>
          <w:szCs w:val="20"/>
        </w:rPr>
        <w:t xml:space="preserve">All the provincial departments in the North-West are subject to interventions, five of them being under section 100(1)(a) of the Constitution in terms of the issuing of directives; and the other five being under section 100(1)(b) of the Constitution under </w:t>
      </w:r>
      <w:r w:rsidRPr="00497489">
        <w:rPr>
          <w:sz w:val="20"/>
          <w:szCs w:val="20"/>
        </w:rPr>
        <w:t>which there was assumption of responsibility of the provincial administration by the national government. The prerogative to intervene in the provincial departments is that of the national executive (Cabinet). Any Minister responsible for the corresponding</w:t>
      </w:r>
      <w:r w:rsidRPr="00497489">
        <w:rPr>
          <w:sz w:val="20"/>
          <w:szCs w:val="20"/>
        </w:rPr>
        <w:t xml:space="preserve"> portfolio</w:t>
      </w:r>
      <w:r w:rsidRPr="00497489">
        <w:rPr>
          <w:spacing w:val="-11"/>
          <w:sz w:val="20"/>
          <w:szCs w:val="20"/>
        </w:rPr>
        <w:t xml:space="preserve"> </w:t>
      </w:r>
      <w:r w:rsidRPr="00497489">
        <w:rPr>
          <w:sz w:val="20"/>
          <w:szCs w:val="20"/>
        </w:rPr>
        <w:t>in</w:t>
      </w:r>
      <w:r w:rsidRPr="00497489">
        <w:rPr>
          <w:spacing w:val="-11"/>
          <w:sz w:val="20"/>
          <w:szCs w:val="20"/>
        </w:rPr>
        <w:t xml:space="preserve"> </w:t>
      </w:r>
      <w:r w:rsidRPr="00497489">
        <w:rPr>
          <w:sz w:val="20"/>
          <w:szCs w:val="20"/>
        </w:rPr>
        <w:t>the</w:t>
      </w:r>
      <w:r w:rsidRPr="00497489">
        <w:rPr>
          <w:spacing w:val="-11"/>
          <w:sz w:val="20"/>
          <w:szCs w:val="20"/>
        </w:rPr>
        <w:t xml:space="preserve"> </w:t>
      </w:r>
      <w:r w:rsidRPr="00497489">
        <w:rPr>
          <w:sz w:val="20"/>
          <w:szCs w:val="20"/>
        </w:rPr>
        <w:t>provinces</w:t>
      </w:r>
      <w:r w:rsidRPr="00497489">
        <w:rPr>
          <w:spacing w:val="-12"/>
          <w:sz w:val="20"/>
          <w:szCs w:val="20"/>
        </w:rPr>
        <w:t xml:space="preserve"> </w:t>
      </w:r>
      <w:r w:rsidRPr="00497489">
        <w:rPr>
          <w:sz w:val="20"/>
          <w:szCs w:val="20"/>
        </w:rPr>
        <w:t>may</w:t>
      </w:r>
      <w:r w:rsidRPr="00497489">
        <w:rPr>
          <w:spacing w:val="-12"/>
          <w:sz w:val="20"/>
          <w:szCs w:val="20"/>
        </w:rPr>
        <w:t xml:space="preserve"> </w:t>
      </w:r>
      <w:r w:rsidRPr="00497489">
        <w:rPr>
          <w:sz w:val="20"/>
          <w:szCs w:val="20"/>
        </w:rPr>
        <w:t>request</w:t>
      </w:r>
      <w:r w:rsidRPr="00497489">
        <w:rPr>
          <w:spacing w:val="-11"/>
          <w:sz w:val="20"/>
          <w:szCs w:val="20"/>
        </w:rPr>
        <w:t xml:space="preserve"> </w:t>
      </w:r>
      <w:r w:rsidRPr="00497489">
        <w:rPr>
          <w:sz w:val="20"/>
          <w:szCs w:val="20"/>
        </w:rPr>
        <w:t>the</w:t>
      </w:r>
      <w:r w:rsidRPr="00497489">
        <w:rPr>
          <w:spacing w:val="-11"/>
          <w:sz w:val="20"/>
          <w:szCs w:val="20"/>
        </w:rPr>
        <w:t xml:space="preserve"> </w:t>
      </w:r>
      <w:r w:rsidRPr="00497489">
        <w:rPr>
          <w:sz w:val="20"/>
          <w:szCs w:val="20"/>
        </w:rPr>
        <w:t>national</w:t>
      </w:r>
      <w:r w:rsidRPr="00497489">
        <w:rPr>
          <w:spacing w:val="-12"/>
          <w:sz w:val="20"/>
          <w:szCs w:val="20"/>
        </w:rPr>
        <w:t xml:space="preserve"> </w:t>
      </w:r>
      <w:r w:rsidRPr="00497489">
        <w:rPr>
          <w:sz w:val="20"/>
          <w:szCs w:val="20"/>
        </w:rPr>
        <w:t>executive</w:t>
      </w:r>
      <w:r w:rsidRPr="00497489">
        <w:rPr>
          <w:spacing w:val="-8"/>
          <w:sz w:val="20"/>
          <w:szCs w:val="20"/>
        </w:rPr>
        <w:t xml:space="preserve"> </w:t>
      </w:r>
      <w:r w:rsidRPr="00497489">
        <w:rPr>
          <w:sz w:val="20"/>
          <w:szCs w:val="20"/>
        </w:rPr>
        <w:t>to</w:t>
      </w:r>
      <w:r w:rsidRPr="00497489">
        <w:rPr>
          <w:spacing w:val="-10"/>
          <w:sz w:val="20"/>
          <w:szCs w:val="20"/>
        </w:rPr>
        <w:t xml:space="preserve"> </w:t>
      </w:r>
      <w:r w:rsidRPr="00497489">
        <w:rPr>
          <w:sz w:val="20"/>
          <w:szCs w:val="20"/>
        </w:rPr>
        <w:t>intervene</w:t>
      </w:r>
      <w:r w:rsidRPr="00497489">
        <w:rPr>
          <w:spacing w:val="-8"/>
          <w:sz w:val="20"/>
          <w:szCs w:val="20"/>
        </w:rPr>
        <w:t xml:space="preserve"> </w:t>
      </w:r>
      <w:r w:rsidRPr="00497489">
        <w:rPr>
          <w:sz w:val="20"/>
          <w:szCs w:val="20"/>
        </w:rPr>
        <w:t>in</w:t>
      </w:r>
      <w:r w:rsidRPr="00497489">
        <w:rPr>
          <w:spacing w:val="-11"/>
          <w:sz w:val="20"/>
          <w:szCs w:val="20"/>
        </w:rPr>
        <w:t xml:space="preserve"> </w:t>
      </w:r>
      <w:r w:rsidRPr="00497489">
        <w:rPr>
          <w:sz w:val="20"/>
          <w:szCs w:val="20"/>
        </w:rPr>
        <w:t>terms</w:t>
      </w:r>
      <w:r w:rsidRPr="00497489">
        <w:rPr>
          <w:spacing w:val="-12"/>
          <w:sz w:val="20"/>
          <w:szCs w:val="20"/>
        </w:rPr>
        <w:t xml:space="preserve"> </w:t>
      </w:r>
      <w:r w:rsidRPr="00497489">
        <w:rPr>
          <w:sz w:val="20"/>
          <w:szCs w:val="20"/>
        </w:rPr>
        <w:t>of</w:t>
      </w:r>
      <w:r w:rsidRPr="00497489">
        <w:rPr>
          <w:spacing w:val="-9"/>
          <w:sz w:val="20"/>
          <w:szCs w:val="20"/>
        </w:rPr>
        <w:t xml:space="preserve"> </w:t>
      </w:r>
      <w:r w:rsidRPr="00497489">
        <w:rPr>
          <w:sz w:val="20"/>
          <w:szCs w:val="20"/>
        </w:rPr>
        <w:t>the provisions of section 100 of the</w:t>
      </w:r>
      <w:r w:rsidRPr="00497489">
        <w:rPr>
          <w:spacing w:val="-2"/>
          <w:sz w:val="20"/>
          <w:szCs w:val="20"/>
        </w:rPr>
        <w:t xml:space="preserve"> </w:t>
      </w:r>
      <w:r w:rsidRPr="00497489">
        <w:rPr>
          <w:sz w:val="20"/>
          <w:szCs w:val="20"/>
        </w:rPr>
        <w:t>Constitution.</w:t>
      </w:r>
    </w:p>
    <w:p w:rsidR="008659A2" w:rsidRPr="00497489" w:rsidRDefault="008659A2" w:rsidP="00497489">
      <w:pPr>
        <w:pStyle w:val="BodyText"/>
        <w:rPr>
          <w:sz w:val="20"/>
          <w:szCs w:val="20"/>
        </w:rPr>
      </w:pPr>
    </w:p>
    <w:p w:rsidR="008659A2" w:rsidRPr="00497489" w:rsidRDefault="002F61FA" w:rsidP="00497489">
      <w:pPr>
        <w:pStyle w:val="BodyText"/>
        <w:ind w:left="118" w:right="113"/>
        <w:jc w:val="both"/>
        <w:rPr>
          <w:sz w:val="20"/>
          <w:szCs w:val="20"/>
        </w:rPr>
      </w:pPr>
      <w:r w:rsidRPr="00497489">
        <w:rPr>
          <w:sz w:val="20"/>
          <w:szCs w:val="20"/>
        </w:rPr>
        <w:t>The national departments, as part of their actions in the implementation of section 100 of the Constitution, are imp</w:t>
      </w:r>
      <w:r w:rsidRPr="00497489">
        <w:rPr>
          <w:sz w:val="20"/>
          <w:szCs w:val="20"/>
        </w:rPr>
        <w:t xml:space="preserve">lementing various measures informed by the root causes to problems that led to the invocation of interventions in terms of section 100 of the Constitution. These measures are currently implemented by the national departments on concurrent functions in the </w:t>
      </w:r>
      <w:r w:rsidRPr="00497489">
        <w:rPr>
          <w:sz w:val="20"/>
          <w:szCs w:val="20"/>
        </w:rPr>
        <w:t>corresponding provincial departments. Each national department has a responsibility to determine what type of intervention to invoke after the current intervention in terms of section 100 of the Constitution.</w:t>
      </w:r>
    </w:p>
    <w:p w:rsidR="008659A2" w:rsidRPr="00497489" w:rsidRDefault="008659A2" w:rsidP="00497489">
      <w:pPr>
        <w:pStyle w:val="BodyText"/>
        <w:rPr>
          <w:sz w:val="20"/>
          <w:szCs w:val="20"/>
        </w:rPr>
      </w:pPr>
    </w:p>
    <w:p w:rsidR="008659A2" w:rsidRPr="00497489" w:rsidRDefault="002F61FA" w:rsidP="00497489">
      <w:pPr>
        <w:pStyle w:val="BodyText"/>
        <w:ind w:left="118" w:right="115"/>
        <w:jc w:val="both"/>
        <w:rPr>
          <w:sz w:val="20"/>
          <w:szCs w:val="20"/>
        </w:rPr>
      </w:pPr>
      <w:r w:rsidRPr="00497489">
        <w:rPr>
          <w:sz w:val="20"/>
          <w:szCs w:val="20"/>
        </w:rPr>
        <w:t>The IMTT will present a progress report on the</w:t>
      </w:r>
      <w:r w:rsidRPr="00497489">
        <w:rPr>
          <w:sz w:val="20"/>
          <w:szCs w:val="20"/>
        </w:rPr>
        <w:t xml:space="preserve"> matters that were outstanding from the briefing of the NCOP in September 2021. This includes the appointments of senior officials</w:t>
      </w:r>
      <w:r w:rsidRPr="00497489">
        <w:rPr>
          <w:spacing w:val="-10"/>
          <w:sz w:val="20"/>
          <w:szCs w:val="20"/>
        </w:rPr>
        <w:t xml:space="preserve"> </w:t>
      </w:r>
      <w:r w:rsidRPr="00497489">
        <w:rPr>
          <w:sz w:val="20"/>
          <w:szCs w:val="20"/>
        </w:rPr>
        <w:t>in</w:t>
      </w:r>
      <w:r w:rsidRPr="00497489">
        <w:rPr>
          <w:spacing w:val="-8"/>
          <w:sz w:val="20"/>
          <w:szCs w:val="20"/>
        </w:rPr>
        <w:t xml:space="preserve"> </w:t>
      </w:r>
      <w:r w:rsidRPr="00497489">
        <w:rPr>
          <w:sz w:val="20"/>
          <w:szCs w:val="20"/>
        </w:rPr>
        <w:t>the</w:t>
      </w:r>
      <w:r w:rsidRPr="00497489">
        <w:rPr>
          <w:spacing w:val="-11"/>
          <w:sz w:val="20"/>
          <w:szCs w:val="20"/>
        </w:rPr>
        <w:t xml:space="preserve"> </w:t>
      </w:r>
      <w:r w:rsidRPr="00497489">
        <w:rPr>
          <w:sz w:val="20"/>
          <w:szCs w:val="20"/>
        </w:rPr>
        <w:t>departments.</w:t>
      </w:r>
      <w:r w:rsidRPr="00497489">
        <w:rPr>
          <w:spacing w:val="-10"/>
          <w:sz w:val="20"/>
          <w:szCs w:val="20"/>
        </w:rPr>
        <w:t xml:space="preserve"> </w:t>
      </w:r>
      <w:r w:rsidRPr="00497489">
        <w:rPr>
          <w:sz w:val="20"/>
          <w:szCs w:val="20"/>
        </w:rPr>
        <w:t>The</w:t>
      </w:r>
      <w:r w:rsidRPr="00497489">
        <w:rPr>
          <w:spacing w:val="-7"/>
          <w:sz w:val="20"/>
          <w:szCs w:val="20"/>
        </w:rPr>
        <w:t xml:space="preserve"> </w:t>
      </w:r>
      <w:r w:rsidRPr="00497489">
        <w:rPr>
          <w:sz w:val="20"/>
          <w:szCs w:val="20"/>
        </w:rPr>
        <w:t>IMTT</w:t>
      </w:r>
      <w:r w:rsidRPr="00497489">
        <w:rPr>
          <w:spacing w:val="-8"/>
          <w:sz w:val="20"/>
          <w:szCs w:val="20"/>
        </w:rPr>
        <w:t xml:space="preserve"> </w:t>
      </w:r>
      <w:r w:rsidRPr="00497489">
        <w:rPr>
          <w:sz w:val="20"/>
          <w:szCs w:val="20"/>
        </w:rPr>
        <w:t>will</w:t>
      </w:r>
      <w:r w:rsidRPr="00497489">
        <w:rPr>
          <w:spacing w:val="-9"/>
          <w:sz w:val="20"/>
          <w:szCs w:val="20"/>
        </w:rPr>
        <w:t xml:space="preserve"> </w:t>
      </w:r>
      <w:r w:rsidRPr="00497489">
        <w:rPr>
          <w:sz w:val="20"/>
          <w:szCs w:val="20"/>
        </w:rPr>
        <w:t>outline</w:t>
      </w:r>
      <w:r w:rsidRPr="00497489">
        <w:rPr>
          <w:spacing w:val="-7"/>
          <w:sz w:val="20"/>
          <w:szCs w:val="20"/>
        </w:rPr>
        <w:t xml:space="preserve"> </w:t>
      </w:r>
      <w:r w:rsidRPr="00497489">
        <w:rPr>
          <w:sz w:val="20"/>
          <w:szCs w:val="20"/>
        </w:rPr>
        <w:t>lessons</w:t>
      </w:r>
      <w:r w:rsidRPr="00497489">
        <w:rPr>
          <w:spacing w:val="-9"/>
          <w:sz w:val="20"/>
          <w:szCs w:val="20"/>
        </w:rPr>
        <w:t xml:space="preserve"> </w:t>
      </w:r>
      <w:r w:rsidRPr="00497489">
        <w:rPr>
          <w:sz w:val="20"/>
          <w:szCs w:val="20"/>
        </w:rPr>
        <w:t>learned</w:t>
      </w:r>
      <w:r w:rsidRPr="00497489">
        <w:rPr>
          <w:spacing w:val="-10"/>
          <w:sz w:val="20"/>
          <w:szCs w:val="20"/>
        </w:rPr>
        <w:t xml:space="preserve"> </w:t>
      </w:r>
      <w:r w:rsidRPr="00497489">
        <w:rPr>
          <w:sz w:val="20"/>
          <w:szCs w:val="20"/>
        </w:rPr>
        <w:t>from</w:t>
      </w:r>
      <w:r w:rsidRPr="00497489">
        <w:rPr>
          <w:spacing w:val="-7"/>
          <w:sz w:val="20"/>
          <w:szCs w:val="20"/>
        </w:rPr>
        <w:t xml:space="preserve"> </w:t>
      </w:r>
      <w:r w:rsidRPr="00497489">
        <w:rPr>
          <w:sz w:val="20"/>
          <w:szCs w:val="20"/>
        </w:rPr>
        <w:t>this</w:t>
      </w:r>
      <w:r w:rsidRPr="00497489">
        <w:rPr>
          <w:spacing w:val="-10"/>
          <w:sz w:val="20"/>
          <w:szCs w:val="20"/>
        </w:rPr>
        <w:t xml:space="preserve"> </w:t>
      </w:r>
      <w:r w:rsidRPr="00497489">
        <w:rPr>
          <w:sz w:val="20"/>
          <w:szCs w:val="20"/>
        </w:rPr>
        <w:t>intervention as part of the</w:t>
      </w:r>
      <w:r w:rsidRPr="00497489">
        <w:rPr>
          <w:spacing w:val="-6"/>
          <w:sz w:val="20"/>
          <w:szCs w:val="20"/>
        </w:rPr>
        <w:t xml:space="preserve"> </w:t>
      </w:r>
      <w:r w:rsidRPr="00497489">
        <w:rPr>
          <w:sz w:val="20"/>
          <w:szCs w:val="20"/>
        </w:rPr>
        <w:t>presentation.</w:t>
      </w:r>
    </w:p>
    <w:p w:rsidR="008659A2" w:rsidRPr="00497489" w:rsidRDefault="008659A2" w:rsidP="00497489">
      <w:pPr>
        <w:pStyle w:val="BodyText"/>
        <w:rPr>
          <w:sz w:val="20"/>
          <w:szCs w:val="20"/>
        </w:rPr>
      </w:pPr>
    </w:p>
    <w:sectPr w:rsidR="008659A2" w:rsidRPr="00497489" w:rsidSect="008659A2">
      <w:footerReference w:type="default" r:id="rId6"/>
      <w:pgSz w:w="11910" w:h="16840"/>
      <w:pgMar w:top="1580" w:right="1320" w:bottom="1120" w:left="1180" w:header="0" w:footer="9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61FA" w:rsidRDefault="002F61FA" w:rsidP="008659A2">
      <w:r>
        <w:separator/>
      </w:r>
    </w:p>
  </w:endnote>
  <w:endnote w:type="continuationSeparator" w:id="0">
    <w:p w:rsidR="002F61FA" w:rsidRDefault="002F61FA" w:rsidP="008659A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9A2" w:rsidRDefault="008659A2">
    <w:pPr>
      <w:pStyle w:val="BodyText"/>
      <w:spacing w:line="14" w:lineRule="auto"/>
      <w:rPr>
        <w:sz w:val="20"/>
      </w:rPr>
    </w:pPr>
    <w:r w:rsidRPr="008659A2">
      <w:pict>
        <v:shapetype id="_x0000_t202" coordsize="21600,21600" o:spt="202" path="m,l,21600r21600,l21600,xe">
          <v:stroke joinstyle="miter"/>
          <v:path gradientshapeok="t" o:connecttype="rect"/>
        </v:shapetype>
        <v:shape id="_x0000_s1025" type="#_x0000_t202" style="position:absolute;margin-left:514.9pt;margin-top:780.9pt;width:11.6pt;height:13.05pt;z-index:-251658752;mso-position-horizontal-relative:page;mso-position-vertical-relative:page" filled="f" stroked="f">
          <v:textbox inset="0,0,0,0">
            <w:txbxContent>
              <w:p w:rsidR="008659A2" w:rsidRDefault="008659A2">
                <w:pPr>
                  <w:spacing w:line="245" w:lineRule="exact"/>
                  <w:ind w:left="60"/>
                  <w:rPr>
                    <w:rFonts w:ascii="Calibri"/>
                  </w:rPr>
                </w:pPr>
                <w:r>
                  <w:fldChar w:fldCharType="begin"/>
                </w:r>
                <w:r w:rsidR="002F61FA">
                  <w:rPr>
                    <w:rFonts w:ascii="Calibri"/>
                  </w:rPr>
                  <w:instrText xml:space="preserve"> PAGE </w:instrText>
                </w:r>
                <w:r>
                  <w:fldChar w:fldCharType="separate"/>
                </w:r>
                <w:r w:rsidR="00497489">
                  <w:rPr>
                    <w:rFonts w:ascii="Calibri"/>
                    <w:noProof/>
                  </w:rPr>
                  <w:t>1</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61FA" w:rsidRDefault="002F61FA" w:rsidP="008659A2">
      <w:r>
        <w:separator/>
      </w:r>
    </w:p>
  </w:footnote>
  <w:footnote w:type="continuationSeparator" w:id="0">
    <w:p w:rsidR="002F61FA" w:rsidRDefault="002F61FA" w:rsidP="008659A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ulTrailSpace/>
    <w:shapeLayoutLikeWW8/>
  </w:compat>
  <w:rsids>
    <w:rsidRoot w:val="008659A2"/>
    <w:rsid w:val="002F61FA"/>
    <w:rsid w:val="00497489"/>
    <w:rsid w:val="008659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659A2"/>
    <w:rPr>
      <w:rFonts w:ascii="Arial" w:eastAsia="Arial" w:hAnsi="Arial" w:cs="Arial"/>
      <w:lang w:bidi="en-US"/>
    </w:rPr>
  </w:style>
  <w:style w:type="paragraph" w:styleId="Heading1">
    <w:name w:val="heading 1"/>
    <w:basedOn w:val="Normal"/>
    <w:uiPriority w:val="1"/>
    <w:qFormat/>
    <w:rsid w:val="008659A2"/>
    <w:pPr>
      <w:ind w:left="118" w:hanging="7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8659A2"/>
    <w:rPr>
      <w:sz w:val="24"/>
      <w:szCs w:val="24"/>
    </w:rPr>
  </w:style>
  <w:style w:type="paragraph" w:styleId="ListParagraph">
    <w:name w:val="List Paragraph"/>
    <w:basedOn w:val="Normal"/>
    <w:uiPriority w:val="1"/>
    <w:qFormat/>
    <w:rsid w:val="008659A2"/>
  </w:style>
  <w:style w:type="paragraph" w:customStyle="1" w:styleId="TableParagraph">
    <w:name w:val="Table Paragraph"/>
    <w:basedOn w:val="Normal"/>
    <w:uiPriority w:val="1"/>
    <w:qFormat/>
    <w:rsid w:val="008659A2"/>
  </w:style>
  <w:style w:type="paragraph" w:styleId="BalloonText">
    <w:name w:val="Balloon Text"/>
    <w:basedOn w:val="Normal"/>
    <w:link w:val="BalloonTextChar"/>
    <w:uiPriority w:val="99"/>
    <w:semiHidden/>
    <w:unhideWhenUsed/>
    <w:rsid w:val="00497489"/>
    <w:rPr>
      <w:rFonts w:ascii="Tahoma" w:hAnsi="Tahoma" w:cs="Tahoma"/>
      <w:sz w:val="16"/>
      <w:szCs w:val="16"/>
    </w:rPr>
  </w:style>
  <w:style w:type="character" w:customStyle="1" w:styleId="BalloonTextChar">
    <w:name w:val="Balloon Text Char"/>
    <w:basedOn w:val="DefaultParagraphFont"/>
    <w:link w:val="BalloonText"/>
    <w:uiPriority w:val="99"/>
    <w:semiHidden/>
    <w:rsid w:val="00497489"/>
    <w:rPr>
      <w:rFonts w:ascii="Tahoma" w:eastAsia="Arial" w:hAnsi="Tahoma" w:cs="Tahoma"/>
      <w:sz w:val="16"/>
      <w:szCs w:val="16"/>
      <w:lang w:bidi="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390</Words>
  <Characters>2226</Characters>
  <Application>Microsoft Office Word</Application>
  <DocSecurity>0</DocSecurity>
  <Lines>18</Lines>
  <Paragraphs>5</Paragraphs>
  <ScaleCrop>false</ScaleCrop>
  <Company/>
  <LinksUpToDate>false</LinksUpToDate>
  <CharactersWithSpaces>2611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Malerata Macheli</dc:creator>
  <cp:lastModifiedBy>User</cp:lastModifiedBy>
  <cp:revision>2</cp:revision>
  <dcterms:created xsi:type="dcterms:W3CDTF">2022-01-26T18:14:00Z</dcterms:created>
  <dcterms:modified xsi:type="dcterms:W3CDTF">2022-01-27T08:38:00Z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2022-01-02T00:00:00Z</vt:filetime>
  </property>
  <property fmtid="{D5CDD505-2E9C-101B-9397-08002B2CF9AE}" pid="3" name="Creator">
    <vt:lpwstr>Microsoft® Word 2016</vt:lpwstr>
  </property>
  <property fmtid="{D5CDD505-2E9C-101B-9397-08002B2CF9AE}" pid="4" name="LastSaved">
    <vt:filetime>2022-01-26T00:00:00Z</vt:filetime>
  </property>
</Properties>
</file>