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8D" w:rsidRDefault="00363D4E">
      <w:pPr>
        <w:pStyle w:val="BodyText"/>
        <w:ind w:left="4353"/>
        <w:rPr>
          <w:rFonts w:ascii="Times New Roman"/>
          <w:sz w:val="20"/>
        </w:rPr>
      </w:pPr>
      <w:r>
        <w:rPr>
          <w:rFonts w:ascii="Times New Roman"/>
          <w:noProof/>
          <w:sz w:val="20"/>
          <w:lang w:val="en-ZA" w:eastAsia="en-ZA"/>
        </w:rPr>
        <w:drawing>
          <wp:inline distT="0" distB="0" distL="0" distR="0">
            <wp:extent cx="682664" cy="9601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2664" cy="960120"/>
                    </a:xfrm>
                    <a:prstGeom prst="rect">
                      <a:avLst/>
                    </a:prstGeom>
                  </pic:spPr>
                </pic:pic>
              </a:graphicData>
            </a:graphic>
          </wp:inline>
        </w:drawing>
      </w:r>
    </w:p>
    <w:p w:rsidR="00F9238D" w:rsidRDefault="00F9238D">
      <w:pPr>
        <w:pStyle w:val="BodyText"/>
        <w:spacing w:before="10"/>
        <w:rPr>
          <w:rFonts w:ascii="Times New Roman"/>
          <w:sz w:val="7"/>
        </w:rPr>
      </w:pPr>
    </w:p>
    <w:p w:rsidR="00F9238D" w:rsidRDefault="00363D4E">
      <w:pPr>
        <w:spacing w:before="101"/>
        <w:ind w:left="2892" w:right="3124"/>
        <w:jc w:val="center"/>
        <w:rPr>
          <w:b/>
          <w:sz w:val="19"/>
        </w:rPr>
      </w:pPr>
      <w:bookmarkStart w:id="0" w:name="Page_1"/>
      <w:bookmarkStart w:id="1" w:name="Page_4"/>
      <w:bookmarkEnd w:id="0"/>
      <w:bookmarkEnd w:id="1"/>
      <w:r>
        <w:rPr>
          <w:b/>
          <w:color w:val="005B29"/>
          <w:w w:val="105"/>
          <w:sz w:val="19"/>
        </w:rPr>
        <w:t>MINISTRY</w:t>
      </w:r>
    </w:p>
    <w:p w:rsidR="00F9238D" w:rsidRDefault="00363D4E">
      <w:pPr>
        <w:spacing w:before="18" w:line="256" w:lineRule="auto"/>
        <w:ind w:left="2892" w:right="3147"/>
        <w:jc w:val="center"/>
        <w:rPr>
          <w:b/>
          <w:sz w:val="19"/>
        </w:rPr>
      </w:pPr>
      <w:r>
        <w:rPr>
          <w:b/>
          <w:color w:val="005B29"/>
          <w:w w:val="105"/>
          <w:sz w:val="19"/>
        </w:rPr>
        <w:t>PUBLIC WORKS AND INFRASTRUCTURE REPUBLIC OF SOUTH AFRICA</w:t>
      </w:r>
    </w:p>
    <w:p w:rsidR="00F9238D" w:rsidRDefault="00F9238D">
      <w:pPr>
        <w:pStyle w:val="BodyText"/>
        <w:spacing w:before="7"/>
        <w:rPr>
          <w:b/>
          <w:sz w:val="19"/>
        </w:rPr>
      </w:pPr>
    </w:p>
    <w:p w:rsidR="00F9238D" w:rsidRDefault="00363D4E">
      <w:pPr>
        <w:ind w:left="127" w:right="316"/>
        <w:jc w:val="center"/>
        <w:rPr>
          <w:sz w:val="12"/>
        </w:rPr>
      </w:pPr>
      <w:r>
        <w:rPr>
          <w:sz w:val="12"/>
        </w:rPr>
        <w:t>Department of Public Works l Central Government Offices l 256 Madiba Street l Pretoria l Contact: +27 (0)12 406 2034 l +27 (0)12 406 1224</w:t>
      </w:r>
    </w:p>
    <w:p w:rsidR="00F9238D" w:rsidRDefault="00363D4E">
      <w:pPr>
        <w:spacing w:before="2"/>
        <w:ind w:left="127" w:right="1582"/>
        <w:jc w:val="center"/>
        <w:rPr>
          <w:sz w:val="12"/>
        </w:rPr>
      </w:pPr>
      <w:r>
        <w:rPr>
          <w:sz w:val="12"/>
        </w:rPr>
        <w:t>Private Bag X9155 l CAPE TOWN, 8001 l RSA 4th Floor Parliament Building l 120 Plain Street l CAPE TOWN l Tel: +27 21 468 6900 Fax: +27 21 462 4592</w:t>
      </w:r>
    </w:p>
    <w:p w:rsidR="00F9238D" w:rsidRDefault="00225DD8">
      <w:pPr>
        <w:spacing w:before="4"/>
        <w:ind w:left="2892" w:right="3081"/>
        <w:jc w:val="center"/>
        <w:rPr>
          <w:sz w:val="12"/>
        </w:rPr>
      </w:pPr>
      <w:hyperlink r:id="rId8">
        <w:r w:rsidR="00363D4E">
          <w:rPr>
            <w:sz w:val="12"/>
          </w:rPr>
          <w:t>www.publicworks.gov.za</w:t>
        </w:r>
      </w:hyperlink>
    </w:p>
    <w:p w:rsidR="00F9238D" w:rsidRDefault="00F9238D">
      <w:pPr>
        <w:pStyle w:val="BodyText"/>
        <w:rPr>
          <w:sz w:val="12"/>
        </w:rPr>
      </w:pPr>
    </w:p>
    <w:p w:rsidR="00F9238D" w:rsidRDefault="00F9238D">
      <w:pPr>
        <w:pStyle w:val="BodyText"/>
        <w:spacing w:before="9"/>
        <w:rPr>
          <w:sz w:val="12"/>
        </w:rPr>
      </w:pPr>
    </w:p>
    <w:p w:rsidR="00F9238D" w:rsidRDefault="00363D4E">
      <w:pPr>
        <w:spacing w:line="489" w:lineRule="auto"/>
        <w:ind w:left="3553" w:right="3788"/>
        <w:jc w:val="center"/>
        <w:rPr>
          <w:b/>
          <w:sz w:val="24"/>
        </w:rPr>
      </w:pPr>
      <w:r>
        <w:rPr>
          <w:b/>
          <w:sz w:val="24"/>
        </w:rPr>
        <w:t>NATIONAL ASSEMBLY WRITTEN REPLY</w:t>
      </w:r>
    </w:p>
    <w:p w:rsidR="00F9238D" w:rsidRDefault="00363D4E">
      <w:pPr>
        <w:tabs>
          <w:tab w:val="left" w:pos="6611"/>
        </w:tabs>
        <w:spacing w:line="254" w:lineRule="exact"/>
        <w:ind w:left="131"/>
        <w:rPr>
          <w:b/>
          <w:sz w:val="24"/>
        </w:rPr>
      </w:pPr>
      <w:r>
        <w:rPr>
          <w:b/>
          <w:sz w:val="24"/>
        </w:rPr>
        <w:t>QUESTIONNUMBER:</w:t>
      </w:r>
      <w:r>
        <w:rPr>
          <w:b/>
          <w:sz w:val="24"/>
        </w:rPr>
        <w:tab/>
        <w:t>2160[NW2725E]</w:t>
      </w:r>
    </w:p>
    <w:p w:rsidR="00F9238D" w:rsidRDefault="00363D4E">
      <w:pPr>
        <w:tabs>
          <w:tab w:val="right" w:pos="6880"/>
        </w:tabs>
        <w:spacing w:before="6"/>
        <w:ind w:left="131"/>
        <w:rPr>
          <w:b/>
          <w:sz w:val="24"/>
        </w:rPr>
      </w:pPr>
      <w:r>
        <w:rPr>
          <w:b/>
          <w:sz w:val="24"/>
        </w:rPr>
        <w:t>INTERNAL QUESTIONPAPERNO.:</w:t>
      </w:r>
      <w:r>
        <w:rPr>
          <w:b/>
          <w:sz w:val="24"/>
        </w:rPr>
        <w:tab/>
        <w:t>35</w:t>
      </w:r>
    </w:p>
    <w:p w:rsidR="00F9238D" w:rsidRDefault="00363D4E">
      <w:pPr>
        <w:tabs>
          <w:tab w:val="left" w:pos="6611"/>
          <w:tab w:val="left" w:pos="6967"/>
        </w:tabs>
        <w:spacing w:before="6" w:line="242" w:lineRule="auto"/>
        <w:ind w:left="131" w:right="954"/>
        <w:rPr>
          <w:b/>
          <w:sz w:val="24"/>
        </w:rPr>
      </w:pPr>
      <w:r>
        <w:rPr>
          <w:b/>
          <w:sz w:val="24"/>
        </w:rPr>
        <w:t>DATEOFPUBLICATION:</w:t>
      </w:r>
      <w:r>
        <w:rPr>
          <w:b/>
          <w:sz w:val="24"/>
        </w:rPr>
        <w:tab/>
        <w:t>04 SEPTEMBER 2020 DATEOFREPLY:</w:t>
      </w:r>
      <w:r>
        <w:rPr>
          <w:b/>
          <w:sz w:val="24"/>
        </w:rPr>
        <w:tab/>
      </w:r>
      <w:r w:rsidR="003C5329">
        <w:rPr>
          <w:b/>
          <w:sz w:val="24"/>
        </w:rPr>
        <w:t>26 NOVEMBER</w:t>
      </w:r>
      <w:r>
        <w:rPr>
          <w:b/>
          <w:spacing w:val="-4"/>
          <w:sz w:val="24"/>
        </w:rPr>
        <w:t>2020</w:t>
      </w:r>
    </w:p>
    <w:p w:rsidR="00F9238D" w:rsidRDefault="00F9238D">
      <w:pPr>
        <w:pStyle w:val="BodyText"/>
        <w:spacing w:before="3"/>
        <w:rPr>
          <w:b/>
          <w:sz w:val="25"/>
        </w:rPr>
      </w:pPr>
    </w:p>
    <w:p w:rsidR="00F9238D" w:rsidRDefault="00363D4E">
      <w:pPr>
        <w:ind w:left="131"/>
        <w:rPr>
          <w:b/>
          <w:sz w:val="24"/>
        </w:rPr>
      </w:pPr>
      <w:r>
        <w:rPr>
          <w:b/>
          <w:sz w:val="24"/>
        </w:rPr>
        <w:t>2160. Ms S J Graham (DA) asked the Minister of Public Works and Infrastructure:</w:t>
      </w:r>
    </w:p>
    <w:p w:rsidR="00F9238D" w:rsidRDefault="00F9238D">
      <w:pPr>
        <w:pStyle w:val="BodyText"/>
        <w:spacing w:before="1"/>
        <w:rPr>
          <w:b/>
          <w:sz w:val="27"/>
        </w:rPr>
      </w:pPr>
    </w:p>
    <w:p w:rsidR="00F9238D" w:rsidRDefault="00363D4E">
      <w:pPr>
        <w:pStyle w:val="ListParagraph"/>
        <w:numPr>
          <w:ilvl w:val="0"/>
          <w:numId w:val="3"/>
        </w:numPr>
        <w:tabs>
          <w:tab w:val="left" w:pos="839"/>
          <w:tab w:val="left" w:pos="840"/>
        </w:tabs>
        <w:spacing w:before="1" w:line="264" w:lineRule="auto"/>
        <w:ind w:right="217"/>
        <w:rPr>
          <w:sz w:val="24"/>
        </w:rPr>
      </w:pPr>
      <w:r>
        <w:rPr>
          <w:sz w:val="24"/>
        </w:rPr>
        <w:t>With reference to the imminent closure of the Independent Development Trust (IDT), what is the total number of (a) legal matters which are still ongoing relating to the IDT and (b) members who are still part of the IDTBoard;</w:t>
      </w:r>
    </w:p>
    <w:p w:rsidR="00F9238D" w:rsidRDefault="00F9238D">
      <w:pPr>
        <w:pStyle w:val="BodyText"/>
        <w:spacing w:before="9"/>
      </w:pPr>
    </w:p>
    <w:p w:rsidR="00F9238D" w:rsidRDefault="00363D4E">
      <w:pPr>
        <w:pStyle w:val="ListParagraph"/>
        <w:numPr>
          <w:ilvl w:val="0"/>
          <w:numId w:val="3"/>
        </w:numPr>
        <w:tabs>
          <w:tab w:val="left" w:pos="839"/>
          <w:tab w:val="left" w:pos="840"/>
        </w:tabs>
        <w:spacing w:line="264" w:lineRule="auto"/>
        <w:ind w:right="350"/>
        <w:rPr>
          <w:sz w:val="24"/>
        </w:rPr>
      </w:pPr>
      <w:r>
        <w:rPr>
          <w:sz w:val="24"/>
        </w:rPr>
        <w:t>whether an exit strategy document has been prepared; if not, on what basis is the closure being managed; if so, will she furnish Ms S J Graham with a copy of an exit strategy document;</w:t>
      </w:r>
    </w:p>
    <w:p w:rsidR="00F9238D" w:rsidRDefault="00F9238D">
      <w:pPr>
        <w:pStyle w:val="BodyText"/>
        <w:rPr>
          <w:sz w:val="25"/>
        </w:rPr>
      </w:pPr>
    </w:p>
    <w:p w:rsidR="00F9238D" w:rsidRDefault="00363D4E">
      <w:pPr>
        <w:pStyle w:val="ListParagraph"/>
        <w:numPr>
          <w:ilvl w:val="0"/>
          <w:numId w:val="3"/>
        </w:numPr>
        <w:tabs>
          <w:tab w:val="left" w:pos="839"/>
          <w:tab w:val="left" w:pos="840"/>
          <w:tab w:val="left" w:pos="8051"/>
        </w:tabs>
        <w:spacing w:line="244" w:lineRule="auto"/>
        <w:ind w:right="199"/>
        <w:rPr>
          <w:b/>
          <w:sz w:val="19"/>
        </w:rPr>
      </w:pPr>
      <w:r>
        <w:rPr>
          <w:sz w:val="24"/>
        </w:rPr>
        <w:t>what (a) is the total number of staff who are still employed by the IDT, (b) measures are being taken to reassign the staff within her department and (c) additional monies are being allocated to the IDT following the allocation of R84 million over four months?</w:t>
      </w:r>
      <w:r>
        <w:rPr>
          <w:sz w:val="24"/>
        </w:rPr>
        <w:tab/>
      </w:r>
      <w:r>
        <w:rPr>
          <w:b/>
          <w:sz w:val="19"/>
        </w:rPr>
        <w:t>NW2725E</w:t>
      </w:r>
    </w:p>
    <w:p w:rsidR="00F9238D" w:rsidRDefault="00225DD8">
      <w:pPr>
        <w:pStyle w:val="BodyText"/>
        <w:spacing w:before="3"/>
        <w:rPr>
          <w:b/>
          <w:sz w:val="18"/>
        </w:rPr>
      </w:pPr>
      <w:r w:rsidRPr="00225DD8">
        <w:pict>
          <v:shape id="_x0000_s1026" style="position:absolute;margin-left:76.6pt;margin-top:13pt;width:475.75pt;height:.1pt;z-index:-251658752;mso-wrap-distance-left:0;mso-wrap-distance-right:0;mso-position-horizontal-relative:page" coordorigin="1532,260" coordsize="9515,0" o:spt="100" adj="0,,0" path="m1532,260r534,m2068,260r534,m2605,260r667,m3275,260r801,m4078,260r535,m4615,260r668,m5285,260r801,m6089,260r534,m6625,260r668,m7295,260r801,m8099,260r534,m8635,260r668,m9305,260r802,m10109,260r534,m10645,260r401,e" filled="f" strokeweight=".37647mm">
            <v:stroke joinstyle="round"/>
            <v:formulas/>
            <v:path arrowok="t" o:connecttype="segments"/>
            <w10:wrap type="topAndBottom" anchorx="page"/>
          </v:shape>
        </w:pict>
      </w:r>
    </w:p>
    <w:p w:rsidR="00F9238D" w:rsidRDefault="00363D4E">
      <w:pPr>
        <w:spacing w:line="256" w:lineRule="exact"/>
        <w:ind w:left="131"/>
        <w:rPr>
          <w:b/>
          <w:sz w:val="24"/>
        </w:rPr>
      </w:pPr>
      <w:r>
        <w:rPr>
          <w:b/>
          <w:sz w:val="24"/>
          <w:u w:val="thick"/>
        </w:rPr>
        <w:t>REPLY</w:t>
      </w:r>
      <w:r>
        <w:rPr>
          <w:b/>
          <w:sz w:val="24"/>
        </w:rPr>
        <w:t>:</w:t>
      </w:r>
    </w:p>
    <w:p w:rsidR="00F9238D" w:rsidRDefault="00F9238D">
      <w:pPr>
        <w:pStyle w:val="BodyText"/>
        <w:rPr>
          <w:b/>
          <w:sz w:val="34"/>
        </w:rPr>
      </w:pPr>
    </w:p>
    <w:p w:rsidR="00F9238D" w:rsidRDefault="00363D4E">
      <w:pPr>
        <w:spacing w:before="1"/>
        <w:ind w:left="131"/>
        <w:rPr>
          <w:b/>
          <w:sz w:val="24"/>
        </w:rPr>
      </w:pPr>
      <w:r>
        <w:rPr>
          <w:b/>
          <w:sz w:val="24"/>
        </w:rPr>
        <w:t>The Minister of Public Works and Infrastructure:</w:t>
      </w:r>
    </w:p>
    <w:p w:rsidR="00F9238D" w:rsidRDefault="00F9238D">
      <w:pPr>
        <w:pStyle w:val="BodyText"/>
        <w:rPr>
          <w:b/>
          <w:sz w:val="26"/>
        </w:rPr>
      </w:pPr>
    </w:p>
    <w:p w:rsidR="00F9238D" w:rsidRDefault="00F9238D">
      <w:pPr>
        <w:pStyle w:val="BodyText"/>
        <w:spacing w:before="6"/>
        <w:rPr>
          <w:b/>
          <w:sz w:val="23"/>
        </w:rPr>
      </w:pPr>
    </w:p>
    <w:p w:rsidR="00F9238D" w:rsidRDefault="00363D4E">
      <w:pPr>
        <w:pStyle w:val="ListParagraph"/>
        <w:numPr>
          <w:ilvl w:val="0"/>
          <w:numId w:val="2"/>
        </w:numPr>
        <w:tabs>
          <w:tab w:val="left" w:pos="558"/>
          <w:tab w:val="left" w:pos="559"/>
          <w:tab w:val="left" w:pos="1126"/>
        </w:tabs>
        <w:spacing w:before="1" w:after="2" w:line="364" w:lineRule="auto"/>
        <w:ind w:right="545" w:hanging="995"/>
        <w:rPr>
          <w:sz w:val="24"/>
        </w:rPr>
      </w:pPr>
      <w:r>
        <w:rPr>
          <w:sz w:val="24"/>
        </w:rPr>
        <w:t>(a)</w:t>
      </w:r>
      <w:r>
        <w:rPr>
          <w:sz w:val="24"/>
        </w:rPr>
        <w:tab/>
        <w:t>The total number of legal matters which are still ongoing relating to the IDT are 86 broken down asfollows:</w:t>
      </w:r>
    </w:p>
    <w:tbl>
      <w:tblPr>
        <w:tblW w:w="0" w:type="auto"/>
        <w:tblInd w:w="1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186"/>
        <w:gridCol w:w="1683"/>
        <w:gridCol w:w="2599"/>
      </w:tblGrid>
      <w:tr w:rsidR="00F9238D">
        <w:trPr>
          <w:trHeight w:val="271"/>
        </w:trPr>
        <w:tc>
          <w:tcPr>
            <w:tcW w:w="4186" w:type="dxa"/>
            <w:tcBorders>
              <w:left w:val="single" w:sz="8" w:space="0" w:color="000000"/>
              <w:right w:val="single" w:sz="8" w:space="0" w:color="000000"/>
            </w:tcBorders>
          </w:tcPr>
          <w:p w:rsidR="00F9238D" w:rsidRDefault="00363D4E">
            <w:pPr>
              <w:pStyle w:val="TableParagraph"/>
              <w:spacing w:line="251" w:lineRule="exact"/>
              <w:rPr>
                <w:b/>
                <w:sz w:val="24"/>
              </w:rPr>
            </w:pPr>
            <w:r>
              <w:rPr>
                <w:b/>
                <w:sz w:val="24"/>
              </w:rPr>
              <w:t>Litigations</w:t>
            </w:r>
          </w:p>
        </w:tc>
        <w:tc>
          <w:tcPr>
            <w:tcW w:w="1683" w:type="dxa"/>
            <w:tcBorders>
              <w:left w:val="single" w:sz="8" w:space="0" w:color="000000"/>
              <w:right w:val="single" w:sz="8" w:space="0" w:color="000000"/>
            </w:tcBorders>
          </w:tcPr>
          <w:p w:rsidR="00F9238D" w:rsidRDefault="00363D4E">
            <w:pPr>
              <w:pStyle w:val="TableParagraph"/>
              <w:spacing w:line="251" w:lineRule="exact"/>
              <w:ind w:left="649"/>
              <w:rPr>
                <w:b/>
                <w:sz w:val="24"/>
              </w:rPr>
            </w:pPr>
            <w:r>
              <w:rPr>
                <w:b/>
                <w:sz w:val="24"/>
              </w:rPr>
              <w:t>No.</w:t>
            </w:r>
          </w:p>
        </w:tc>
        <w:tc>
          <w:tcPr>
            <w:tcW w:w="2599" w:type="dxa"/>
            <w:tcBorders>
              <w:left w:val="single" w:sz="8" w:space="0" w:color="000000"/>
              <w:right w:val="single" w:sz="8" w:space="0" w:color="000000"/>
            </w:tcBorders>
          </w:tcPr>
          <w:p w:rsidR="00F9238D" w:rsidRDefault="00363D4E">
            <w:pPr>
              <w:pStyle w:val="TableParagraph"/>
              <w:spacing w:line="251" w:lineRule="exact"/>
              <w:ind w:left="848"/>
              <w:rPr>
                <w:b/>
                <w:sz w:val="24"/>
              </w:rPr>
            </w:pPr>
            <w:r>
              <w:rPr>
                <w:b/>
                <w:sz w:val="24"/>
              </w:rPr>
              <w:t>Amount</w:t>
            </w:r>
          </w:p>
        </w:tc>
      </w:tr>
      <w:tr w:rsidR="00F9238D">
        <w:trPr>
          <w:trHeight w:val="273"/>
        </w:trPr>
        <w:tc>
          <w:tcPr>
            <w:tcW w:w="4186" w:type="dxa"/>
            <w:tcBorders>
              <w:left w:val="single" w:sz="8" w:space="0" w:color="000000"/>
              <w:right w:val="single" w:sz="8" w:space="0" w:color="000000"/>
            </w:tcBorders>
          </w:tcPr>
          <w:p w:rsidR="00F9238D" w:rsidRDefault="00363D4E">
            <w:pPr>
              <w:pStyle w:val="TableParagraph"/>
              <w:spacing w:line="253" w:lineRule="exact"/>
              <w:rPr>
                <w:sz w:val="24"/>
              </w:rPr>
            </w:pPr>
            <w:r>
              <w:rPr>
                <w:sz w:val="24"/>
              </w:rPr>
              <w:t>By the IDT</w:t>
            </w:r>
          </w:p>
        </w:tc>
        <w:tc>
          <w:tcPr>
            <w:tcW w:w="1683" w:type="dxa"/>
            <w:tcBorders>
              <w:left w:val="single" w:sz="8" w:space="0" w:color="000000"/>
              <w:right w:val="single" w:sz="8" w:space="0" w:color="000000"/>
            </w:tcBorders>
          </w:tcPr>
          <w:p w:rsidR="00F9238D" w:rsidRDefault="00363D4E">
            <w:pPr>
              <w:pStyle w:val="TableParagraph"/>
              <w:spacing w:line="253" w:lineRule="exact"/>
              <w:ind w:left="709"/>
              <w:rPr>
                <w:sz w:val="24"/>
              </w:rPr>
            </w:pPr>
            <w:r>
              <w:rPr>
                <w:sz w:val="24"/>
              </w:rPr>
              <w:t>16</w:t>
            </w:r>
          </w:p>
        </w:tc>
        <w:tc>
          <w:tcPr>
            <w:tcW w:w="2599" w:type="dxa"/>
            <w:tcBorders>
              <w:left w:val="single" w:sz="8" w:space="0" w:color="000000"/>
              <w:right w:val="single" w:sz="8" w:space="0" w:color="000000"/>
            </w:tcBorders>
          </w:tcPr>
          <w:p w:rsidR="00F9238D" w:rsidRDefault="00363D4E">
            <w:pPr>
              <w:pStyle w:val="TableParagraph"/>
              <w:spacing w:line="253" w:lineRule="exact"/>
              <w:ind w:left="0" w:right="79"/>
              <w:jc w:val="right"/>
              <w:rPr>
                <w:sz w:val="24"/>
              </w:rPr>
            </w:pPr>
            <w:r>
              <w:rPr>
                <w:sz w:val="24"/>
              </w:rPr>
              <w:t>R89,711,689.55</w:t>
            </w:r>
          </w:p>
        </w:tc>
      </w:tr>
      <w:tr w:rsidR="00F9238D">
        <w:trPr>
          <w:trHeight w:val="270"/>
        </w:trPr>
        <w:tc>
          <w:tcPr>
            <w:tcW w:w="4186" w:type="dxa"/>
            <w:tcBorders>
              <w:left w:val="single" w:sz="8" w:space="0" w:color="000000"/>
              <w:right w:val="single" w:sz="8" w:space="0" w:color="000000"/>
            </w:tcBorders>
          </w:tcPr>
          <w:p w:rsidR="00F9238D" w:rsidRDefault="00363D4E">
            <w:pPr>
              <w:pStyle w:val="TableParagraph"/>
              <w:spacing w:line="250" w:lineRule="exact"/>
              <w:rPr>
                <w:sz w:val="24"/>
              </w:rPr>
            </w:pPr>
            <w:r>
              <w:rPr>
                <w:sz w:val="24"/>
              </w:rPr>
              <w:t>Against the IDT</w:t>
            </w:r>
          </w:p>
        </w:tc>
        <w:tc>
          <w:tcPr>
            <w:tcW w:w="1683" w:type="dxa"/>
            <w:tcBorders>
              <w:left w:val="single" w:sz="8" w:space="0" w:color="000000"/>
              <w:right w:val="single" w:sz="8" w:space="0" w:color="000000"/>
            </w:tcBorders>
          </w:tcPr>
          <w:p w:rsidR="00F9238D" w:rsidRDefault="00363D4E">
            <w:pPr>
              <w:pStyle w:val="TableParagraph"/>
              <w:spacing w:line="250" w:lineRule="exact"/>
              <w:ind w:left="709"/>
              <w:rPr>
                <w:sz w:val="24"/>
              </w:rPr>
            </w:pPr>
            <w:r>
              <w:rPr>
                <w:sz w:val="24"/>
              </w:rPr>
              <w:t>45</w:t>
            </w:r>
          </w:p>
        </w:tc>
        <w:tc>
          <w:tcPr>
            <w:tcW w:w="2599" w:type="dxa"/>
            <w:tcBorders>
              <w:left w:val="single" w:sz="8" w:space="0" w:color="000000"/>
              <w:right w:val="single" w:sz="8" w:space="0" w:color="000000"/>
            </w:tcBorders>
          </w:tcPr>
          <w:p w:rsidR="00F9238D" w:rsidRDefault="00363D4E">
            <w:pPr>
              <w:pStyle w:val="TableParagraph"/>
              <w:spacing w:line="250" w:lineRule="exact"/>
              <w:ind w:left="0" w:right="76"/>
              <w:jc w:val="right"/>
              <w:rPr>
                <w:sz w:val="24"/>
              </w:rPr>
            </w:pPr>
            <w:r>
              <w:rPr>
                <w:sz w:val="24"/>
              </w:rPr>
              <w:t>R314,273,931.48</w:t>
            </w:r>
          </w:p>
        </w:tc>
      </w:tr>
      <w:tr w:rsidR="00F9238D">
        <w:trPr>
          <w:trHeight w:val="273"/>
        </w:trPr>
        <w:tc>
          <w:tcPr>
            <w:tcW w:w="4186" w:type="dxa"/>
            <w:tcBorders>
              <w:left w:val="single" w:sz="8" w:space="0" w:color="000000"/>
              <w:right w:val="single" w:sz="8" w:space="0" w:color="000000"/>
            </w:tcBorders>
          </w:tcPr>
          <w:p w:rsidR="00F9238D" w:rsidRDefault="00363D4E">
            <w:pPr>
              <w:pStyle w:val="TableParagraph"/>
              <w:spacing w:line="254" w:lineRule="exact"/>
              <w:rPr>
                <w:sz w:val="24"/>
              </w:rPr>
            </w:pPr>
            <w:r>
              <w:rPr>
                <w:sz w:val="24"/>
              </w:rPr>
              <w:t>Dormant*</w:t>
            </w:r>
          </w:p>
        </w:tc>
        <w:tc>
          <w:tcPr>
            <w:tcW w:w="1683" w:type="dxa"/>
            <w:tcBorders>
              <w:left w:val="single" w:sz="8" w:space="0" w:color="000000"/>
              <w:right w:val="single" w:sz="8" w:space="0" w:color="000000"/>
            </w:tcBorders>
          </w:tcPr>
          <w:p w:rsidR="00F9238D" w:rsidRDefault="00363D4E">
            <w:pPr>
              <w:pStyle w:val="TableParagraph"/>
              <w:spacing w:line="254" w:lineRule="exact"/>
              <w:ind w:left="709"/>
              <w:rPr>
                <w:sz w:val="24"/>
              </w:rPr>
            </w:pPr>
            <w:r>
              <w:rPr>
                <w:sz w:val="24"/>
              </w:rPr>
              <w:t>25</w:t>
            </w:r>
          </w:p>
        </w:tc>
        <w:tc>
          <w:tcPr>
            <w:tcW w:w="2599" w:type="dxa"/>
            <w:tcBorders>
              <w:left w:val="single" w:sz="8" w:space="0" w:color="000000"/>
              <w:right w:val="single" w:sz="8" w:space="0" w:color="000000"/>
            </w:tcBorders>
          </w:tcPr>
          <w:p w:rsidR="00F9238D" w:rsidRDefault="00363D4E">
            <w:pPr>
              <w:pStyle w:val="TableParagraph"/>
              <w:spacing w:line="254" w:lineRule="exact"/>
              <w:ind w:left="0" w:right="79"/>
              <w:jc w:val="right"/>
              <w:rPr>
                <w:sz w:val="24"/>
              </w:rPr>
            </w:pPr>
            <w:r>
              <w:rPr>
                <w:sz w:val="24"/>
              </w:rPr>
              <w:t>R22,592,395.04</w:t>
            </w:r>
          </w:p>
        </w:tc>
      </w:tr>
    </w:tbl>
    <w:p w:rsidR="00F9238D" w:rsidRDefault="00363D4E">
      <w:pPr>
        <w:spacing w:before="1" w:line="249" w:lineRule="auto"/>
        <w:ind w:left="1408" w:hanging="144"/>
        <w:rPr>
          <w:sz w:val="19"/>
        </w:rPr>
      </w:pPr>
      <w:r>
        <w:rPr>
          <w:w w:val="105"/>
          <w:sz w:val="24"/>
        </w:rPr>
        <w:t xml:space="preserve">* </w:t>
      </w:r>
      <w:r>
        <w:rPr>
          <w:w w:val="105"/>
          <w:sz w:val="19"/>
        </w:rPr>
        <w:t>Dormant cases are those that were registered long ago for which there has not been any movement by the litigants but have not necessary been withdrawn or struck off.</w:t>
      </w:r>
    </w:p>
    <w:p w:rsidR="00F9238D" w:rsidRDefault="00F9238D">
      <w:pPr>
        <w:spacing w:line="249" w:lineRule="auto"/>
        <w:rPr>
          <w:sz w:val="19"/>
        </w:rPr>
        <w:sectPr w:rsidR="00F9238D">
          <w:footerReference w:type="default" r:id="rId9"/>
          <w:type w:val="continuous"/>
          <w:pgSz w:w="12240" w:h="15840"/>
          <w:pgMar w:top="560" w:right="820" w:bottom="840" w:left="1400" w:header="720" w:footer="645" w:gutter="0"/>
          <w:pgNumType w:start="1"/>
          <w:cols w:space="720"/>
        </w:sectPr>
      </w:pPr>
    </w:p>
    <w:p w:rsidR="00F9238D" w:rsidRDefault="00363D4E">
      <w:pPr>
        <w:pStyle w:val="ListParagraph"/>
        <w:numPr>
          <w:ilvl w:val="1"/>
          <w:numId w:val="2"/>
        </w:numPr>
        <w:tabs>
          <w:tab w:val="left" w:pos="1549"/>
          <w:tab w:val="left" w:pos="1550"/>
        </w:tabs>
        <w:spacing w:before="71" w:line="307" w:lineRule="auto"/>
        <w:ind w:right="377"/>
        <w:rPr>
          <w:sz w:val="24"/>
        </w:rPr>
      </w:pPr>
      <w:bookmarkStart w:id="2" w:name="Page_5"/>
      <w:bookmarkEnd w:id="2"/>
      <w:r>
        <w:rPr>
          <w:sz w:val="24"/>
        </w:rPr>
        <w:lastRenderedPageBreak/>
        <w:t>The members who are still part of the IDT Board as confirmed by the Master of the High Court confirmedare:</w:t>
      </w:r>
    </w:p>
    <w:p w:rsidR="00F9238D" w:rsidRDefault="00363D4E">
      <w:pPr>
        <w:pStyle w:val="ListParagraph"/>
        <w:numPr>
          <w:ilvl w:val="2"/>
          <w:numId w:val="2"/>
        </w:numPr>
        <w:tabs>
          <w:tab w:val="left" w:pos="2335"/>
          <w:tab w:val="left" w:pos="2337"/>
        </w:tabs>
        <w:spacing w:line="275" w:lineRule="exact"/>
        <w:ind w:hanging="550"/>
        <w:jc w:val="left"/>
        <w:rPr>
          <w:sz w:val="24"/>
        </w:rPr>
      </w:pPr>
      <w:r>
        <w:rPr>
          <w:sz w:val="24"/>
        </w:rPr>
        <w:t>Dr LulamaZitha</w:t>
      </w:r>
    </w:p>
    <w:p w:rsidR="00F9238D" w:rsidRDefault="00363D4E">
      <w:pPr>
        <w:pStyle w:val="ListParagraph"/>
        <w:numPr>
          <w:ilvl w:val="2"/>
          <w:numId w:val="2"/>
        </w:numPr>
        <w:tabs>
          <w:tab w:val="left" w:pos="2267"/>
          <w:tab w:val="left" w:pos="2269"/>
        </w:tabs>
        <w:spacing w:before="74"/>
        <w:ind w:left="2268" w:hanging="536"/>
        <w:jc w:val="left"/>
        <w:rPr>
          <w:sz w:val="24"/>
        </w:rPr>
      </w:pPr>
      <w:r>
        <w:rPr>
          <w:sz w:val="24"/>
        </w:rPr>
        <w:t>Mr ZakheleZitha</w:t>
      </w:r>
    </w:p>
    <w:p w:rsidR="00F9238D" w:rsidRDefault="00363D4E">
      <w:pPr>
        <w:pStyle w:val="ListParagraph"/>
        <w:numPr>
          <w:ilvl w:val="2"/>
          <w:numId w:val="2"/>
        </w:numPr>
        <w:tabs>
          <w:tab w:val="left" w:pos="2267"/>
          <w:tab w:val="left" w:pos="2269"/>
        </w:tabs>
        <w:spacing w:before="76"/>
        <w:ind w:left="2268" w:hanging="588"/>
        <w:jc w:val="left"/>
        <w:rPr>
          <w:sz w:val="24"/>
        </w:rPr>
      </w:pPr>
      <w:r>
        <w:rPr>
          <w:sz w:val="24"/>
        </w:rPr>
        <w:t>MrSiyadumaBiniza</w:t>
      </w:r>
    </w:p>
    <w:p w:rsidR="00F9238D" w:rsidRDefault="00363D4E">
      <w:pPr>
        <w:pStyle w:val="ListParagraph"/>
        <w:numPr>
          <w:ilvl w:val="2"/>
          <w:numId w:val="2"/>
        </w:numPr>
        <w:tabs>
          <w:tab w:val="left" w:pos="2267"/>
          <w:tab w:val="left" w:pos="2269"/>
        </w:tabs>
        <w:spacing w:before="76"/>
        <w:ind w:left="2268" w:hanging="601"/>
        <w:jc w:val="left"/>
        <w:rPr>
          <w:sz w:val="24"/>
        </w:rPr>
      </w:pPr>
      <w:r>
        <w:rPr>
          <w:sz w:val="24"/>
        </w:rPr>
        <w:t>Ms PhelisaNkomo</w:t>
      </w:r>
    </w:p>
    <w:p w:rsidR="00F9238D" w:rsidRDefault="00363D4E">
      <w:pPr>
        <w:pStyle w:val="ListParagraph"/>
        <w:numPr>
          <w:ilvl w:val="2"/>
          <w:numId w:val="2"/>
        </w:numPr>
        <w:tabs>
          <w:tab w:val="left" w:pos="2267"/>
          <w:tab w:val="left" w:pos="2269"/>
        </w:tabs>
        <w:spacing w:before="74"/>
        <w:ind w:left="2268" w:hanging="550"/>
        <w:jc w:val="left"/>
        <w:rPr>
          <w:sz w:val="24"/>
        </w:rPr>
      </w:pPr>
      <w:r>
        <w:rPr>
          <w:sz w:val="24"/>
        </w:rPr>
        <w:t>Mr RashidPatel</w:t>
      </w:r>
    </w:p>
    <w:p w:rsidR="00F9238D" w:rsidRDefault="00363D4E">
      <w:pPr>
        <w:pStyle w:val="ListParagraph"/>
        <w:numPr>
          <w:ilvl w:val="2"/>
          <w:numId w:val="2"/>
        </w:numPr>
        <w:tabs>
          <w:tab w:val="left" w:pos="2267"/>
          <w:tab w:val="left" w:pos="2269"/>
        </w:tabs>
        <w:spacing w:before="76"/>
        <w:ind w:left="2268" w:hanging="601"/>
        <w:jc w:val="left"/>
        <w:rPr>
          <w:sz w:val="24"/>
        </w:rPr>
      </w:pPr>
      <w:r>
        <w:rPr>
          <w:sz w:val="24"/>
        </w:rPr>
        <w:t>DrGcwalisile CynthiaKabanyane-Zulu</w:t>
      </w:r>
    </w:p>
    <w:p w:rsidR="00F9238D" w:rsidRDefault="00F9238D">
      <w:pPr>
        <w:pStyle w:val="BodyText"/>
        <w:spacing w:before="2"/>
        <w:rPr>
          <w:sz w:val="37"/>
        </w:rPr>
      </w:pPr>
    </w:p>
    <w:p w:rsidR="00F9238D" w:rsidRDefault="00363D4E">
      <w:pPr>
        <w:pStyle w:val="ListParagraph"/>
        <w:numPr>
          <w:ilvl w:val="0"/>
          <w:numId w:val="2"/>
        </w:numPr>
        <w:tabs>
          <w:tab w:val="left" w:pos="839"/>
          <w:tab w:val="left" w:pos="840"/>
          <w:tab w:val="left" w:pos="1483"/>
          <w:tab w:val="left" w:pos="2180"/>
          <w:tab w:val="left" w:pos="2676"/>
          <w:tab w:val="left" w:pos="3583"/>
          <w:tab w:val="left" w:pos="4097"/>
          <w:tab w:val="left" w:pos="4861"/>
          <w:tab w:val="left" w:pos="6543"/>
          <w:tab w:val="left" w:pos="7957"/>
          <w:tab w:val="left" w:pos="8669"/>
        </w:tabs>
        <w:spacing w:line="307" w:lineRule="auto"/>
        <w:ind w:left="839" w:right="273" w:hanging="709"/>
        <w:rPr>
          <w:sz w:val="24"/>
        </w:rPr>
      </w:pPr>
      <w:r>
        <w:rPr>
          <w:sz w:val="24"/>
        </w:rPr>
        <w:t>Yes, an IDT Exit Strategy Implementation Plan (IESIP) has been developed, but is not yet finalised pending the conclusion of all IDT client and stakeholder consultations on the future of the IDT. The IESIP gives an account of the portfolio of the</w:t>
      </w:r>
      <w:r>
        <w:rPr>
          <w:sz w:val="24"/>
        </w:rPr>
        <w:tab/>
        <w:t>IDT</w:t>
      </w:r>
      <w:r>
        <w:rPr>
          <w:sz w:val="24"/>
        </w:rPr>
        <w:tab/>
        <w:t>in</w:t>
      </w:r>
      <w:r>
        <w:rPr>
          <w:sz w:val="24"/>
        </w:rPr>
        <w:tab/>
        <w:t>terms</w:t>
      </w:r>
      <w:r>
        <w:rPr>
          <w:sz w:val="24"/>
        </w:rPr>
        <w:tab/>
        <w:t>of</w:t>
      </w:r>
      <w:r>
        <w:rPr>
          <w:sz w:val="24"/>
        </w:rPr>
        <w:tab/>
        <w:t>staff</w:t>
      </w:r>
      <w:r>
        <w:rPr>
          <w:sz w:val="24"/>
        </w:rPr>
        <w:tab/>
        <w:t>complement,</w:t>
      </w:r>
      <w:r>
        <w:rPr>
          <w:sz w:val="24"/>
        </w:rPr>
        <w:tab/>
        <w:t>committed</w:t>
      </w:r>
      <w:r>
        <w:rPr>
          <w:sz w:val="24"/>
        </w:rPr>
        <w:tab/>
        <w:t>and</w:t>
      </w:r>
      <w:r>
        <w:rPr>
          <w:sz w:val="24"/>
        </w:rPr>
        <w:tab/>
        <w:t>projected projects/programmes, assets and liabilities, litigations, and projectedrevenue.</w:t>
      </w:r>
    </w:p>
    <w:p w:rsidR="00F9238D" w:rsidRDefault="00F9238D">
      <w:pPr>
        <w:pStyle w:val="BodyText"/>
        <w:spacing w:before="1"/>
        <w:rPr>
          <w:sz w:val="30"/>
        </w:rPr>
      </w:pPr>
    </w:p>
    <w:p w:rsidR="00F9238D" w:rsidRDefault="00363D4E">
      <w:pPr>
        <w:pStyle w:val="BodyText"/>
        <w:spacing w:line="304" w:lineRule="auto"/>
        <w:ind w:left="839" w:right="194"/>
      </w:pPr>
      <w:r>
        <w:t>The assessment depicts a bleak picture on the going concern status of the entity given its poor state of finance and weak balance sheet, where challenges have been mainly attributed to the gradual decrease in the IDT’s project portfolio due to a lack of client confidence, declining revenue that cannot cover its operational costs and corporate governance collapse, resulting in continued reliance on Government for funding.</w:t>
      </w:r>
    </w:p>
    <w:p w:rsidR="00F9238D" w:rsidRDefault="00F9238D">
      <w:pPr>
        <w:pStyle w:val="BodyText"/>
        <w:spacing w:before="4"/>
        <w:rPr>
          <w:sz w:val="37"/>
        </w:rPr>
      </w:pPr>
    </w:p>
    <w:p w:rsidR="00F9238D" w:rsidRDefault="00363D4E">
      <w:pPr>
        <w:pStyle w:val="ListParagraph"/>
        <w:numPr>
          <w:ilvl w:val="0"/>
          <w:numId w:val="1"/>
        </w:numPr>
        <w:tabs>
          <w:tab w:val="left" w:pos="839"/>
          <w:tab w:val="left" w:pos="840"/>
          <w:tab w:val="left" w:pos="1549"/>
        </w:tabs>
        <w:rPr>
          <w:sz w:val="24"/>
        </w:rPr>
      </w:pPr>
      <w:r>
        <w:rPr>
          <w:sz w:val="24"/>
        </w:rPr>
        <w:t>(a)</w:t>
      </w:r>
      <w:r>
        <w:rPr>
          <w:sz w:val="24"/>
        </w:rPr>
        <w:tab/>
        <w:t xml:space="preserve">The IDT has </w:t>
      </w:r>
      <w:r>
        <w:rPr>
          <w:b/>
          <w:sz w:val="24"/>
        </w:rPr>
        <w:t xml:space="preserve">220 </w:t>
      </w:r>
      <w:r>
        <w:rPr>
          <w:sz w:val="24"/>
        </w:rPr>
        <w:t>employees broken down asfollows:</w:t>
      </w:r>
    </w:p>
    <w:p w:rsidR="00F9238D" w:rsidRDefault="00F9238D">
      <w:pPr>
        <w:pStyle w:val="BodyText"/>
        <w:spacing w:before="8"/>
        <w:rPr>
          <w:sz w:val="12"/>
        </w:rPr>
      </w:pPr>
    </w:p>
    <w:tbl>
      <w:tblPr>
        <w:tblW w:w="0" w:type="auto"/>
        <w:tblInd w:w="1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191"/>
        <w:gridCol w:w="1394"/>
        <w:gridCol w:w="1599"/>
        <w:gridCol w:w="1699"/>
      </w:tblGrid>
      <w:tr w:rsidR="00F9238D">
        <w:trPr>
          <w:trHeight w:val="295"/>
        </w:trPr>
        <w:tc>
          <w:tcPr>
            <w:tcW w:w="3191" w:type="dxa"/>
            <w:tcBorders>
              <w:left w:val="single" w:sz="8" w:space="0" w:color="000000"/>
              <w:right w:val="single" w:sz="8" w:space="0" w:color="000000"/>
            </w:tcBorders>
          </w:tcPr>
          <w:p w:rsidR="00F9238D" w:rsidRDefault="00363D4E">
            <w:pPr>
              <w:pStyle w:val="TableParagraph"/>
              <w:spacing w:line="273" w:lineRule="exact"/>
              <w:rPr>
                <w:b/>
                <w:sz w:val="24"/>
              </w:rPr>
            </w:pPr>
            <w:r>
              <w:rPr>
                <w:b/>
                <w:sz w:val="24"/>
              </w:rPr>
              <w:t>Staff</w:t>
            </w:r>
          </w:p>
        </w:tc>
        <w:tc>
          <w:tcPr>
            <w:tcW w:w="2993" w:type="dxa"/>
            <w:gridSpan w:val="2"/>
            <w:tcBorders>
              <w:left w:val="single" w:sz="8" w:space="0" w:color="000000"/>
              <w:right w:val="single" w:sz="8" w:space="0" w:color="000000"/>
            </w:tcBorders>
          </w:tcPr>
          <w:p w:rsidR="00F9238D" w:rsidRDefault="00363D4E">
            <w:pPr>
              <w:pStyle w:val="TableParagraph"/>
              <w:spacing w:line="273" w:lineRule="exact"/>
              <w:rPr>
                <w:b/>
                <w:sz w:val="24"/>
              </w:rPr>
            </w:pPr>
            <w:r>
              <w:rPr>
                <w:b/>
                <w:sz w:val="24"/>
              </w:rPr>
              <w:t>Term</w:t>
            </w:r>
          </w:p>
        </w:tc>
        <w:tc>
          <w:tcPr>
            <w:tcW w:w="1699" w:type="dxa"/>
            <w:tcBorders>
              <w:left w:val="single" w:sz="8" w:space="0" w:color="000000"/>
              <w:right w:val="single" w:sz="8" w:space="0" w:color="000000"/>
            </w:tcBorders>
          </w:tcPr>
          <w:p w:rsidR="00F9238D" w:rsidRDefault="00363D4E">
            <w:pPr>
              <w:pStyle w:val="TableParagraph"/>
              <w:spacing w:line="273" w:lineRule="exact"/>
              <w:rPr>
                <w:b/>
                <w:sz w:val="24"/>
              </w:rPr>
            </w:pPr>
            <w:r>
              <w:rPr>
                <w:b/>
                <w:sz w:val="24"/>
              </w:rPr>
              <w:t>Total</w:t>
            </w:r>
          </w:p>
        </w:tc>
      </w:tr>
      <w:tr w:rsidR="00F9238D">
        <w:trPr>
          <w:trHeight w:val="552"/>
        </w:trPr>
        <w:tc>
          <w:tcPr>
            <w:tcW w:w="3191" w:type="dxa"/>
            <w:tcBorders>
              <w:left w:val="single" w:sz="8" w:space="0" w:color="000000"/>
              <w:right w:val="single" w:sz="8" w:space="0" w:color="000000"/>
            </w:tcBorders>
          </w:tcPr>
          <w:p w:rsidR="00F9238D" w:rsidRDefault="00F9238D">
            <w:pPr>
              <w:pStyle w:val="TableParagraph"/>
              <w:spacing w:line="240" w:lineRule="auto"/>
              <w:ind w:left="0"/>
              <w:rPr>
                <w:rFonts w:ascii="Times New Roman"/>
              </w:rPr>
            </w:pPr>
          </w:p>
        </w:tc>
        <w:tc>
          <w:tcPr>
            <w:tcW w:w="1394" w:type="dxa"/>
            <w:tcBorders>
              <w:left w:val="single" w:sz="8" w:space="0" w:color="000000"/>
              <w:right w:val="single" w:sz="8" w:space="0" w:color="000000"/>
            </w:tcBorders>
          </w:tcPr>
          <w:p w:rsidR="00F9238D" w:rsidRDefault="00363D4E">
            <w:pPr>
              <w:pStyle w:val="TableParagraph"/>
              <w:rPr>
                <w:b/>
                <w:sz w:val="24"/>
              </w:rPr>
            </w:pPr>
            <w:r>
              <w:rPr>
                <w:b/>
                <w:sz w:val="24"/>
              </w:rPr>
              <w:t>Fixed</w:t>
            </w:r>
          </w:p>
          <w:p w:rsidR="00F9238D" w:rsidRDefault="00363D4E">
            <w:pPr>
              <w:pStyle w:val="TableParagraph"/>
              <w:spacing w:before="6" w:line="255" w:lineRule="exact"/>
              <w:rPr>
                <w:b/>
                <w:sz w:val="24"/>
              </w:rPr>
            </w:pPr>
            <w:r>
              <w:rPr>
                <w:b/>
                <w:sz w:val="24"/>
              </w:rPr>
              <w:t>Term</w:t>
            </w:r>
          </w:p>
        </w:tc>
        <w:tc>
          <w:tcPr>
            <w:tcW w:w="1599" w:type="dxa"/>
            <w:tcBorders>
              <w:left w:val="single" w:sz="8" w:space="0" w:color="000000"/>
              <w:right w:val="single" w:sz="8" w:space="0" w:color="000000"/>
            </w:tcBorders>
          </w:tcPr>
          <w:p w:rsidR="00F9238D" w:rsidRDefault="00363D4E">
            <w:pPr>
              <w:pStyle w:val="TableParagraph"/>
              <w:rPr>
                <w:b/>
                <w:sz w:val="24"/>
              </w:rPr>
            </w:pPr>
            <w:r>
              <w:rPr>
                <w:b/>
                <w:sz w:val="24"/>
              </w:rPr>
              <w:t>Permanent</w:t>
            </w:r>
          </w:p>
        </w:tc>
        <w:tc>
          <w:tcPr>
            <w:tcW w:w="1699" w:type="dxa"/>
            <w:tcBorders>
              <w:left w:val="single" w:sz="8" w:space="0" w:color="000000"/>
              <w:right w:val="single" w:sz="8" w:space="0" w:color="000000"/>
            </w:tcBorders>
          </w:tcPr>
          <w:p w:rsidR="00F9238D" w:rsidRDefault="00363D4E">
            <w:pPr>
              <w:pStyle w:val="TableParagraph"/>
              <w:rPr>
                <w:b/>
                <w:sz w:val="24"/>
              </w:rPr>
            </w:pPr>
            <w:r>
              <w:rPr>
                <w:b/>
                <w:sz w:val="24"/>
              </w:rPr>
              <w:t>220</w:t>
            </w:r>
          </w:p>
        </w:tc>
      </w:tr>
      <w:tr w:rsidR="00F9238D">
        <w:trPr>
          <w:trHeight w:val="298"/>
        </w:trPr>
        <w:tc>
          <w:tcPr>
            <w:tcW w:w="3191" w:type="dxa"/>
            <w:tcBorders>
              <w:left w:val="single" w:sz="8" w:space="0" w:color="000000"/>
              <w:right w:val="single" w:sz="8" w:space="0" w:color="000000"/>
            </w:tcBorders>
          </w:tcPr>
          <w:p w:rsidR="00F9238D" w:rsidRDefault="00363D4E">
            <w:pPr>
              <w:pStyle w:val="TableParagraph"/>
              <w:spacing w:line="275" w:lineRule="exact"/>
              <w:rPr>
                <w:sz w:val="24"/>
              </w:rPr>
            </w:pPr>
            <w:r>
              <w:rPr>
                <w:sz w:val="24"/>
              </w:rPr>
              <w:t>Core Technical and Social</w:t>
            </w:r>
          </w:p>
        </w:tc>
        <w:tc>
          <w:tcPr>
            <w:tcW w:w="1394" w:type="dxa"/>
            <w:tcBorders>
              <w:left w:val="single" w:sz="8" w:space="0" w:color="000000"/>
              <w:right w:val="single" w:sz="8" w:space="0" w:color="000000"/>
            </w:tcBorders>
          </w:tcPr>
          <w:p w:rsidR="00F9238D" w:rsidRDefault="00363D4E">
            <w:pPr>
              <w:pStyle w:val="TableParagraph"/>
              <w:spacing w:line="275" w:lineRule="exact"/>
              <w:rPr>
                <w:b/>
                <w:sz w:val="24"/>
              </w:rPr>
            </w:pPr>
            <w:r>
              <w:rPr>
                <w:b/>
                <w:sz w:val="24"/>
              </w:rPr>
              <w:t>56</w:t>
            </w:r>
          </w:p>
        </w:tc>
        <w:tc>
          <w:tcPr>
            <w:tcW w:w="1599" w:type="dxa"/>
            <w:tcBorders>
              <w:left w:val="single" w:sz="8" w:space="0" w:color="000000"/>
              <w:right w:val="single" w:sz="8" w:space="0" w:color="000000"/>
            </w:tcBorders>
          </w:tcPr>
          <w:p w:rsidR="00F9238D" w:rsidRDefault="00363D4E">
            <w:pPr>
              <w:pStyle w:val="TableParagraph"/>
              <w:spacing w:line="275" w:lineRule="exact"/>
              <w:rPr>
                <w:b/>
                <w:sz w:val="24"/>
              </w:rPr>
            </w:pPr>
            <w:r>
              <w:rPr>
                <w:b/>
                <w:sz w:val="24"/>
              </w:rPr>
              <w:t>40</w:t>
            </w:r>
          </w:p>
        </w:tc>
        <w:tc>
          <w:tcPr>
            <w:tcW w:w="1699" w:type="dxa"/>
            <w:tcBorders>
              <w:left w:val="single" w:sz="8" w:space="0" w:color="000000"/>
              <w:right w:val="single" w:sz="8" w:space="0" w:color="000000"/>
            </w:tcBorders>
          </w:tcPr>
          <w:p w:rsidR="00F9238D" w:rsidRDefault="00363D4E">
            <w:pPr>
              <w:pStyle w:val="TableParagraph"/>
              <w:spacing w:line="275" w:lineRule="exact"/>
              <w:rPr>
                <w:b/>
                <w:sz w:val="24"/>
              </w:rPr>
            </w:pPr>
            <w:r>
              <w:rPr>
                <w:b/>
                <w:sz w:val="24"/>
              </w:rPr>
              <w:t>96</w:t>
            </w:r>
          </w:p>
        </w:tc>
      </w:tr>
      <w:tr w:rsidR="00F9238D">
        <w:trPr>
          <w:trHeight w:val="295"/>
        </w:trPr>
        <w:tc>
          <w:tcPr>
            <w:tcW w:w="3191" w:type="dxa"/>
            <w:tcBorders>
              <w:left w:val="single" w:sz="8" w:space="0" w:color="000000"/>
              <w:right w:val="single" w:sz="8" w:space="0" w:color="000000"/>
            </w:tcBorders>
          </w:tcPr>
          <w:p w:rsidR="00F9238D" w:rsidRDefault="00363D4E">
            <w:pPr>
              <w:pStyle w:val="TableParagraph"/>
              <w:spacing w:line="273" w:lineRule="exact"/>
              <w:rPr>
                <w:sz w:val="24"/>
              </w:rPr>
            </w:pPr>
            <w:r>
              <w:rPr>
                <w:sz w:val="24"/>
              </w:rPr>
              <w:t>Non-core / Support</w:t>
            </w:r>
          </w:p>
        </w:tc>
        <w:tc>
          <w:tcPr>
            <w:tcW w:w="1394" w:type="dxa"/>
            <w:tcBorders>
              <w:left w:val="single" w:sz="8" w:space="0" w:color="000000"/>
              <w:right w:val="single" w:sz="8" w:space="0" w:color="000000"/>
            </w:tcBorders>
          </w:tcPr>
          <w:p w:rsidR="00F9238D" w:rsidRDefault="00363D4E">
            <w:pPr>
              <w:pStyle w:val="TableParagraph"/>
              <w:spacing w:line="273" w:lineRule="exact"/>
              <w:rPr>
                <w:b/>
                <w:sz w:val="24"/>
              </w:rPr>
            </w:pPr>
            <w:r>
              <w:rPr>
                <w:b/>
                <w:sz w:val="24"/>
              </w:rPr>
              <w:t>43</w:t>
            </w:r>
          </w:p>
        </w:tc>
        <w:tc>
          <w:tcPr>
            <w:tcW w:w="1599" w:type="dxa"/>
            <w:tcBorders>
              <w:left w:val="single" w:sz="8" w:space="0" w:color="000000"/>
              <w:right w:val="single" w:sz="8" w:space="0" w:color="000000"/>
            </w:tcBorders>
          </w:tcPr>
          <w:p w:rsidR="00F9238D" w:rsidRDefault="00363D4E">
            <w:pPr>
              <w:pStyle w:val="TableParagraph"/>
              <w:spacing w:line="273" w:lineRule="exact"/>
              <w:rPr>
                <w:b/>
                <w:sz w:val="24"/>
              </w:rPr>
            </w:pPr>
            <w:r>
              <w:rPr>
                <w:b/>
                <w:sz w:val="24"/>
              </w:rPr>
              <w:t>61</w:t>
            </w:r>
          </w:p>
        </w:tc>
        <w:tc>
          <w:tcPr>
            <w:tcW w:w="1699" w:type="dxa"/>
            <w:tcBorders>
              <w:left w:val="single" w:sz="8" w:space="0" w:color="000000"/>
              <w:right w:val="single" w:sz="8" w:space="0" w:color="000000"/>
            </w:tcBorders>
          </w:tcPr>
          <w:p w:rsidR="00F9238D" w:rsidRDefault="00363D4E">
            <w:pPr>
              <w:pStyle w:val="TableParagraph"/>
              <w:spacing w:line="273" w:lineRule="exact"/>
              <w:rPr>
                <w:b/>
                <w:sz w:val="24"/>
              </w:rPr>
            </w:pPr>
            <w:r>
              <w:rPr>
                <w:b/>
                <w:sz w:val="24"/>
              </w:rPr>
              <w:t>104</w:t>
            </w:r>
          </w:p>
        </w:tc>
      </w:tr>
      <w:tr w:rsidR="00F9238D">
        <w:trPr>
          <w:trHeight w:val="295"/>
        </w:trPr>
        <w:tc>
          <w:tcPr>
            <w:tcW w:w="3191" w:type="dxa"/>
            <w:tcBorders>
              <w:left w:val="single" w:sz="8" w:space="0" w:color="000000"/>
              <w:right w:val="single" w:sz="8" w:space="0" w:color="000000"/>
            </w:tcBorders>
          </w:tcPr>
          <w:p w:rsidR="00F9238D" w:rsidRDefault="00363D4E">
            <w:pPr>
              <w:pStyle w:val="TableParagraph"/>
              <w:rPr>
                <w:sz w:val="24"/>
              </w:rPr>
            </w:pPr>
            <w:r>
              <w:rPr>
                <w:sz w:val="24"/>
              </w:rPr>
              <w:t>Temp Support (finance)</w:t>
            </w:r>
          </w:p>
        </w:tc>
        <w:tc>
          <w:tcPr>
            <w:tcW w:w="1394" w:type="dxa"/>
            <w:tcBorders>
              <w:left w:val="single" w:sz="8" w:space="0" w:color="000000"/>
              <w:right w:val="single" w:sz="8" w:space="0" w:color="000000"/>
            </w:tcBorders>
          </w:tcPr>
          <w:p w:rsidR="00F9238D" w:rsidRDefault="00363D4E">
            <w:pPr>
              <w:pStyle w:val="TableParagraph"/>
              <w:rPr>
                <w:b/>
                <w:sz w:val="24"/>
              </w:rPr>
            </w:pPr>
            <w:r>
              <w:rPr>
                <w:b/>
                <w:sz w:val="24"/>
              </w:rPr>
              <w:t>10</w:t>
            </w:r>
          </w:p>
        </w:tc>
        <w:tc>
          <w:tcPr>
            <w:tcW w:w="1599" w:type="dxa"/>
            <w:tcBorders>
              <w:left w:val="single" w:sz="8" w:space="0" w:color="000000"/>
              <w:right w:val="single" w:sz="8" w:space="0" w:color="000000"/>
            </w:tcBorders>
          </w:tcPr>
          <w:p w:rsidR="00F9238D" w:rsidRDefault="00363D4E">
            <w:pPr>
              <w:pStyle w:val="TableParagraph"/>
              <w:rPr>
                <w:b/>
                <w:sz w:val="24"/>
              </w:rPr>
            </w:pPr>
            <w:r>
              <w:rPr>
                <w:b/>
                <w:sz w:val="24"/>
              </w:rPr>
              <w:t>0</w:t>
            </w:r>
          </w:p>
        </w:tc>
        <w:tc>
          <w:tcPr>
            <w:tcW w:w="1699" w:type="dxa"/>
            <w:tcBorders>
              <w:left w:val="single" w:sz="8" w:space="0" w:color="000000"/>
              <w:right w:val="single" w:sz="8" w:space="0" w:color="000000"/>
            </w:tcBorders>
          </w:tcPr>
          <w:p w:rsidR="00F9238D" w:rsidRDefault="00363D4E">
            <w:pPr>
              <w:pStyle w:val="TableParagraph"/>
              <w:rPr>
                <w:b/>
                <w:sz w:val="24"/>
              </w:rPr>
            </w:pPr>
            <w:r>
              <w:rPr>
                <w:b/>
                <w:sz w:val="24"/>
              </w:rPr>
              <w:t>10</w:t>
            </w:r>
          </w:p>
        </w:tc>
      </w:tr>
      <w:tr w:rsidR="00F9238D">
        <w:trPr>
          <w:trHeight w:val="560"/>
        </w:trPr>
        <w:tc>
          <w:tcPr>
            <w:tcW w:w="3191" w:type="dxa"/>
            <w:tcBorders>
              <w:left w:val="single" w:sz="8" w:space="0" w:color="000000"/>
              <w:bottom w:val="single" w:sz="8" w:space="0" w:color="000000"/>
              <w:right w:val="single" w:sz="8" w:space="0" w:color="000000"/>
            </w:tcBorders>
          </w:tcPr>
          <w:p w:rsidR="00F9238D" w:rsidRDefault="00363D4E">
            <w:pPr>
              <w:pStyle w:val="TableParagraph"/>
              <w:tabs>
                <w:tab w:val="left" w:pos="2231"/>
              </w:tabs>
              <w:spacing w:line="274" w:lineRule="exact"/>
              <w:rPr>
                <w:sz w:val="24"/>
              </w:rPr>
            </w:pPr>
            <w:r>
              <w:rPr>
                <w:sz w:val="24"/>
              </w:rPr>
              <w:t>Graduate</w:t>
            </w:r>
            <w:r>
              <w:rPr>
                <w:sz w:val="24"/>
              </w:rPr>
              <w:tab/>
              <w:t>trainees</w:t>
            </w:r>
          </w:p>
          <w:p w:rsidR="00F9238D" w:rsidRDefault="00363D4E">
            <w:pPr>
              <w:pStyle w:val="TableParagraph"/>
              <w:spacing w:before="4" w:line="262" w:lineRule="exact"/>
              <w:rPr>
                <w:sz w:val="24"/>
              </w:rPr>
            </w:pPr>
            <w:r>
              <w:rPr>
                <w:sz w:val="24"/>
              </w:rPr>
              <w:t>(technical)</w:t>
            </w:r>
          </w:p>
        </w:tc>
        <w:tc>
          <w:tcPr>
            <w:tcW w:w="1394" w:type="dxa"/>
            <w:tcBorders>
              <w:left w:val="single" w:sz="8" w:space="0" w:color="000000"/>
              <w:bottom w:val="single" w:sz="8" w:space="0" w:color="000000"/>
              <w:right w:val="single" w:sz="8" w:space="0" w:color="000000"/>
            </w:tcBorders>
          </w:tcPr>
          <w:p w:rsidR="00F9238D" w:rsidRDefault="00363D4E">
            <w:pPr>
              <w:pStyle w:val="TableParagraph"/>
              <w:spacing w:line="274" w:lineRule="exact"/>
              <w:rPr>
                <w:b/>
                <w:sz w:val="24"/>
              </w:rPr>
            </w:pPr>
            <w:r>
              <w:rPr>
                <w:b/>
                <w:sz w:val="24"/>
              </w:rPr>
              <w:t>10</w:t>
            </w:r>
          </w:p>
        </w:tc>
        <w:tc>
          <w:tcPr>
            <w:tcW w:w="1599" w:type="dxa"/>
            <w:tcBorders>
              <w:left w:val="single" w:sz="8" w:space="0" w:color="000000"/>
              <w:bottom w:val="single" w:sz="8" w:space="0" w:color="000000"/>
              <w:right w:val="single" w:sz="8" w:space="0" w:color="000000"/>
            </w:tcBorders>
          </w:tcPr>
          <w:p w:rsidR="00F9238D" w:rsidRDefault="00363D4E">
            <w:pPr>
              <w:pStyle w:val="TableParagraph"/>
              <w:spacing w:line="274" w:lineRule="exact"/>
              <w:rPr>
                <w:b/>
                <w:sz w:val="24"/>
              </w:rPr>
            </w:pPr>
            <w:r>
              <w:rPr>
                <w:b/>
                <w:sz w:val="24"/>
              </w:rPr>
              <w:t>0</w:t>
            </w:r>
          </w:p>
        </w:tc>
        <w:tc>
          <w:tcPr>
            <w:tcW w:w="1699" w:type="dxa"/>
            <w:tcBorders>
              <w:left w:val="single" w:sz="8" w:space="0" w:color="000000"/>
              <w:bottom w:val="single" w:sz="8" w:space="0" w:color="000000"/>
              <w:right w:val="single" w:sz="8" w:space="0" w:color="000000"/>
            </w:tcBorders>
          </w:tcPr>
          <w:p w:rsidR="00F9238D" w:rsidRDefault="00363D4E">
            <w:pPr>
              <w:pStyle w:val="TableParagraph"/>
              <w:spacing w:line="274" w:lineRule="exact"/>
              <w:rPr>
                <w:b/>
                <w:sz w:val="24"/>
              </w:rPr>
            </w:pPr>
            <w:r>
              <w:rPr>
                <w:b/>
                <w:sz w:val="24"/>
              </w:rPr>
              <w:t>10</w:t>
            </w:r>
          </w:p>
        </w:tc>
      </w:tr>
    </w:tbl>
    <w:p w:rsidR="00F9238D" w:rsidRDefault="00F9238D">
      <w:pPr>
        <w:pStyle w:val="BodyText"/>
        <w:spacing w:before="7"/>
        <w:rPr>
          <w:sz w:val="36"/>
        </w:rPr>
      </w:pPr>
    </w:p>
    <w:p w:rsidR="00F9238D" w:rsidRDefault="00363D4E">
      <w:pPr>
        <w:pStyle w:val="ListParagraph"/>
        <w:numPr>
          <w:ilvl w:val="1"/>
          <w:numId w:val="1"/>
        </w:numPr>
        <w:tabs>
          <w:tab w:val="left" w:pos="1549"/>
          <w:tab w:val="left" w:pos="1550"/>
        </w:tabs>
        <w:spacing w:line="367" w:lineRule="auto"/>
        <w:ind w:right="376"/>
        <w:rPr>
          <w:sz w:val="24"/>
        </w:rPr>
      </w:pPr>
      <w:r>
        <w:rPr>
          <w:sz w:val="24"/>
        </w:rPr>
        <w:t>Subject to the final decision on the future of the IDT, options on the potential transfer and/or retention of existing staff are currently being examined and will be done in compliance with the Public Service Act, the Labour Relations Act and other and associated</w:t>
      </w:r>
      <w:r w:rsidR="009E7870">
        <w:rPr>
          <w:sz w:val="24"/>
        </w:rPr>
        <w:t>legislation</w:t>
      </w:r>
      <w:r>
        <w:rPr>
          <w:sz w:val="24"/>
        </w:rPr>
        <w:t>.</w:t>
      </w:r>
    </w:p>
    <w:p w:rsidR="00F9238D" w:rsidRDefault="00F9238D">
      <w:pPr>
        <w:spacing w:line="367" w:lineRule="auto"/>
        <w:rPr>
          <w:sz w:val="24"/>
        </w:rPr>
        <w:sectPr w:rsidR="00F9238D">
          <w:pgSz w:w="12240" w:h="15840"/>
          <w:pgMar w:top="920" w:right="820" w:bottom="840" w:left="1400" w:header="0" w:footer="645" w:gutter="0"/>
          <w:cols w:space="720"/>
        </w:sectPr>
      </w:pPr>
    </w:p>
    <w:p w:rsidR="00F9238D" w:rsidRDefault="00363D4E">
      <w:pPr>
        <w:pStyle w:val="ListParagraph"/>
        <w:numPr>
          <w:ilvl w:val="1"/>
          <w:numId w:val="1"/>
        </w:numPr>
        <w:tabs>
          <w:tab w:val="left" w:pos="1550"/>
        </w:tabs>
        <w:spacing w:before="71" w:line="367" w:lineRule="auto"/>
        <w:ind w:right="290"/>
        <w:jc w:val="both"/>
        <w:rPr>
          <w:sz w:val="24"/>
        </w:rPr>
      </w:pPr>
      <w:bookmarkStart w:id="3" w:name="Page_6"/>
      <w:bookmarkEnd w:id="3"/>
      <w:r>
        <w:rPr>
          <w:sz w:val="24"/>
        </w:rPr>
        <w:lastRenderedPageBreak/>
        <w:t>The 84 million referred to was not allocated, but identified as the total operational requirement for four months based on a calculation that the IDT’s total operational expenses amounted to R21 million permonth.</w:t>
      </w:r>
    </w:p>
    <w:p w:rsidR="00F9238D" w:rsidRDefault="00F9238D">
      <w:pPr>
        <w:pStyle w:val="BodyText"/>
        <w:spacing w:before="7"/>
        <w:rPr>
          <w:sz w:val="36"/>
        </w:rPr>
      </w:pPr>
    </w:p>
    <w:p w:rsidR="00F9238D" w:rsidRDefault="00363D4E">
      <w:pPr>
        <w:pStyle w:val="BodyText"/>
        <w:spacing w:line="367" w:lineRule="auto"/>
        <w:ind w:left="1549" w:right="407"/>
        <w:jc w:val="both"/>
      </w:pPr>
      <w:r>
        <w:t>A total of R128 million has been confirmed and approved by National Treasury for reclassification in the Department’s baseline (following the identification of savings in certain</w:t>
      </w:r>
      <w:bookmarkStart w:id="4" w:name="_GoBack"/>
      <w:bookmarkEnd w:id="4"/>
      <w:r>
        <w:t xml:space="preserve"> economic classifications) and transfer to</w:t>
      </w:r>
    </w:p>
    <w:p w:rsidR="00F9238D" w:rsidRDefault="00363D4E">
      <w:pPr>
        <w:pStyle w:val="BodyText"/>
        <w:spacing w:line="367" w:lineRule="auto"/>
        <w:ind w:left="1549" w:right="113"/>
      </w:pPr>
      <w:r>
        <w:t>the IDT</w:t>
      </w:r>
      <w:r w:rsidR="00864E04">
        <w:t xml:space="preserve"> subject to</w:t>
      </w:r>
      <w:r w:rsidR="00864E04" w:rsidRPr="00864E04">
        <w:t xml:space="preserve"> section</w:t>
      </w:r>
      <w:r w:rsidR="00864E04">
        <w:t>s</w:t>
      </w:r>
      <w:r w:rsidR="00864E04" w:rsidRPr="00864E04">
        <w:t xml:space="preserve"> 38</w:t>
      </w:r>
      <w:r w:rsidR="00864E04">
        <w:t xml:space="preserve"> and 29</w:t>
      </w:r>
      <w:r w:rsidR="00864E04" w:rsidRPr="00864E04">
        <w:t xml:space="preserve"> of the Public Finance Management Act (PFMA)</w:t>
      </w:r>
      <w:r>
        <w:t>. Of this, a total of R72 million has already been transferred for 2020/21 where the balance of R56 committed for the remainder of the Financial Year, will be done in monthly tranches subject to the IDT submitting its operational shortfalls (on a monthly basis) and approval by the Accounting Officer.</w:t>
      </w:r>
    </w:p>
    <w:sectPr w:rsidR="00F9238D" w:rsidSect="00225DD8">
      <w:pgSz w:w="12240" w:h="15840"/>
      <w:pgMar w:top="500" w:right="820" w:bottom="840" w:left="1400" w:header="0" w:footer="6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F31" w:rsidRDefault="00520F31">
      <w:r>
        <w:separator/>
      </w:r>
    </w:p>
  </w:endnote>
  <w:endnote w:type="continuationSeparator" w:id="1">
    <w:p w:rsidR="00520F31" w:rsidRDefault="00520F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8D" w:rsidRDefault="00225DD8">
    <w:pPr>
      <w:pStyle w:val="BodyText"/>
      <w:spacing w:line="14" w:lineRule="auto"/>
      <w:rPr>
        <w:sz w:val="20"/>
      </w:rPr>
    </w:pPr>
    <w:r w:rsidRPr="00225DD8">
      <w:pict>
        <v:shape id="_x0000_s2051" style="position:absolute;margin-left:75.1pt;margin-top:745.75pt;width:479.35pt;height:4.6pt;z-index:-15838208;mso-position-horizontal-relative:page;mso-position-vertical-relative:page" coordorigin="1502,14915" coordsize="9587,92" o:spt="100" adj="0,,0" path="m11089,14992r-9587,l1502,15007r9587,l11089,14992xm11089,14915r-9587,l1502,14977r9587,l11089,14915xe" fillcolor="#612322" stroked="f">
          <v:stroke joinstyle="round"/>
          <v:formulas/>
          <v:path arrowok="t" o:connecttype="segments"/>
          <w10:wrap anchorx="page" anchory="page"/>
        </v:shape>
      </w:pict>
    </w:r>
    <w:r w:rsidRPr="00225DD8">
      <w:pict>
        <v:shapetype id="_x0000_t202" coordsize="21600,21600" o:spt="202" path="m,l,21600r21600,l21600,xe">
          <v:stroke joinstyle="miter"/>
          <v:path gradientshapeok="t" o:connecttype="rect"/>
        </v:shapetype>
        <v:shape id="_x0000_s2050" type="#_x0000_t202" style="position:absolute;margin-left:75.6pt;margin-top:749.55pt;width:338.1pt;height:12.1pt;z-index:-15837696;mso-position-horizontal-relative:page;mso-position-vertical-relative:page" filled="f" stroked="f">
          <v:textbox inset="0,0,0,0">
            <w:txbxContent>
              <w:p w:rsidR="00F9238D" w:rsidRDefault="00363D4E">
                <w:pPr>
                  <w:spacing w:before="14"/>
                  <w:ind w:left="20"/>
                  <w:rPr>
                    <w:b/>
                    <w:sz w:val="18"/>
                  </w:rPr>
                </w:pPr>
                <w:r>
                  <w:rPr>
                    <w:b/>
                    <w:sz w:val="18"/>
                  </w:rPr>
                  <w:t>NATIONAL ASSEMBLY QUESTION NO. 2160 (WRITTEN) – Ms S J Graham (DA)</w:t>
                </w:r>
              </w:p>
            </w:txbxContent>
          </v:textbox>
          <w10:wrap anchorx="page" anchory="page"/>
        </v:shape>
      </w:pict>
    </w:r>
    <w:r w:rsidRPr="00225DD8">
      <w:pict>
        <v:shape id="_x0000_s2049" type="#_x0000_t202" style="position:absolute;margin-left:519pt;margin-top:749.55pt;width:36.95pt;height:12.1pt;z-index:-15837184;mso-position-horizontal-relative:page;mso-position-vertical-relative:page" filled="f" stroked="f">
          <v:textbox inset="0,0,0,0">
            <w:txbxContent>
              <w:p w:rsidR="00F9238D" w:rsidRDefault="00363D4E">
                <w:pPr>
                  <w:spacing w:before="14"/>
                  <w:ind w:left="20"/>
                  <w:rPr>
                    <w:b/>
                    <w:sz w:val="18"/>
                  </w:rPr>
                </w:pPr>
                <w:r>
                  <w:rPr>
                    <w:b/>
                    <w:sz w:val="18"/>
                  </w:rPr>
                  <w:t xml:space="preserve">PAGE </w:t>
                </w:r>
                <w:r w:rsidR="00225DD8">
                  <w:fldChar w:fldCharType="begin"/>
                </w:r>
                <w:r>
                  <w:rPr>
                    <w:b/>
                    <w:sz w:val="18"/>
                  </w:rPr>
                  <w:instrText xml:space="preserve"> PAGE </w:instrText>
                </w:r>
                <w:r w:rsidR="00225DD8">
                  <w:fldChar w:fldCharType="separate"/>
                </w:r>
                <w:r w:rsidR="00A9760F">
                  <w:rPr>
                    <w:b/>
                    <w:noProof/>
                    <w:sz w:val="18"/>
                  </w:rPr>
                  <w:t>1</w:t>
                </w:r>
                <w:r w:rsidR="00225DD8">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F31" w:rsidRDefault="00520F31">
      <w:r>
        <w:separator/>
      </w:r>
    </w:p>
  </w:footnote>
  <w:footnote w:type="continuationSeparator" w:id="1">
    <w:p w:rsidR="00520F31" w:rsidRDefault="00520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3B74"/>
    <w:multiLevelType w:val="hybridMultilevel"/>
    <w:tmpl w:val="0CAEC4A0"/>
    <w:lvl w:ilvl="0" w:tplc="E83AAA3C">
      <w:start w:val="3"/>
      <w:numFmt w:val="decimal"/>
      <w:lvlText w:val="(%1)"/>
      <w:lvlJc w:val="left"/>
      <w:pPr>
        <w:ind w:left="839" w:hanging="709"/>
      </w:pPr>
      <w:rPr>
        <w:rFonts w:ascii="Arial" w:eastAsia="Arial" w:hAnsi="Arial" w:cs="Arial" w:hint="default"/>
        <w:w w:val="100"/>
        <w:sz w:val="24"/>
        <w:szCs w:val="24"/>
      </w:rPr>
    </w:lvl>
    <w:lvl w:ilvl="1" w:tplc="3378F9E2">
      <w:start w:val="2"/>
      <w:numFmt w:val="lowerLetter"/>
      <w:lvlText w:val="(%2)"/>
      <w:lvlJc w:val="left"/>
      <w:pPr>
        <w:ind w:left="1549" w:hanging="710"/>
      </w:pPr>
      <w:rPr>
        <w:rFonts w:ascii="Arial" w:eastAsia="Arial" w:hAnsi="Arial" w:cs="Arial" w:hint="default"/>
        <w:spacing w:val="-2"/>
        <w:w w:val="100"/>
        <w:sz w:val="24"/>
        <w:szCs w:val="24"/>
      </w:rPr>
    </w:lvl>
    <w:lvl w:ilvl="2" w:tplc="0234F932">
      <w:numFmt w:val="bullet"/>
      <w:lvlText w:val="•"/>
      <w:lvlJc w:val="left"/>
      <w:pPr>
        <w:ind w:left="2482" w:hanging="710"/>
      </w:pPr>
      <w:rPr>
        <w:rFonts w:hint="default"/>
      </w:rPr>
    </w:lvl>
    <w:lvl w:ilvl="3" w:tplc="AF62E98C">
      <w:numFmt w:val="bullet"/>
      <w:lvlText w:val="•"/>
      <w:lvlJc w:val="left"/>
      <w:pPr>
        <w:ind w:left="3424" w:hanging="710"/>
      </w:pPr>
      <w:rPr>
        <w:rFonts w:hint="default"/>
      </w:rPr>
    </w:lvl>
    <w:lvl w:ilvl="4" w:tplc="6290AB42">
      <w:numFmt w:val="bullet"/>
      <w:lvlText w:val="•"/>
      <w:lvlJc w:val="left"/>
      <w:pPr>
        <w:ind w:left="4366" w:hanging="710"/>
      </w:pPr>
      <w:rPr>
        <w:rFonts w:hint="default"/>
      </w:rPr>
    </w:lvl>
    <w:lvl w:ilvl="5" w:tplc="B8260728">
      <w:numFmt w:val="bullet"/>
      <w:lvlText w:val="•"/>
      <w:lvlJc w:val="left"/>
      <w:pPr>
        <w:ind w:left="5308" w:hanging="710"/>
      </w:pPr>
      <w:rPr>
        <w:rFonts w:hint="default"/>
      </w:rPr>
    </w:lvl>
    <w:lvl w:ilvl="6" w:tplc="FEA0DF34">
      <w:numFmt w:val="bullet"/>
      <w:lvlText w:val="•"/>
      <w:lvlJc w:val="left"/>
      <w:pPr>
        <w:ind w:left="6251" w:hanging="710"/>
      </w:pPr>
      <w:rPr>
        <w:rFonts w:hint="default"/>
      </w:rPr>
    </w:lvl>
    <w:lvl w:ilvl="7" w:tplc="7164888A">
      <w:numFmt w:val="bullet"/>
      <w:lvlText w:val="•"/>
      <w:lvlJc w:val="left"/>
      <w:pPr>
        <w:ind w:left="7193" w:hanging="710"/>
      </w:pPr>
      <w:rPr>
        <w:rFonts w:hint="default"/>
      </w:rPr>
    </w:lvl>
    <w:lvl w:ilvl="8" w:tplc="B442EA22">
      <w:numFmt w:val="bullet"/>
      <w:lvlText w:val="•"/>
      <w:lvlJc w:val="left"/>
      <w:pPr>
        <w:ind w:left="8135" w:hanging="710"/>
      </w:pPr>
      <w:rPr>
        <w:rFonts w:hint="default"/>
      </w:rPr>
    </w:lvl>
  </w:abstractNum>
  <w:abstractNum w:abstractNumId="1">
    <w:nsid w:val="325F2FC6"/>
    <w:multiLevelType w:val="hybridMultilevel"/>
    <w:tmpl w:val="D8E8C93A"/>
    <w:lvl w:ilvl="0" w:tplc="59AC807A">
      <w:start w:val="1"/>
      <w:numFmt w:val="decimal"/>
      <w:lvlText w:val="(%1)"/>
      <w:lvlJc w:val="left"/>
      <w:pPr>
        <w:ind w:left="839" w:hanging="720"/>
      </w:pPr>
      <w:rPr>
        <w:rFonts w:ascii="Arial" w:eastAsia="Arial" w:hAnsi="Arial" w:cs="Arial" w:hint="default"/>
        <w:w w:val="100"/>
        <w:sz w:val="24"/>
        <w:szCs w:val="24"/>
      </w:rPr>
    </w:lvl>
    <w:lvl w:ilvl="1" w:tplc="255EDED6">
      <w:numFmt w:val="bullet"/>
      <w:lvlText w:val="•"/>
      <w:lvlJc w:val="left"/>
      <w:pPr>
        <w:ind w:left="1758" w:hanging="720"/>
      </w:pPr>
      <w:rPr>
        <w:rFonts w:hint="default"/>
      </w:rPr>
    </w:lvl>
    <w:lvl w:ilvl="2" w:tplc="3C249AC6">
      <w:numFmt w:val="bullet"/>
      <w:lvlText w:val="•"/>
      <w:lvlJc w:val="left"/>
      <w:pPr>
        <w:ind w:left="2676" w:hanging="720"/>
      </w:pPr>
      <w:rPr>
        <w:rFonts w:hint="default"/>
      </w:rPr>
    </w:lvl>
    <w:lvl w:ilvl="3" w:tplc="4934D300">
      <w:numFmt w:val="bullet"/>
      <w:lvlText w:val="•"/>
      <w:lvlJc w:val="left"/>
      <w:pPr>
        <w:ind w:left="3594" w:hanging="720"/>
      </w:pPr>
      <w:rPr>
        <w:rFonts w:hint="default"/>
      </w:rPr>
    </w:lvl>
    <w:lvl w:ilvl="4" w:tplc="524CB760">
      <w:numFmt w:val="bullet"/>
      <w:lvlText w:val="•"/>
      <w:lvlJc w:val="left"/>
      <w:pPr>
        <w:ind w:left="4512" w:hanging="720"/>
      </w:pPr>
      <w:rPr>
        <w:rFonts w:hint="default"/>
      </w:rPr>
    </w:lvl>
    <w:lvl w:ilvl="5" w:tplc="5CDAB03A">
      <w:numFmt w:val="bullet"/>
      <w:lvlText w:val="•"/>
      <w:lvlJc w:val="left"/>
      <w:pPr>
        <w:ind w:left="5430" w:hanging="720"/>
      </w:pPr>
      <w:rPr>
        <w:rFonts w:hint="default"/>
      </w:rPr>
    </w:lvl>
    <w:lvl w:ilvl="6" w:tplc="1E5E5744">
      <w:numFmt w:val="bullet"/>
      <w:lvlText w:val="•"/>
      <w:lvlJc w:val="left"/>
      <w:pPr>
        <w:ind w:left="6348" w:hanging="720"/>
      </w:pPr>
      <w:rPr>
        <w:rFonts w:hint="default"/>
      </w:rPr>
    </w:lvl>
    <w:lvl w:ilvl="7" w:tplc="5AC6FB40">
      <w:numFmt w:val="bullet"/>
      <w:lvlText w:val="•"/>
      <w:lvlJc w:val="left"/>
      <w:pPr>
        <w:ind w:left="7266" w:hanging="720"/>
      </w:pPr>
      <w:rPr>
        <w:rFonts w:hint="default"/>
      </w:rPr>
    </w:lvl>
    <w:lvl w:ilvl="8" w:tplc="84FE8266">
      <w:numFmt w:val="bullet"/>
      <w:lvlText w:val="•"/>
      <w:lvlJc w:val="left"/>
      <w:pPr>
        <w:ind w:left="8184" w:hanging="720"/>
      </w:pPr>
      <w:rPr>
        <w:rFonts w:hint="default"/>
      </w:rPr>
    </w:lvl>
  </w:abstractNum>
  <w:abstractNum w:abstractNumId="2">
    <w:nsid w:val="55777AF2"/>
    <w:multiLevelType w:val="hybridMultilevel"/>
    <w:tmpl w:val="CA605E7E"/>
    <w:lvl w:ilvl="0" w:tplc="71262CFE">
      <w:start w:val="1"/>
      <w:numFmt w:val="decimal"/>
      <w:lvlText w:val="%1."/>
      <w:lvlJc w:val="left"/>
      <w:pPr>
        <w:ind w:left="1126" w:hanging="427"/>
      </w:pPr>
      <w:rPr>
        <w:rFonts w:ascii="Arial" w:eastAsia="Arial" w:hAnsi="Arial" w:cs="Arial" w:hint="default"/>
        <w:w w:val="100"/>
        <w:sz w:val="24"/>
        <w:szCs w:val="24"/>
      </w:rPr>
    </w:lvl>
    <w:lvl w:ilvl="1" w:tplc="57001C2A">
      <w:start w:val="2"/>
      <w:numFmt w:val="lowerLetter"/>
      <w:lvlText w:val="(%2)"/>
      <w:lvlJc w:val="left"/>
      <w:pPr>
        <w:ind w:left="1549" w:hanging="644"/>
      </w:pPr>
      <w:rPr>
        <w:rFonts w:ascii="Arial" w:eastAsia="Arial" w:hAnsi="Arial" w:cs="Arial" w:hint="default"/>
        <w:w w:val="100"/>
        <w:sz w:val="24"/>
        <w:szCs w:val="24"/>
      </w:rPr>
    </w:lvl>
    <w:lvl w:ilvl="2" w:tplc="E0E0A186">
      <w:start w:val="1"/>
      <w:numFmt w:val="lowerRoman"/>
      <w:lvlText w:val="%3."/>
      <w:lvlJc w:val="left"/>
      <w:pPr>
        <w:ind w:left="2336" w:hanging="549"/>
        <w:jc w:val="right"/>
      </w:pPr>
      <w:rPr>
        <w:rFonts w:ascii="Arial" w:eastAsia="Arial" w:hAnsi="Arial" w:cs="Arial" w:hint="default"/>
        <w:spacing w:val="-2"/>
        <w:w w:val="100"/>
        <w:sz w:val="24"/>
        <w:szCs w:val="24"/>
      </w:rPr>
    </w:lvl>
    <w:lvl w:ilvl="3" w:tplc="0390E2E8">
      <w:numFmt w:val="bullet"/>
      <w:lvlText w:val="•"/>
      <w:lvlJc w:val="left"/>
      <w:pPr>
        <w:ind w:left="2340" w:hanging="549"/>
      </w:pPr>
      <w:rPr>
        <w:rFonts w:hint="default"/>
      </w:rPr>
    </w:lvl>
    <w:lvl w:ilvl="4" w:tplc="621AE19C">
      <w:numFmt w:val="bullet"/>
      <w:lvlText w:val="•"/>
      <w:lvlJc w:val="left"/>
      <w:pPr>
        <w:ind w:left="3437" w:hanging="549"/>
      </w:pPr>
      <w:rPr>
        <w:rFonts w:hint="default"/>
      </w:rPr>
    </w:lvl>
    <w:lvl w:ilvl="5" w:tplc="A142E442">
      <w:numFmt w:val="bullet"/>
      <w:lvlText w:val="•"/>
      <w:lvlJc w:val="left"/>
      <w:pPr>
        <w:ind w:left="4534" w:hanging="549"/>
      </w:pPr>
      <w:rPr>
        <w:rFonts w:hint="default"/>
      </w:rPr>
    </w:lvl>
    <w:lvl w:ilvl="6" w:tplc="7A78C4AA">
      <w:numFmt w:val="bullet"/>
      <w:lvlText w:val="•"/>
      <w:lvlJc w:val="left"/>
      <w:pPr>
        <w:ind w:left="5631" w:hanging="549"/>
      </w:pPr>
      <w:rPr>
        <w:rFonts w:hint="default"/>
      </w:rPr>
    </w:lvl>
    <w:lvl w:ilvl="7" w:tplc="3B66029A">
      <w:numFmt w:val="bullet"/>
      <w:lvlText w:val="•"/>
      <w:lvlJc w:val="left"/>
      <w:pPr>
        <w:ind w:left="6728" w:hanging="549"/>
      </w:pPr>
      <w:rPr>
        <w:rFonts w:hint="default"/>
      </w:rPr>
    </w:lvl>
    <w:lvl w:ilvl="8" w:tplc="50CAC1B2">
      <w:numFmt w:val="bullet"/>
      <w:lvlText w:val="•"/>
      <w:lvlJc w:val="left"/>
      <w:pPr>
        <w:ind w:left="7825" w:hanging="549"/>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docVars>
    <w:docVar w:name="__Grammarly_42____i" w:val="H4sIAAAAAAAEAKtWckksSQxILCpxzi/NK1GyMqwFAAEhoTITAAAA"/>
    <w:docVar w:name="__Grammarly_42___1" w:val="H4sIAAAAAAAEAKtWcslP9kxRslIyNDYyNbAwNTSyNDWxsDA2NDZV0lEKTi0uzszPAykwqgUAlTdDnCwAAAA="/>
  </w:docVars>
  <w:rsids>
    <w:rsidRoot w:val="00F9238D"/>
    <w:rsid w:val="00225DD8"/>
    <w:rsid w:val="00363D4E"/>
    <w:rsid w:val="003C5329"/>
    <w:rsid w:val="00520F31"/>
    <w:rsid w:val="00864E04"/>
    <w:rsid w:val="009E7870"/>
    <w:rsid w:val="00A9760F"/>
    <w:rsid w:val="00F923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5DD8"/>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25DD8"/>
    <w:rPr>
      <w:sz w:val="24"/>
      <w:szCs w:val="24"/>
    </w:rPr>
  </w:style>
  <w:style w:type="paragraph" w:styleId="ListParagraph">
    <w:name w:val="List Paragraph"/>
    <w:basedOn w:val="Normal"/>
    <w:uiPriority w:val="1"/>
    <w:qFormat/>
    <w:rsid w:val="00225DD8"/>
    <w:pPr>
      <w:ind w:left="839" w:hanging="720"/>
    </w:pPr>
  </w:style>
  <w:style w:type="paragraph" w:customStyle="1" w:styleId="TableParagraph">
    <w:name w:val="Table Paragraph"/>
    <w:basedOn w:val="Normal"/>
    <w:uiPriority w:val="1"/>
    <w:qFormat/>
    <w:rsid w:val="00225DD8"/>
    <w:pPr>
      <w:spacing w:line="272" w:lineRule="exact"/>
      <w:ind w:left="107"/>
    </w:pPr>
  </w:style>
  <w:style w:type="paragraph" w:styleId="BalloonText">
    <w:name w:val="Balloon Text"/>
    <w:basedOn w:val="Normal"/>
    <w:link w:val="BalloonTextChar"/>
    <w:uiPriority w:val="99"/>
    <w:semiHidden/>
    <w:unhideWhenUsed/>
    <w:rsid w:val="009E7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70"/>
    <w:rPr>
      <w:rFonts w:ascii="Segoe UI" w:eastAsia="Arial"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2020-11-26T08:02:00Z</cp:lastPrinted>
  <dcterms:created xsi:type="dcterms:W3CDTF">2020-11-26T15:10:00Z</dcterms:created>
  <dcterms:modified xsi:type="dcterms:W3CDTF">2020-11-26T15:10:00Z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Draw</vt:lpwstr>
  </property>
  <property fmtid="{D5CDD505-2E9C-101B-9397-08002B2CF9AE}" pid="4" name="LastSaved">
    <vt:filetime>2020-11-23T00:00:00Z</vt:filetime>
  </property>
</Properties>
</file>