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9B01D5">
        <w:rPr>
          <w:rFonts w:ascii="Arial" w:hAnsi="Arial" w:cs="Arial"/>
          <w:b/>
          <w:bCs/>
          <w:sz w:val="20"/>
        </w:rPr>
        <w:t>2159</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3D12B3">
        <w:rPr>
          <w:sz w:val="20"/>
        </w:rPr>
        <w:t>4 August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9B01D5">
        <w:rPr>
          <w:rFonts w:ascii="Arial" w:hAnsi="Arial" w:cs="Arial"/>
          <w:sz w:val="20"/>
          <w:szCs w:val="20"/>
        </w:rPr>
        <w:t>2159</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B0743A">
        <w:rPr>
          <w:rFonts w:ascii="Tahoma" w:hAnsi="Tahoma" w:cs="Tahoma"/>
          <w:b/>
          <w:bCs/>
          <w:sz w:val="22"/>
          <w:szCs w:val="22"/>
          <w:lang w:val="en-ZA"/>
        </w:rPr>
        <w:t>2</w:t>
      </w:r>
      <w:r w:rsidR="009B01D5">
        <w:rPr>
          <w:rFonts w:ascii="Tahoma" w:hAnsi="Tahoma" w:cs="Tahoma"/>
          <w:b/>
          <w:bCs/>
          <w:sz w:val="22"/>
          <w:szCs w:val="22"/>
          <w:lang w:val="en-ZA"/>
        </w:rPr>
        <w:t>159</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3D12B3">
        <w:rPr>
          <w:rFonts w:ascii="Tahoma" w:hAnsi="Tahoma" w:cs="Tahoma"/>
          <w:b/>
          <w:bCs/>
          <w:sz w:val="22"/>
          <w:szCs w:val="22"/>
          <w:lang w:val="en-ZA"/>
        </w:rPr>
        <w:t>4 AUGUST 2017</w:t>
      </w:r>
    </w:p>
    <w:p w:rsidR="005C28EA" w:rsidRDefault="005C28EA">
      <w:pPr>
        <w:rPr>
          <w:rFonts w:ascii="Arial" w:hAnsi="Arial" w:cs="Arial"/>
          <w:bCs/>
          <w:sz w:val="22"/>
          <w:szCs w:val="22"/>
        </w:rPr>
      </w:pPr>
    </w:p>
    <w:p w:rsidR="009B01D5" w:rsidRPr="009B01D5" w:rsidRDefault="009B01D5" w:rsidP="009B01D5">
      <w:pPr>
        <w:spacing w:before="100" w:beforeAutospacing="1" w:after="100" w:afterAutospacing="1"/>
        <w:ind w:left="816" w:hanging="816"/>
        <w:rPr>
          <w:rFonts w:ascii="Arial" w:hAnsi="Arial" w:cs="Arial"/>
          <w:sz w:val="22"/>
          <w:szCs w:val="22"/>
        </w:rPr>
      </w:pPr>
      <w:r w:rsidRPr="009B01D5">
        <w:rPr>
          <w:rFonts w:ascii="Arial" w:hAnsi="Arial" w:cs="Arial"/>
          <w:sz w:val="22"/>
          <w:szCs w:val="22"/>
        </w:rPr>
        <w:t>2159.     Ms N W A Mazzone (DA) to ask the Minister of Public Enterprises:</w:t>
      </w:r>
    </w:p>
    <w:p w:rsidR="009B01D5" w:rsidRPr="009B01D5" w:rsidRDefault="009B01D5" w:rsidP="009B01D5">
      <w:pPr>
        <w:spacing w:before="100" w:beforeAutospacing="1" w:after="100" w:afterAutospacing="1"/>
        <w:ind w:left="1440" w:hanging="629"/>
        <w:jc w:val="both"/>
        <w:rPr>
          <w:rFonts w:ascii="Arial" w:hAnsi="Arial" w:cs="Arial"/>
          <w:sz w:val="22"/>
          <w:szCs w:val="22"/>
        </w:rPr>
      </w:pPr>
      <w:r w:rsidRPr="009B01D5">
        <w:rPr>
          <w:rFonts w:ascii="Arial" w:hAnsi="Arial" w:cs="Arial"/>
          <w:sz w:val="22"/>
          <w:szCs w:val="22"/>
        </w:rPr>
        <w:t>(1)      Whether an email was sent by Eskom in 2014, allegedly stipulating that foreign nationals that are drivers of heavy vehicles were not allowed to deliver fuel to Eskom’s Ankerlig site in Atlantis, Cape Town; if so, (a) why was the email sent and (b) did Eskom allegedly request that three drivers from a certain company (name furnished) be dismissed;</w:t>
      </w:r>
    </w:p>
    <w:p w:rsidR="009B01D5" w:rsidRDefault="009B01D5" w:rsidP="009B01D5">
      <w:pPr>
        <w:spacing w:before="100" w:beforeAutospacing="1" w:after="100" w:afterAutospacing="1"/>
        <w:ind w:left="1440" w:hanging="629"/>
        <w:jc w:val="both"/>
        <w:rPr>
          <w:rFonts w:ascii="Arial" w:hAnsi="Arial" w:cs="Arial"/>
          <w:sz w:val="22"/>
          <w:szCs w:val="22"/>
        </w:rPr>
      </w:pPr>
      <w:r w:rsidRPr="009B01D5">
        <w:rPr>
          <w:rFonts w:ascii="Arial" w:hAnsi="Arial" w:cs="Arial"/>
          <w:sz w:val="22"/>
          <w:szCs w:val="22"/>
        </w:rPr>
        <w:t xml:space="preserve">(2)      what are the full details of Eskom’s human resources policy on foreign national </w:t>
      </w:r>
      <w:r>
        <w:rPr>
          <w:rFonts w:ascii="Arial" w:hAnsi="Arial" w:cs="Arial"/>
          <w:sz w:val="22"/>
          <w:szCs w:val="22"/>
        </w:rPr>
        <w:t>workers?</w:t>
      </w:r>
    </w:p>
    <w:p w:rsidR="009B01D5" w:rsidRPr="009B01D5" w:rsidRDefault="009B01D5" w:rsidP="009B01D5">
      <w:pPr>
        <w:spacing w:before="100" w:beforeAutospacing="1" w:after="100" w:afterAutospacing="1"/>
        <w:ind w:left="2880" w:firstLine="720"/>
        <w:jc w:val="both"/>
        <w:rPr>
          <w:rFonts w:ascii="Arial" w:hAnsi="Arial" w:cs="Arial"/>
          <w:sz w:val="22"/>
          <w:szCs w:val="22"/>
        </w:rPr>
      </w:pPr>
      <w:r w:rsidRPr="009B01D5">
        <w:rPr>
          <w:rFonts w:ascii="Arial" w:hAnsi="Arial" w:cs="Arial"/>
          <w:sz w:val="22"/>
          <w:szCs w:val="22"/>
        </w:rPr>
        <w:t>NW2390E</w:t>
      </w:r>
    </w:p>
    <w:p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rsidR="005D1885" w:rsidRPr="009B01D5" w:rsidRDefault="009B01D5" w:rsidP="009B01D5">
      <w:pPr>
        <w:pStyle w:val="ListParagraph"/>
        <w:numPr>
          <w:ilvl w:val="0"/>
          <w:numId w:val="13"/>
        </w:numPr>
        <w:jc w:val="both"/>
        <w:rPr>
          <w:rFonts w:ascii="Arial" w:hAnsi="Arial" w:cs="Arial"/>
          <w:b/>
          <w:bCs/>
        </w:rPr>
      </w:pPr>
      <w:r>
        <w:rPr>
          <w:rFonts w:ascii="Arial" w:hAnsi="Arial" w:cs="Arial"/>
          <w:bCs/>
        </w:rPr>
        <w:t>Yes an email was sent by Eskom in 2014, stating that the requirement (sic) of not utilising drivers of foreign nationals is a requirement (sic) as Ankerlig is a NKP.</w:t>
      </w:r>
    </w:p>
    <w:p w:rsidR="009B01D5" w:rsidRDefault="009B01D5" w:rsidP="009B01D5">
      <w:pPr>
        <w:jc w:val="both"/>
        <w:rPr>
          <w:rFonts w:ascii="Arial" w:hAnsi="Arial" w:cs="Arial"/>
          <w:b/>
          <w:bCs/>
        </w:rPr>
      </w:pPr>
    </w:p>
    <w:p w:rsidR="009B01D5" w:rsidRDefault="009B01D5" w:rsidP="009B01D5">
      <w:pPr>
        <w:ind w:left="360"/>
        <w:jc w:val="both"/>
        <w:rPr>
          <w:rFonts w:ascii="Arial" w:hAnsi="Arial" w:cs="Arial"/>
          <w:bCs/>
        </w:rPr>
      </w:pPr>
      <w:r>
        <w:rPr>
          <w:rFonts w:ascii="Arial" w:hAnsi="Arial" w:cs="Arial"/>
          <w:bCs/>
        </w:rPr>
        <w:t xml:space="preserve">Eskom would like to add that subsequent emails clarified this position and indicated the below </w:t>
      </w:r>
      <w:r w:rsidR="00D1305F">
        <w:rPr>
          <w:rFonts w:ascii="Arial" w:hAnsi="Arial" w:cs="Arial"/>
          <w:bCs/>
        </w:rPr>
        <w:t>requirements:</w:t>
      </w:r>
      <w:r w:rsidR="00027854">
        <w:rPr>
          <w:rFonts w:ascii="Arial" w:hAnsi="Arial" w:cs="Arial"/>
          <w:bCs/>
        </w:rPr>
        <w:t xml:space="preserve"> I</w:t>
      </w:r>
      <w:r>
        <w:rPr>
          <w:rFonts w:ascii="Arial" w:hAnsi="Arial" w:cs="Arial"/>
          <w:bCs/>
        </w:rPr>
        <w:t>f the individuals is in the Country legally</w:t>
      </w:r>
      <w:r w:rsidR="00D1305F">
        <w:rPr>
          <w:rFonts w:ascii="Arial" w:hAnsi="Arial" w:cs="Arial"/>
          <w:bCs/>
        </w:rPr>
        <w:t>, has a Work Permit or is a Naturalised citizen and has a driver’s licence that is valid in South Africa, preferably one that has been issued by a South African Authority, he may deliver to Ankerlig.  We will require a copy of his Identity Document and d</w:t>
      </w:r>
      <w:r w:rsidR="00502666">
        <w:rPr>
          <w:rFonts w:ascii="Arial" w:hAnsi="Arial" w:cs="Arial"/>
          <w:bCs/>
        </w:rPr>
        <w:t>r</w:t>
      </w:r>
      <w:r w:rsidR="00D1305F">
        <w:rPr>
          <w:rFonts w:ascii="Arial" w:hAnsi="Arial" w:cs="Arial"/>
          <w:bCs/>
        </w:rPr>
        <w:t xml:space="preserve">iver Licence to </w:t>
      </w:r>
      <w:r w:rsidR="00502666">
        <w:rPr>
          <w:rFonts w:ascii="Arial" w:hAnsi="Arial" w:cs="Arial"/>
          <w:bCs/>
        </w:rPr>
        <w:t>submit to the authorities for clearance checks.  We will also require him to receive Ankerlig Safety Induction.</w:t>
      </w:r>
    </w:p>
    <w:p w:rsidR="00502666" w:rsidRDefault="00502666" w:rsidP="00502666">
      <w:pPr>
        <w:jc w:val="both"/>
        <w:rPr>
          <w:rFonts w:ascii="Arial" w:hAnsi="Arial" w:cs="Arial"/>
          <w:bCs/>
        </w:rPr>
      </w:pPr>
    </w:p>
    <w:p w:rsidR="00502666" w:rsidRDefault="00502666" w:rsidP="00502666">
      <w:pPr>
        <w:jc w:val="both"/>
        <w:rPr>
          <w:rFonts w:ascii="Arial" w:hAnsi="Arial" w:cs="Arial"/>
          <w:bCs/>
        </w:rPr>
      </w:pPr>
      <w:r>
        <w:rPr>
          <w:rFonts w:ascii="Arial" w:hAnsi="Arial" w:cs="Arial"/>
          <w:bCs/>
        </w:rPr>
        <w:t>(1)(a)</w:t>
      </w:r>
      <w:r>
        <w:rPr>
          <w:rFonts w:ascii="Arial" w:hAnsi="Arial" w:cs="Arial"/>
          <w:bCs/>
        </w:rPr>
        <w:tab/>
        <w:t xml:space="preserve">The email of April 2014 (and subsequent emails) was a response to </w:t>
      </w:r>
    </w:p>
    <w:p w:rsidR="00502666" w:rsidRDefault="00502666" w:rsidP="00502666">
      <w:pPr>
        <w:ind w:left="720"/>
        <w:jc w:val="both"/>
        <w:rPr>
          <w:rFonts w:ascii="Arial" w:hAnsi="Arial" w:cs="Arial"/>
          <w:bCs/>
        </w:rPr>
      </w:pPr>
      <w:r>
        <w:rPr>
          <w:rFonts w:ascii="Arial" w:hAnsi="Arial" w:cs="Arial"/>
          <w:bCs/>
        </w:rPr>
        <w:t>Grindrod’s email request for clarification on the matter of foreign nationals.  Grindrod and Eskom ha</w:t>
      </w:r>
      <w:r w:rsidR="00027854">
        <w:rPr>
          <w:rFonts w:ascii="Arial" w:hAnsi="Arial" w:cs="Arial"/>
          <w:bCs/>
        </w:rPr>
        <w:t>d</w:t>
      </w:r>
      <w:r>
        <w:rPr>
          <w:rFonts w:ascii="Arial" w:hAnsi="Arial" w:cs="Arial"/>
          <w:bCs/>
        </w:rPr>
        <w:t xml:space="preserve"> prior to the email exchange had a discussion / meeting on the matter.</w:t>
      </w:r>
    </w:p>
    <w:p w:rsidR="00502666" w:rsidRPr="009B01D5" w:rsidRDefault="00502666" w:rsidP="00502666">
      <w:pPr>
        <w:jc w:val="both"/>
        <w:rPr>
          <w:rFonts w:ascii="Arial" w:hAnsi="Arial" w:cs="Arial"/>
          <w:bCs/>
        </w:rPr>
      </w:pPr>
    </w:p>
    <w:p w:rsidR="005D1885" w:rsidRDefault="005D1885" w:rsidP="008960B2">
      <w:pPr>
        <w:contextualSpacing/>
        <w:jc w:val="both"/>
        <w:rPr>
          <w:rFonts w:ascii="Arial" w:hAnsi="Arial" w:cs="Arial"/>
          <w:b/>
          <w:bCs/>
          <w:lang w:val="en-ZA"/>
        </w:rPr>
      </w:pPr>
    </w:p>
    <w:p w:rsidR="00502666" w:rsidRDefault="00502666" w:rsidP="008960B2">
      <w:pPr>
        <w:contextualSpacing/>
        <w:jc w:val="both"/>
        <w:rPr>
          <w:rFonts w:ascii="Arial" w:hAnsi="Arial" w:cs="Arial"/>
          <w:bCs/>
          <w:lang w:val="en-ZA"/>
        </w:rPr>
      </w:pPr>
      <w:r>
        <w:rPr>
          <w:rFonts w:ascii="Arial" w:hAnsi="Arial" w:cs="Arial"/>
          <w:b/>
          <w:bCs/>
          <w:lang w:val="en-ZA"/>
        </w:rPr>
        <w:t>(1)(b)</w:t>
      </w:r>
      <w:r>
        <w:rPr>
          <w:rFonts w:ascii="Arial" w:hAnsi="Arial" w:cs="Arial"/>
          <w:b/>
          <w:bCs/>
          <w:lang w:val="en-ZA"/>
        </w:rPr>
        <w:tab/>
      </w:r>
      <w:r>
        <w:rPr>
          <w:rFonts w:ascii="Arial" w:hAnsi="Arial" w:cs="Arial"/>
          <w:bCs/>
          <w:lang w:val="en-ZA"/>
        </w:rPr>
        <w:t xml:space="preserve">Eskom did not at any point instruct nor imply in any way that the drivers </w:t>
      </w:r>
    </w:p>
    <w:p w:rsidR="00502666" w:rsidRDefault="00502666" w:rsidP="00502666">
      <w:pPr>
        <w:ind w:left="720"/>
        <w:contextualSpacing/>
        <w:jc w:val="both"/>
        <w:rPr>
          <w:rFonts w:ascii="Arial" w:hAnsi="Arial" w:cs="Arial"/>
          <w:bCs/>
          <w:lang w:val="en-ZA"/>
        </w:rPr>
      </w:pPr>
      <w:r>
        <w:rPr>
          <w:rFonts w:ascii="Arial" w:hAnsi="Arial" w:cs="Arial"/>
          <w:bCs/>
          <w:lang w:val="en-ZA"/>
        </w:rPr>
        <w:t>should be dismissed.  Eskom’s agreements with suppliers does not include how suppliers should manage / discipline their staff, this is the prerogative of the employer not Eskom.</w:t>
      </w:r>
    </w:p>
    <w:p w:rsidR="00502666" w:rsidRDefault="00502666" w:rsidP="00502666">
      <w:pPr>
        <w:contextualSpacing/>
        <w:jc w:val="both"/>
        <w:rPr>
          <w:rFonts w:ascii="Arial" w:hAnsi="Arial" w:cs="Arial"/>
          <w:bCs/>
          <w:lang w:val="en-ZA"/>
        </w:rPr>
      </w:pPr>
    </w:p>
    <w:p w:rsidR="00502666" w:rsidRPr="00502666" w:rsidRDefault="00502666" w:rsidP="00502666">
      <w:pPr>
        <w:pStyle w:val="ListParagraph"/>
        <w:numPr>
          <w:ilvl w:val="0"/>
          <w:numId w:val="13"/>
        </w:numPr>
        <w:jc w:val="both"/>
        <w:rPr>
          <w:rFonts w:ascii="Arial" w:hAnsi="Arial" w:cs="Arial"/>
          <w:b/>
          <w:bCs/>
        </w:rPr>
      </w:pPr>
      <w:r>
        <w:rPr>
          <w:rFonts w:ascii="Arial" w:hAnsi="Arial" w:cs="Arial"/>
          <w:bCs/>
        </w:rPr>
        <w:t>Eskom has made a decision to adopt the requirements of the Services Act of 2014.  In addition to the requirements of the Act, Eskom’s Recruitment and Selection Procedure stipulates that where foreign nationals are recruited the following is required :</w:t>
      </w:r>
    </w:p>
    <w:p w:rsidR="00502666" w:rsidRDefault="00502666" w:rsidP="00502666">
      <w:pPr>
        <w:jc w:val="both"/>
        <w:rPr>
          <w:rFonts w:ascii="Arial" w:hAnsi="Arial" w:cs="Arial"/>
          <w:b/>
          <w:bCs/>
        </w:rPr>
      </w:pPr>
    </w:p>
    <w:p w:rsidR="00502666" w:rsidRPr="00502666" w:rsidRDefault="00502666" w:rsidP="00502666">
      <w:pPr>
        <w:pStyle w:val="ListParagraph"/>
        <w:numPr>
          <w:ilvl w:val="0"/>
          <w:numId w:val="14"/>
        </w:numPr>
        <w:jc w:val="both"/>
        <w:rPr>
          <w:rFonts w:ascii="Arial" w:hAnsi="Arial" w:cs="Arial"/>
          <w:b/>
          <w:bCs/>
        </w:rPr>
      </w:pPr>
      <w:r>
        <w:rPr>
          <w:rFonts w:ascii="Arial" w:hAnsi="Arial" w:cs="Arial"/>
          <w:bCs/>
        </w:rPr>
        <w:t>Confirmation of citizenship</w:t>
      </w:r>
    </w:p>
    <w:p w:rsidR="00502666" w:rsidRPr="00502666" w:rsidRDefault="00502666" w:rsidP="00502666">
      <w:pPr>
        <w:pStyle w:val="ListParagraph"/>
        <w:numPr>
          <w:ilvl w:val="0"/>
          <w:numId w:val="14"/>
        </w:numPr>
        <w:jc w:val="both"/>
        <w:rPr>
          <w:rFonts w:ascii="Arial" w:hAnsi="Arial" w:cs="Arial"/>
          <w:b/>
          <w:bCs/>
        </w:rPr>
      </w:pPr>
      <w:r>
        <w:rPr>
          <w:rFonts w:ascii="Arial" w:hAnsi="Arial" w:cs="Arial"/>
          <w:bCs/>
        </w:rPr>
        <w:t>Confirmation of SA residency permit</w:t>
      </w:r>
    </w:p>
    <w:p w:rsidR="00502666" w:rsidRPr="00502666" w:rsidRDefault="00502666" w:rsidP="00502666">
      <w:pPr>
        <w:pStyle w:val="ListParagraph"/>
        <w:numPr>
          <w:ilvl w:val="0"/>
          <w:numId w:val="14"/>
        </w:numPr>
        <w:jc w:val="both"/>
        <w:rPr>
          <w:rFonts w:ascii="Arial" w:hAnsi="Arial" w:cs="Arial"/>
          <w:b/>
          <w:bCs/>
        </w:rPr>
      </w:pPr>
      <w:r>
        <w:rPr>
          <w:rFonts w:ascii="Arial" w:hAnsi="Arial" w:cs="Arial"/>
          <w:bCs/>
        </w:rPr>
        <w:t>Security clearance</w:t>
      </w:r>
    </w:p>
    <w:p w:rsidR="00502666" w:rsidRPr="00502666" w:rsidRDefault="00502666" w:rsidP="00502666">
      <w:pPr>
        <w:pStyle w:val="ListParagraph"/>
        <w:numPr>
          <w:ilvl w:val="0"/>
          <w:numId w:val="14"/>
        </w:numPr>
        <w:jc w:val="both"/>
        <w:rPr>
          <w:rFonts w:ascii="Arial" w:hAnsi="Arial" w:cs="Arial"/>
          <w:b/>
          <w:bCs/>
        </w:rPr>
      </w:pPr>
      <w:r>
        <w:rPr>
          <w:rFonts w:ascii="Arial" w:hAnsi="Arial" w:cs="Arial"/>
          <w:bCs/>
        </w:rPr>
        <w:t>Confirmation of a valid permit to work</w:t>
      </w:r>
    </w:p>
    <w:p w:rsidR="00502666" w:rsidRDefault="00502666" w:rsidP="00502666">
      <w:pPr>
        <w:jc w:val="both"/>
        <w:rPr>
          <w:rFonts w:ascii="Arial" w:hAnsi="Arial" w:cs="Arial"/>
          <w:b/>
          <w:bCs/>
        </w:rPr>
      </w:pPr>
    </w:p>
    <w:p w:rsidR="00020CE0" w:rsidRDefault="00027854" w:rsidP="00502666">
      <w:pPr>
        <w:jc w:val="both"/>
        <w:rPr>
          <w:rFonts w:ascii="Arial" w:hAnsi="Arial" w:cs="Arial"/>
          <w:bCs/>
        </w:rPr>
      </w:pPr>
      <w:r>
        <w:rPr>
          <w:rFonts w:ascii="Arial" w:hAnsi="Arial" w:cs="Arial"/>
          <w:bCs/>
        </w:rPr>
        <w:t>The requirements of the security vetting policy and the security of information policy also apply when recruiting foreign nationals.  Once appointed in Eskom, the Eskom’s conditions of service and other applicable employee policies apply in managing foreign nationals.</w:t>
      </w:r>
    </w:p>
    <w:p w:rsidR="00027854" w:rsidRDefault="00027854" w:rsidP="00502666">
      <w:pPr>
        <w:jc w:val="both"/>
        <w:rPr>
          <w:rFonts w:ascii="Arial" w:hAnsi="Arial" w:cs="Arial"/>
          <w:bCs/>
        </w:rPr>
      </w:pPr>
    </w:p>
    <w:p w:rsidR="00027854" w:rsidRPr="00027854" w:rsidRDefault="00027854" w:rsidP="00502666">
      <w:pPr>
        <w:jc w:val="both"/>
        <w:rPr>
          <w:rFonts w:ascii="Arial" w:hAnsi="Arial" w:cs="Arial"/>
          <w:bCs/>
        </w:rPr>
      </w:pPr>
      <w:r>
        <w:rPr>
          <w:rFonts w:ascii="Arial" w:hAnsi="Arial" w:cs="Arial"/>
          <w:bCs/>
        </w:rPr>
        <w:t>Furthermore, Eskom’s Procurement and Supply Chain Management Procedure does not address supplier employment practices.  Eskom contracts with suppliers do not stipulate employment practices that must be adhered to by the supplier.  The supplier is expected to adhere to the South African laws on employment as well as the Eskom site’s specific access requirements.</w:t>
      </w:r>
    </w:p>
    <w:p w:rsidR="00502666" w:rsidRDefault="00502666" w:rsidP="008960B2">
      <w:pPr>
        <w:contextualSpacing/>
        <w:jc w:val="both"/>
        <w:rPr>
          <w:rFonts w:ascii="Arial" w:hAnsi="Arial" w:cs="Arial"/>
          <w:b/>
          <w:bCs/>
          <w:lang w:val="en-ZA"/>
        </w:rPr>
      </w:pPr>
    </w:p>
    <w:p w:rsidR="00502666" w:rsidRDefault="00502666"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027854"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rsidR="00027854" w:rsidRDefault="00027854">
      <w:pPr>
        <w:rPr>
          <w:rFonts w:ascii="Arial" w:hAnsi="Arial" w:cs="Arial"/>
          <w:b/>
          <w:bCs/>
          <w:lang w:val="en-ZA"/>
        </w:rPr>
      </w:pPr>
      <w:r>
        <w:rPr>
          <w:rFonts w:ascii="Arial" w:hAnsi="Arial" w:cs="Arial"/>
          <w:b/>
          <w:bCs/>
          <w:lang w:val="en-ZA"/>
        </w:rPr>
        <w:br w:type="page"/>
      </w:r>
    </w:p>
    <w:p w:rsidR="00766B05" w:rsidRDefault="00766B05" w:rsidP="008960B2">
      <w:pPr>
        <w:contextualSpacing/>
        <w:rPr>
          <w:rFonts w:ascii="Arial" w:hAnsi="Arial" w:cs="Arial"/>
          <w:b/>
          <w:bCs/>
          <w:lang w:val="en-ZA"/>
        </w:rPr>
      </w:pPr>
    </w:p>
    <w:p w:rsidR="00027854" w:rsidRDefault="00027854" w:rsidP="008960B2">
      <w:pPr>
        <w:contextualSpacing/>
        <w:rPr>
          <w:rFonts w:ascii="Arial" w:hAnsi="Arial" w:cs="Arial"/>
          <w:b/>
          <w:bCs/>
          <w:lang w:val="en-ZA"/>
        </w:rPr>
      </w:pPr>
    </w:p>
    <w:p w:rsidR="00027854" w:rsidRDefault="00027854" w:rsidP="008960B2">
      <w:pPr>
        <w:contextualSpacing/>
        <w:rPr>
          <w:rFonts w:ascii="Arial" w:hAnsi="Arial" w:cs="Arial"/>
          <w:b/>
          <w:bCs/>
          <w:u w:val="single"/>
          <w:lang w:val="en-ZA"/>
        </w:rPr>
      </w:pPr>
    </w:p>
    <w:p w:rsidR="00027854" w:rsidRDefault="00027854" w:rsidP="008960B2">
      <w:pPr>
        <w:contextualSpacing/>
        <w:rPr>
          <w:rFonts w:ascii="Arial" w:hAnsi="Arial" w:cs="Arial"/>
          <w:b/>
          <w:bCs/>
          <w:u w:val="single"/>
          <w:lang w:val="en-ZA"/>
        </w:rPr>
      </w:pPr>
    </w:p>
    <w:p w:rsidR="00027854" w:rsidRDefault="00027854" w:rsidP="008960B2">
      <w:pPr>
        <w:contextualSpacing/>
        <w:rPr>
          <w:rFonts w:ascii="Arial" w:hAnsi="Arial" w:cs="Arial"/>
          <w:bCs/>
          <w:lang w:val="en-ZA"/>
        </w:rPr>
      </w:pPr>
      <w:r>
        <w:rPr>
          <w:rFonts w:ascii="Arial" w:hAnsi="Arial" w:cs="Arial"/>
          <w:b/>
          <w:bCs/>
          <w:u w:val="single"/>
          <w:lang w:val="en-ZA"/>
        </w:rPr>
        <w:t>Additional Information for the Minister</w:t>
      </w:r>
    </w:p>
    <w:p w:rsidR="00027854" w:rsidRDefault="00027854" w:rsidP="008960B2">
      <w:pPr>
        <w:contextualSpacing/>
        <w:rPr>
          <w:rFonts w:ascii="Arial" w:hAnsi="Arial" w:cs="Arial"/>
          <w:bCs/>
          <w:lang w:val="en-ZA"/>
        </w:rPr>
      </w:pPr>
    </w:p>
    <w:p w:rsidR="00027854" w:rsidRDefault="00027854" w:rsidP="00027854">
      <w:pPr>
        <w:pStyle w:val="ListParagraph"/>
        <w:numPr>
          <w:ilvl w:val="0"/>
          <w:numId w:val="15"/>
        </w:numPr>
        <w:rPr>
          <w:rFonts w:ascii="Arial" w:hAnsi="Arial" w:cs="Arial"/>
          <w:bCs/>
        </w:rPr>
      </w:pPr>
      <w:r>
        <w:rPr>
          <w:rFonts w:ascii="Arial" w:hAnsi="Arial" w:cs="Arial"/>
          <w:bCs/>
        </w:rPr>
        <w:t>Copy of emails exchanged between Eskom and Grindrod</w:t>
      </w:r>
    </w:p>
    <w:p w:rsidR="00027854" w:rsidRDefault="00027854" w:rsidP="00027854">
      <w:pPr>
        <w:pStyle w:val="ListParagraph"/>
        <w:numPr>
          <w:ilvl w:val="0"/>
          <w:numId w:val="15"/>
        </w:numPr>
        <w:rPr>
          <w:rFonts w:ascii="Arial" w:hAnsi="Arial" w:cs="Arial"/>
          <w:bCs/>
        </w:rPr>
      </w:pPr>
      <w:r>
        <w:rPr>
          <w:rFonts w:ascii="Arial" w:hAnsi="Arial" w:cs="Arial"/>
          <w:bCs/>
        </w:rPr>
        <w:t>Grindrod Court Judgement</w:t>
      </w:r>
    </w:p>
    <w:p w:rsidR="00027854" w:rsidRDefault="00027854" w:rsidP="00027854">
      <w:pPr>
        <w:pStyle w:val="ListParagraph"/>
        <w:numPr>
          <w:ilvl w:val="0"/>
          <w:numId w:val="15"/>
        </w:numPr>
        <w:rPr>
          <w:rFonts w:ascii="Arial" w:hAnsi="Arial" w:cs="Arial"/>
          <w:bCs/>
        </w:rPr>
      </w:pPr>
      <w:r>
        <w:rPr>
          <w:rFonts w:ascii="Arial" w:hAnsi="Arial" w:cs="Arial"/>
          <w:bCs/>
        </w:rPr>
        <w:t>Eskom’s Recruitment Procedure (Ref: Section 3.3.5.2 c and g)</w:t>
      </w:r>
    </w:p>
    <w:p w:rsidR="00027854" w:rsidRPr="00027854" w:rsidRDefault="00027854" w:rsidP="00027854">
      <w:pPr>
        <w:pStyle w:val="ListParagraph"/>
        <w:numPr>
          <w:ilvl w:val="0"/>
          <w:numId w:val="15"/>
        </w:numPr>
        <w:rPr>
          <w:rFonts w:ascii="Arial" w:hAnsi="Arial" w:cs="Arial"/>
          <w:bCs/>
        </w:rPr>
      </w:pPr>
      <w:r>
        <w:rPr>
          <w:rFonts w:ascii="Arial" w:hAnsi="Arial" w:cs="Arial"/>
          <w:bCs/>
        </w:rPr>
        <w:t>Services Act of 2014 (Ref: Section 8 &amp; 9)</w:t>
      </w:r>
    </w:p>
    <w:sectPr w:rsidR="00027854" w:rsidRPr="00027854"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E4" w:rsidRDefault="005766E4" w:rsidP="006A43DE">
      <w:r>
        <w:separator/>
      </w:r>
    </w:p>
  </w:endnote>
  <w:endnote w:type="continuationSeparator" w:id="0">
    <w:p w:rsidR="005766E4" w:rsidRDefault="005766E4"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B8431D">
      <w:rPr>
        <w:rFonts w:asciiTheme="majorHAnsi" w:eastAsiaTheme="majorEastAsia" w:hAnsiTheme="majorHAnsi" w:cstheme="majorBidi"/>
      </w:rPr>
      <w:t>21</w:t>
    </w:r>
    <w:r w:rsidR="009B01D5">
      <w:rPr>
        <w:rFonts w:asciiTheme="majorHAnsi" w:eastAsiaTheme="majorEastAsia" w:hAnsiTheme="majorHAnsi" w:cstheme="majorBidi"/>
      </w:rPr>
      <w:t>59</w:t>
    </w:r>
    <w:r w:rsidR="003D12B3">
      <w:rPr>
        <w:rFonts w:asciiTheme="majorHAnsi" w:eastAsiaTheme="majorEastAsia" w:hAnsiTheme="majorHAnsi" w:cstheme="majorBidi"/>
      </w:rPr>
      <w:t>_4 August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E1757" w:rsidRPr="001E175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E4" w:rsidRDefault="005766E4" w:rsidP="006A43DE">
      <w:r>
        <w:separator/>
      </w:r>
    </w:p>
  </w:footnote>
  <w:footnote w:type="continuationSeparator" w:id="0">
    <w:p w:rsidR="005766E4" w:rsidRDefault="005766E4"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2352553"/>
    <w:multiLevelType w:val="hybridMultilevel"/>
    <w:tmpl w:val="401865B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15:restartNumberingAfterBreak="0">
    <w:nsid w:val="546735F0"/>
    <w:multiLevelType w:val="hybridMultilevel"/>
    <w:tmpl w:val="DF1022D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CAB478C"/>
    <w:multiLevelType w:val="hybridMultilevel"/>
    <w:tmpl w:val="F530F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F4B5AE5"/>
    <w:multiLevelType w:val="hybridMultilevel"/>
    <w:tmpl w:val="EA30D082"/>
    <w:lvl w:ilvl="0" w:tplc="7182278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3"/>
  </w:num>
  <w:num w:numId="3">
    <w:abstractNumId w:val="4"/>
  </w:num>
  <w:num w:numId="4">
    <w:abstractNumId w:val="11"/>
  </w:num>
  <w:num w:numId="5">
    <w:abstractNumId w:val="5"/>
  </w:num>
  <w:num w:numId="6">
    <w:abstractNumId w:val="2"/>
  </w:num>
  <w:num w:numId="7">
    <w:abstractNumId w:val="1"/>
  </w:num>
  <w:num w:numId="8">
    <w:abstractNumId w:val="9"/>
  </w:num>
  <w:num w:numId="9">
    <w:abstractNumId w:val="6"/>
  </w:num>
  <w:num w:numId="10">
    <w:abstractNumId w:val="0"/>
  </w:num>
  <w:num w:numId="11">
    <w:abstractNumId w:val="14"/>
  </w:num>
  <w:num w:numId="12">
    <w:abstractNumId w:val="8"/>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20CE0"/>
    <w:rsid w:val="00027854"/>
    <w:rsid w:val="000629C6"/>
    <w:rsid w:val="000B6791"/>
    <w:rsid w:val="000C7414"/>
    <w:rsid w:val="000F6FB5"/>
    <w:rsid w:val="001204BE"/>
    <w:rsid w:val="00125D8E"/>
    <w:rsid w:val="00141EAA"/>
    <w:rsid w:val="00152E8D"/>
    <w:rsid w:val="00162952"/>
    <w:rsid w:val="00164073"/>
    <w:rsid w:val="00170AB9"/>
    <w:rsid w:val="00190B29"/>
    <w:rsid w:val="001B13C2"/>
    <w:rsid w:val="001C647A"/>
    <w:rsid w:val="001E09A9"/>
    <w:rsid w:val="001E1264"/>
    <w:rsid w:val="001E1757"/>
    <w:rsid w:val="001F2474"/>
    <w:rsid w:val="00203FBE"/>
    <w:rsid w:val="00210533"/>
    <w:rsid w:val="00225771"/>
    <w:rsid w:val="002315C5"/>
    <w:rsid w:val="00243068"/>
    <w:rsid w:val="00246DF8"/>
    <w:rsid w:val="00254818"/>
    <w:rsid w:val="00266DB4"/>
    <w:rsid w:val="0026770C"/>
    <w:rsid w:val="00271AFC"/>
    <w:rsid w:val="002C030C"/>
    <w:rsid w:val="002F1297"/>
    <w:rsid w:val="002F5F24"/>
    <w:rsid w:val="00300499"/>
    <w:rsid w:val="00307D62"/>
    <w:rsid w:val="00320398"/>
    <w:rsid w:val="003468A9"/>
    <w:rsid w:val="00374B91"/>
    <w:rsid w:val="00374F17"/>
    <w:rsid w:val="003D12B3"/>
    <w:rsid w:val="003F0092"/>
    <w:rsid w:val="00420395"/>
    <w:rsid w:val="00435FE3"/>
    <w:rsid w:val="00450239"/>
    <w:rsid w:val="0046053A"/>
    <w:rsid w:val="004653BA"/>
    <w:rsid w:val="0047791E"/>
    <w:rsid w:val="004A4357"/>
    <w:rsid w:val="004C6935"/>
    <w:rsid w:val="004D1BB5"/>
    <w:rsid w:val="004E4E93"/>
    <w:rsid w:val="004F5833"/>
    <w:rsid w:val="004F6D7D"/>
    <w:rsid w:val="00500074"/>
    <w:rsid w:val="00502666"/>
    <w:rsid w:val="00512022"/>
    <w:rsid w:val="005206AC"/>
    <w:rsid w:val="00521620"/>
    <w:rsid w:val="00534DDF"/>
    <w:rsid w:val="0054518F"/>
    <w:rsid w:val="005703CE"/>
    <w:rsid w:val="005766E4"/>
    <w:rsid w:val="005C28EA"/>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6B05"/>
    <w:rsid w:val="00767C12"/>
    <w:rsid w:val="00780828"/>
    <w:rsid w:val="007840BD"/>
    <w:rsid w:val="007A77D7"/>
    <w:rsid w:val="007B2942"/>
    <w:rsid w:val="007C3D68"/>
    <w:rsid w:val="007C48D9"/>
    <w:rsid w:val="00824E8E"/>
    <w:rsid w:val="00892DFB"/>
    <w:rsid w:val="008960B2"/>
    <w:rsid w:val="008968F5"/>
    <w:rsid w:val="008D6B81"/>
    <w:rsid w:val="008E1A9C"/>
    <w:rsid w:val="0090365F"/>
    <w:rsid w:val="00905B7B"/>
    <w:rsid w:val="00930D31"/>
    <w:rsid w:val="00942881"/>
    <w:rsid w:val="00956AE9"/>
    <w:rsid w:val="00957EA0"/>
    <w:rsid w:val="00961B9E"/>
    <w:rsid w:val="009A53BF"/>
    <w:rsid w:val="009B01D5"/>
    <w:rsid w:val="009B4F7B"/>
    <w:rsid w:val="009B6439"/>
    <w:rsid w:val="009C4542"/>
    <w:rsid w:val="009D1ACE"/>
    <w:rsid w:val="009E6C64"/>
    <w:rsid w:val="00A00E8D"/>
    <w:rsid w:val="00A164FA"/>
    <w:rsid w:val="00A207A4"/>
    <w:rsid w:val="00A21970"/>
    <w:rsid w:val="00A2660A"/>
    <w:rsid w:val="00A3548B"/>
    <w:rsid w:val="00A45C08"/>
    <w:rsid w:val="00A77EA7"/>
    <w:rsid w:val="00A828AF"/>
    <w:rsid w:val="00A83BB5"/>
    <w:rsid w:val="00A9377A"/>
    <w:rsid w:val="00A96EFA"/>
    <w:rsid w:val="00AB620F"/>
    <w:rsid w:val="00AD433D"/>
    <w:rsid w:val="00AE07A0"/>
    <w:rsid w:val="00B0743A"/>
    <w:rsid w:val="00B34D01"/>
    <w:rsid w:val="00B43A3C"/>
    <w:rsid w:val="00B66A10"/>
    <w:rsid w:val="00B764B6"/>
    <w:rsid w:val="00B81C28"/>
    <w:rsid w:val="00B81C99"/>
    <w:rsid w:val="00B8431D"/>
    <w:rsid w:val="00BA5C62"/>
    <w:rsid w:val="00BA60D2"/>
    <w:rsid w:val="00BA7FA4"/>
    <w:rsid w:val="00BB2CDD"/>
    <w:rsid w:val="00BB480D"/>
    <w:rsid w:val="00BC24E0"/>
    <w:rsid w:val="00BC60BD"/>
    <w:rsid w:val="00BD0503"/>
    <w:rsid w:val="00C11460"/>
    <w:rsid w:val="00C376CE"/>
    <w:rsid w:val="00C46606"/>
    <w:rsid w:val="00C53F6B"/>
    <w:rsid w:val="00C6140B"/>
    <w:rsid w:val="00C71A4E"/>
    <w:rsid w:val="00C76C58"/>
    <w:rsid w:val="00CB5194"/>
    <w:rsid w:val="00CB7B00"/>
    <w:rsid w:val="00CC6424"/>
    <w:rsid w:val="00CE72A9"/>
    <w:rsid w:val="00CF1AE8"/>
    <w:rsid w:val="00CF2CE3"/>
    <w:rsid w:val="00D1305F"/>
    <w:rsid w:val="00D25359"/>
    <w:rsid w:val="00D31EBA"/>
    <w:rsid w:val="00D35463"/>
    <w:rsid w:val="00D53A9C"/>
    <w:rsid w:val="00D543BA"/>
    <w:rsid w:val="00D6168F"/>
    <w:rsid w:val="00D7334D"/>
    <w:rsid w:val="00D80F16"/>
    <w:rsid w:val="00DE52C7"/>
    <w:rsid w:val="00DF2645"/>
    <w:rsid w:val="00E06376"/>
    <w:rsid w:val="00E25C2E"/>
    <w:rsid w:val="00E36A15"/>
    <w:rsid w:val="00E4134B"/>
    <w:rsid w:val="00E46280"/>
    <w:rsid w:val="00E46F4E"/>
    <w:rsid w:val="00E51A0C"/>
    <w:rsid w:val="00E71093"/>
    <w:rsid w:val="00E73ABB"/>
    <w:rsid w:val="00E82E1D"/>
    <w:rsid w:val="00E83FF9"/>
    <w:rsid w:val="00EB2717"/>
    <w:rsid w:val="00EE5757"/>
    <w:rsid w:val="00F31673"/>
    <w:rsid w:val="00F34711"/>
    <w:rsid w:val="00F45181"/>
    <w:rsid w:val="00F62BDA"/>
    <w:rsid w:val="00F63886"/>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22187-BF9E-47CB-A29B-F0F90EE6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5705">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0075530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01296492">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25824673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095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4FCB-5DF0-40F9-8C0F-43E9362A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3996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2017-08-23T06:55:00Z</cp:lastPrinted>
  <dcterms:created xsi:type="dcterms:W3CDTF">2017-08-23T09:10:00Z</dcterms:created>
  <dcterms:modified xsi:type="dcterms:W3CDTF">2017-08-23T09:10:00Z</dcterms:modified>
</cp:coreProperties>
</file>