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B00F76">
        <w:rPr>
          <w:b/>
          <w:bCs/>
          <w:sz w:val="24"/>
          <w:u w:val="single"/>
        </w:rPr>
        <w:t>1</w:t>
      </w:r>
      <w:r w:rsidR="009E5AFD">
        <w:rPr>
          <w:b/>
          <w:bCs/>
          <w:sz w:val="24"/>
          <w:u w:val="single"/>
        </w:rPr>
        <w:t>5</w:t>
      </w:r>
      <w:r w:rsidR="00B61BC2">
        <w:rPr>
          <w:b/>
          <w:bCs/>
          <w:sz w:val="24"/>
          <w:u w:val="single"/>
        </w:rPr>
        <w:t>7</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B00F76">
        <w:rPr>
          <w:b/>
          <w:bCs/>
          <w:sz w:val="24"/>
          <w:u w:val="single"/>
        </w:rPr>
        <w:t>03 JUNE</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B00F76">
        <w:rPr>
          <w:b/>
          <w:bCs/>
          <w:sz w:val="24"/>
          <w:u w:val="single"/>
        </w:rPr>
        <w:t>2</w:t>
      </w:r>
      <w:r w:rsidRPr="00E9479A">
        <w:rPr>
          <w:b/>
          <w:bCs/>
          <w:sz w:val="24"/>
          <w:u w:val="single"/>
        </w:rPr>
        <w:t>)</w:t>
      </w:r>
    </w:p>
    <w:p w:rsidR="00B61BC2" w:rsidRPr="00B61BC2" w:rsidRDefault="00B61BC2" w:rsidP="00B61BC2">
      <w:pPr>
        <w:spacing w:before="100" w:beforeAutospacing="1" w:after="100" w:afterAutospacing="1"/>
        <w:ind w:left="540" w:right="-144" w:hanging="540"/>
        <w:jc w:val="both"/>
        <w:rPr>
          <w:b/>
          <w:sz w:val="24"/>
          <w:u w:val="single"/>
        </w:rPr>
      </w:pPr>
      <w:r w:rsidRPr="00B61BC2">
        <w:rPr>
          <w:b/>
          <w:sz w:val="24"/>
          <w:u w:val="single"/>
        </w:rPr>
        <w:t>Ms H Ismail (DA) to ask the Minister of Health</w:t>
      </w:r>
      <w:r w:rsidR="0027428C" w:rsidRPr="00B61BC2">
        <w:rPr>
          <w:b/>
          <w:sz w:val="24"/>
          <w:u w:val="single"/>
        </w:rPr>
        <w:fldChar w:fldCharType="begin"/>
      </w:r>
      <w:r w:rsidRPr="00B61BC2">
        <w:rPr>
          <w:u w:val="single"/>
        </w:rPr>
        <w:instrText xml:space="preserve"> XE "</w:instrText>
      </w:r>
      <w:r w:rsidRPr="00B61BC2">
        <w:rPr>
          <w:b/>
          <w:bCs/>
          <w:sz w:val="24"/>
          <w:u w:val="single"/>
        </w:rPr>
        <w:instrText>Health</w:instrText>
      </w:r>
      <w:r w:rsidRPr="00B61BC2">
        <w:rPr>
          <w:u w:val="single"/>
        </w:rPr>
        <w:instrText xml:space="preserve">" </w:instrText>
      </w:r>
      <w:r w:rsidR="0027428C" w:rsidRPr="00B61BC2">
        <w:rPr>
          <w:b/>
          <w:sz w:val="24"/>
          <w:u w:val="single"/>
        </w:rPr>
        <w:fldChar w:fldCharType="end"/>
      </w:r>
      <w:r w:rsidRPr="00B61BC2">
        <w:rPr>
          <w:b/>
          <w:sz w:val="24"/>
          <w:u w:val="single"/>
        </w:rPr>
        <w:t>:</w:t>
      </w:r>
      <w:r>
        <w:rPr>
          <w:b/>
          <w:sz w:val="24"/>
          <w:u w:val="single"/>
        </w:rPr>
        <w:t xml:space="preserve"> </w:t>
      </w:r>
    </w:p>
    <w:p w:rsidR="00B61BC2" w:rsidRPr="00B61BC2" w:rsidRDefault="00B61BC2" w:rsidP="00B61BC2">
      <w:pPr>
        <w:autoSpaceDE w:val="0"/>
        <w:autoSpaceDN w:val="0"/>
        <w:adjustRightInd w:val="0"/>
        <w:spacing w:before="100" w:beforeAutospacing="1" w:after="100" w:afterAutospacing="1"/>
        <w:ind w:left="709" w:right="-144" w:hanging="720"/>
        <w:jc w:val="both"/>
        <w:rPr>
          <w:sz w:val="24"/>
        </w:rPr>
      </w:pPr>
      <w:r w:rsidRPr="00B61BC2">
        <w:rPr>
          <w:sz w:val="24"/>
        </w:rPr>
        <w:t>(1)</w:t>
      </w:r>
      <w:r w:rsidRPr="00B61BC2">
        <w:rPr>
          <w:sz w:val="24"/>
        </w:rPr>
        <w:tab/>
        <w:t>What total number of measles vaccinations have been administered in (a) 2019, (b) 2020 and (c) 2021; </w:t>
      </w:r>
    </w:p>
    <w:p w:rsidR="00B61BC2" w:rsidRPr="00B61BC2" w:rsidRDefault="00B61BC2" w:rsidP="00B61BC2">
      <w:pPr>
        <w:autoSpaceDE w:val="0"/>
        <w:autoSpaceDN w:val="0"/>
        <w:adjustRightInd w:val="0"/>
        <w:spacing w:before="100" w:beforeAutospacing="1" w:after="100" w:afterAutospacing="1"/>
        <w:ind w:left="709" w:right="-144" w:hanging="720"/>
        <w:jc w:val="both"/>
        <w:rPr>
          <w:sz w:val="24"/>
        </w:rPr>
      </w:pPr>
      <w:r w:rsidRPr="00B61BC2">
        <w:rPr>
          <w:sz w:val="24"/>
        </w:rPr>
        <w:t>(2)</w:t>
      </w:r>
      <w:r w:rsidRPr="00B61BC2">
        <w:rPr>
          <w:sz w:val="24"/>
        </w:rPr>
        <w:tab/>
      </w:r>
      <w:proofErr w:type="gramStart"/>
      <w:r w:rsidRPr="00B61BC2">
        <w:rPr>
          <w:sz w:val="24"/>
        </w:rPr>
        <w:t>what</w:t>
      </w:r>
      <w:proofErr w:type="gramEnd"/>
      <w:r w:rsidRPr="00B61BC2">
        <w:rPr>
          <w:sz w:val="24"/>
        </w:rPr>
        <w:t xml:space="preserve"> is the breakdown of the specified measles vaccinations in each (a) province and (b) specified academic year; </w:t>
      </w:r>
    </w:p>
    <w:p w:rsidR="00B61BC2" w:rsidRPr="00B61BC2" w:rsidRDefault="00B61BC2" w:rsidP="00B61BC2">
      <w:pPr>
        <w:autoSpaceDE w:val="0"/>
        <w:autoSpaceDN w:val="0"/>
        <w:adjustRightInd w:val="0"/>
        <w:spacing w:before="100" w:beforeAutospacing="1" w:after="100" w:afterAutospacing="1"/>
        <w:ind w:left="709" w:right="-144" w:hanging="720"/>
        <w:jc w:val="both"/>
        <w:rPr>
          <w:sz w:val="24"/>
        </w:rPr>
      </w:pPr>
      <w:r w:rsidRPr="00B61BC2">
        <w:rPr>
          <w:sz w:val="24"/>
        </w:rPr>
        <w:t>(3)</w:t>
      </w:r>
      <w:r w:rsidRPr="00B61BC2">
        <w:rPr>
          <w:sz w:val="24"/>
        </w:rPr>
        <w:tab/>
      </w:r>
      <w:proofErr w:type="gramStart"/>
      <w:r w:rsidRPr="00B61BC2">
        <w:rPr>
          <w:sz w:val="24"/>
        </w:rPr>
        <w:t>what</w:t>
      </w:r>
      <w:proofErr w:type="gramEnd"/>
      <w:r w:rsidRPr="00B61BC2">
        <w:rPr>
          <w:sz w:val="24"/>
        </w:rPr>
        <w:t xml:space="preserve"> plans are being put in place by his department to increase inoculations for the measles vaccine; </w:t>
      </w:r>
    </w:p>
    <w:p w:rsidR="009E5AFD" w:rsidRDefault="00B61BC2" w:rsidP="00B61BC2">
      <w:pPr>
        <w:autoSpaceDE w:val="0"/>
        <w:autoSpaceDN w:val="0"/>
        <w:adjustRightInd w:val="0"/>
        <w:spacing w:before="100" w:beforeAutospacing="1" w:after="100" w:afterAutospacing="1"/>
        <w:ind w:left="709" w:right="-144" w:hanging="720"/>
        <w:jc w:val="both"/>
        <w:rPr>
          <w:rFonts w:ascii="Times New Roman" w:hAnsi="Times New Roman" w:cs="Times New Roman"/>
          <w:sz w:val="20"/>
        </w:rPr>
      </w:pPr>
      <w:r w:rsidRPr="00B61BC2">
        <w:rPr>
          <w:sz w:val="24"/>
        </w:rPr>
        <w:t>(4)</w:t>
      </w:r>
      <w:r w:rsidRPr="00B61BC2">
        <w:rPr>
          <w:sz w:val="24"/>
        </w:rPr>
        <w:tab/>
      </w:r>
      <w:proofErr w:type="gramStart"/>
      <w:r w:rsidRPr="00B61BC2">
        <w:rPr>
          <w:sz w:val="24"/>
        </w:rPr>
        <w:t>what</w:t>
      </w:r>
      <w:proofErr w:type="gramEnd"/>
      <w:r w:rsidRPr="00B61BC2">
        <w:rPr>
          <w:sz w:val="24"/>
        </w:rPr>
        <w:t xml:space="preserve"> was the vaccination rate for the measles vaccine in (a) 2019, (b) 2020 and (c) 2021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9E5AFD">
        <w:rPr>
          <w:color w:val="000000"/>
        </w:rPr>
        <w:t>56</w:t>
      </w:r>
      <w:r w:rsidR="00B61BC2">
        <w:rPr>
          <w:color w:val="000000"/>
        </w:rPr>
        <w:t>2</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Default="006B5041" w:rsidP="006174EE">
      <w:pPr>
        <w:rPr>
          <w:sz w:val="24"/>
          <w:lang w:val="en-US"/>
        </w:rPr>
      </w:pPr>
    </w:p>
    <w:p w:rsidR="009D2731" w:rsidRPr="009D2731" w:rsidRDefault="009D2731" w:rsidP="009D2731">
      <w:pPr>
        <w:pStyle w:val="ListParagraph"/>
        <w:numPr>
          <w:ilvl w:val="0"/>
          <w:numId w:val="12"/>
        </w:numPr>
        <w:ind w:hanging="720"/>
        <w:rPr>
          <w:sz w:val="24"/>
          <w:lang w:val="en-US"/>
        </w:rPr>
      </w:pPr>
      <w:r>
        <w:rPr>
          <w:sz w:val="24"/>
          <w:lang w:val="en-US"/>
        </w:rPr>
        <w:t>The following table reflects the details in this regard</w:t>
      </w:r>
      <w:r w:rsidRPr="009D2731">
        <w:rPr>
          <w:sz w:val="24"/>
          <w:lang w:val="en-US"/>
        </w:rPr>
        <w:t>:</w:t>
      </w:r>
    </w:p>
    <w:p w:rsidR="009D2731" w:rsidRDefault="009D2731" w:rsidP="009D2731">
      <w:pPr>
        <w:tabs>
          <w:tab w:val="left" w:pos="2370"/>
        </w:tabs>
        <w:rPr>
          <w:b/>
          <w:sz w:val="24"/>
        </w:rPr>
      </w:pPr>
    </w:p>
    <w:tbl>
      <w:tblPr>
        <w:tblStyle w:val="TableGrid"/>
        <w:tblW w:w="9639" w:type="dxa"/>
        <w:tblInd w:w="704" w:type="dxa"/>
        <w:tblLook w:val="04A0"/>
      </w:tblPr>
      <w:tblGrid>
        <w:gridCol w:w="567"/>
        <w:gridCol w:w="1134"/>
        <w:gridCol w:w="1366"/>
        <w:gridCol w:w="1186"/>
        <w:gridCol w:w="425"/>
        <w:gridCol w:w="1559"/>
        <w:gridCol w:w="3402"/>
      </w:tblGrid>
      <w:tr w:rsidR="009D2731" w:rsidRPr="009D2731" w:rsidTr="009D2731">
        <w:tc>
          <w:tcPr>
            <w:tcW w:w="1701" w:type="dxa"/>
            <w:gridSpan w:val="2"/>
          </w:tcPr>
          <w:p w:rsidR="009D2731" w:rsidRPr="009D2731" w:rsidRDefault="009D2731" w:rsidP="00A03C46">
            <w:pPr>
              <w:tabs>
                <w:tab w:val="left" w:pos="2370"/>
              </w:tabs>
              <w:jc w:val="center"/>
              <w:rPr>
                <w:b/>
                <w:szCs w:val="22"/>
              </w:rPr>
            </w:pPr>
            <w:r w:rsidRPr="009D2731">
              <w:rPr>
                <w:b/>
                <w:szCs w:val="22"/>
              </w:rPr>
              <w:t>Year</w:t>
            </w:r>
          </w:p>
        </w:tc>
        <w:tc>
          <w:tcPr>
            <w:tcW w:w="2552" w:type="dxa"/>
            <w:gridSpan w:val="2"/>
          </w:tcPr>
          <w:p w:rsidR="009D2731" w:rsidRPr="009D2731" w:rsidRDefault="009D2731" w:rsidP="00A03C46">
            <w:pPr>
              <w:tabs>
                <w:tab w:val="left" w:pos="2370"/>
              </w:tabs>
              <w:rPr>
                <w:b/>
                <w:szCs w:val="22"/>
              </w:rPr>
            </w:pPr>
            <w:r w:rsidRPr="009D2731">
              <w:rPr>
                <w:b/>
                <w:szCs w:val="22"/>
              </w:rPr>
              <w:t>Measles 1</w:t>
            </w:r>
            <w:r w:rsidRPr="009D2731">
              <w:rPr>
                <w:b/>
                <w:szCs w:val="22"/>
                <w:vertAlign w:val="superscript"/>
              </w:rPr>
              <w:t>st</w:t>
            </w:r>
            <w:r w:rsidRPr="009D2731">
              <w:rPr>
                <w:b/>
                <w:szCs w:val="22"/>
              </w:rPr>
              <w:t xml:space="preserve"> dose</w:t>
            </w:r>
          </w:p>
        </w:tc>
        <w:tc>
          <w:tcPr>
            <w:tcW w:w="425" w:type="dxa"/>
            <w:vMerge w:val="restart"/>
          </w:tcPr>
          <w:p w:rsidR="009D2731" w:rsidRPr="009D2731" w:rsidRDefault="009D2731" w:rsidP="00A03C46">
            <w:pPr>
              <w:tabs>
                <w:tab w:val="left" w:pos="2370"/>
              </w:tabs>
              <w:rPr>
                <w:szCs w:val="22"/>
              </w:rPr>
            </w:pPr>
          </w:p>
        </w:tc>
        <w:tc>
          <w:tcPr>
            <w:tcW w:w="4961" w:type="dxa"/>
            <w:gridSpan w:val="2"/>
          </w:tcPr>
          <w:p w:rsidR="009D2731" w:rsidRPr="009D2731" w:rsidRDefault="009D2731" w:rsidP="00A03C46">
            <w:pPr>
              <w:tabs>
                <w:tab w:val="left" w:pos="2370"/>
              </w:tabs>
              <w:rPr>
                <w:szCs w:val="22"/>
              </w:rPr>
            </w:pPr>
            <w:r w:rsidRPr="009D2731">
              <w:rPr>
                <w:b/>
                <w:szCs w:val="22"/>
              </w:rPr>
              <w:t>Measles 2</w:t>
            </w:r>
            <w:r w:rsidRPr="009D2731">
              <w:rPr>
                <w:b/>
                <w:szCs w:val="22"/>
                <w:vertAlign w:val="superscript"/>
              </w:rPr>
              <w:t>nd</w:t>
            </w:r>
            <w:r w:rsidRPr="009D2731">
              <w:rPr>
                <w:b/>
                <w:szCs w:val="22"/>
              </w:rPr>
              <w:t xml:space="preserve"> dose </w:t>
            </w:r>
          </w:p>
        </w:tc>
      </w:tr>
      <w:tr w:rsidR="009D2731" w:rsidRPr="009D2731" w:rsidTr="009D2731">
        <w:tc>
          <w:tcPr>
            <w:tcW w:w="567" w:type="dxa"/>
          </w:tcPr>
          <w:p w:rsidR="009D2731" w:rsidRPr="009D2731" w:rsidRDefault="009D2731" w:rsidP="00A03C46">
            <w:pPr>
              <w:tabs>
                <w:tab w:val="left" w:pos="2370"/>
              </w:tabs>
              <w:rPr>
                <w:szCs w:val="22"/>
              </w:rPr>
            </w:pPr>
            <w:r w:rsidRPr="009D2731">
              <w:rPr>
                <w:szCs w:val="22"/>
              </w:rPr>
              <w:t>(a)</w:t>
            </w:r>
          </w:p>
        </w:tc>
        <w:tc>
          <w:tcPr>
            <w:tcW w:w="1134" w:type="dxa"/>
          </w:tcPr>
          <w:p w:rsidR="009D2731" w:rsidRPr="009D2731" w:rsidRDefault="009D2731" w:rsidP="00A03C46">
            <w:pPr>
              <w:tabs>
                <w:tab w:val="left" w:pos="2370"/>
              </w:tabs>
              <w:rPr>
                <w:szCs w:val="22"/>
              </w:rPr>
            </w:pPr>
            <w:r w:rsidRPr="009D2731">
              <w:rPr>
                <w:szCs w:val="22"/>
              </w:rPr>
              <w:t>2019</w:t>
            </w:r>
          </w:p>
        </w:tc>
        <w:tc>
          <w:tcPr>
            <w:tcW w:w="1366" w:type="dxa"/>
          </w:tcPr>
          <w:p w:rsidR="009D2731" w:rsidRPr="009D2731" w:rsidRDefault="009D2731" w:rsidP="00A03C46">
            <w:pPr>
              <w:tabs>
                <w:tab w:val="left" w:pos="2370"/>
              </w:tabs>
              <w:jc w:val="right"/>
              <w:rPr>
                <w:szCs w:val="22"/>
              </w:rPr>
            </w:pPr>
            <w:r w:rsidRPr="009D2731">
              <w:rPr>
                <w:szCs w:val="22"/>
              </w:rPr>
              <w:t>966,002</w:t>
            </w:r>
          </w:p>
        </w:tc>
        <w:tc>
          <w:tcPr>
            <w:tcW w:w="1186" w:type="dxa"/>
          </w:tcPr>
          <w:p w:rsidR="009D2731" w:rsidRPr="009D2731" w:rsidRDefault="009D2731" w:rsidP="00A03C46">
            <w:pPr>
              <w:tabs>
                <w:tab w:val="left" w:pos="2370"/>
              </w:tabs>
              <w:jc w:val="center"/>
              <w:rPr>
                <w:szCs w:val="22"/>
              </w:rPr>
            </w:pPr>
            <w:r w:rsidRPr="009D2731">
              <w:rPr>
                <w:szCs w:val="22"/>
              </w:rPr>
              <w:t>84,1%</w:t>
            </w:r>
          </w:p>
        </w:tc>
        <w:tc>
          <w:tcPr>
            <w:tcW w:w="425" w:type="dxa"/>
            <w:vMerge/>
          </w:tcPr>
          <w:p w:rsidR="009D2731" w:rsidRPr="009D2731" w:rsidRDefault="009D2731" w:rsidP="00A03C46">
            <w:pPr>
              <w:tabs>
                <w:tab w:val="left" w:pos="2370"/>
              </w:tabs>
              <w:rPr>
                <w:szCs w:val="22"/>
              </w:rPr>
            </w:pPr>
          </w:p>
        </w:tc>
        <w:tc>
          <w:tcPr>
            <w:tcW w:w="1559" w:type="dxa"/>
          </w:tcPr>
          <w:p w:rsidR="009D2731" w:rsidRPr="009D2731" w:rsidRDefault="009D2731" w:rsidP="00A03C46">
            <w:pPr>
              <w:tabs>
                <w:tab w:val="left" w:pos="2370"/>
              </w:tabs>
              <w:jc w:val="right"/>
              <w:rPr>
                <w:szCs w:val="22"/>
              </w:rPr>
            </w:pPr>
            <w:r w:rsidRPr="009D2731">
              <w:rPr>
                <w:szCs w:val="22"/>
              </w:rPr>
              <w:t>920,084</w:t>
            </w:r>
          </w:p>
        </w:tc>
        <w:tc>
          <w:tcPr>
            <w:tcW w:w="3402" w:type="dxa"/>
          </w:tcPr>
          <w:p w:rsidR="009D2731" w:rsidRPr="009D2731" w:rsidRDefault="009D2731" w:rsidP="00A03C46">
            <w:pPr>
              <w:tabs>
                <w:tab w:val="left" w:pos="2370"/>
              </w:tabs>
              <w:jc w:val="center"/>
              <w:rPr>
                <w:szCs w:val="22"/>
              </w:rPr>
            </w:pPr>
            <w:r w:rsidRPr="009D2731">
              <w:rPr>
                <w:szCs w:val="22"/>
              </w:rPr>
              <w:t>80,2%</w:t>
            </w:r>
          </w:p>
        </w:tc>
      </w:tr>
      <w:tr w:rsidR="009D2731" w:rsidRPr="009D2731" w:rsidTr="009D2731">
        <w:tc>
          <w:tcPr>
            <w:tcW w:w="567" w:type="dxa"/>
          </w:tcPr>
          <w:p w:rsidR="009D2731" w:rsidRPr="009D2731" w:rsidRDefault="009D2731" w:rsidP="00A03C46">
            <w:pPr>
              <w:tabs>
                <w:tab w:val="left" w:pos="2370"/>
              </w:tabs>
              <w:rPr>
                <w:szCs w:val="22"/>
              </w:rPr>
            </w:pPr>
            <w:r w:rsidRPr="009D2731">
              <w:rPr>
                <w:szCs w:val="22"/>
              </w:rPr>
              <w:t>(b)</w:t>
            </w:r>
          </w:p>
        </w:tc>
        <w:tc>
          <w:tcPr>
            <w:tcW w:w="1134" w:type="dxa"/>
          </w:tcPr>
          <w:p w:rsidR="009D2731" w:rsidRPr="009D2731" w:rsidRDefault="009D2731" w:rsidP="00A03C46">
            <w:pPr>
              <w:tabs>
                <w:tab w:val="left" w:pos="2370"/>
              </w:tabs>
              <w:rPr>
                <w:szCs w:val="22"/>
              </w:rPr>
            </w:pPr>
            <w:r w:rsidRPr="009D2731">
              <w:rPr>
                <w:szCs w:val="22"/>
              </w:rPr>
              <w:t>2020</w:t>
            </w:r>
          </w:p>
        </w:tc>
        <w:tc>
          <w:tcPr>
            <w:tcW w:w="1366" w:type="dxa"/>
          </w:tcPr>
          <w:p w:rsidR="009D2731" w:rsidRPr="009D2731" w:rsidRDefault="009D2731" w:rsidP="00A03C46">
            <w:pPr>
              <w:tabs>
                <w:tab w:val="left" w:pos="2370"/>
              </w:tabs>
              <w:jc w:val="right"/>
              <w:rPr>
                <w:szCs w:val="22"/>
              </w:rPr>
            </w:pPr>
            <w:r w:rsidRPr="009D2731">
              <w:rPr>
                <w:szCs w:val="22"/>
              </w:rPr>
              <w:t>974,179</w:t>
            </w:r>
          </w:p>
        </w:tc>
        <w:tc>
          <w:tcPr>
            <w:tcW w:w="1186" w:type="dxa"/>
          </w:tcPr>
          <w:p w:rsidR="009D2731" w:rsidRPr="009D2731" w:rsidRDefault="009D2731" w:rsidP="00A03C46">
            <w:pPr>
              <w:tabs>
                <w:tab w:val="left" w:pos="2370"/>
              </w:tabs>
              <w:jc w:val="center"/>
              <w:rPr>
                <w:szCs w:val="22"/>
              </w:rPr>
            </w:pPr>
            <w:r w:rsidRPr="009D2731">
              <w:rPr>
                <w:szCs w:val="22"/>
              </w:rPr>
              <w:t>84,8%</w:t>
            </w:r>
          </w:p>
        </w:tc>
        <w:tc>
          <w:tcPr>
            <w:tcW w:w="425" w:type="dxa"/>
            <w:vMerge/>
          </w:tcPr>
          <w:p w:rsidR="009D2731" w:rsidRPr="009D2731" w:rsidRDefault="009D2731" w:rsidP="00A03C46">
            <w:pPr>
              <w:tabs>
                <w:tab w:val="left" w:pos="2370"/>
              </w:tabs>
              <w:rPr>
                <w:szCs w:val="22"/>
              </w:rPr>
            </w:pPr>
          </w:p>
        </w:tc>
        <w:tc>
          <w:tcPr>
            <w:tcW w:w="1559" w:type="dxa"/>
          </w:tcPr>
          <w:p w:rsidR="009D2731" w:rsidRPr="009D2731" w:rsidRDefault="009D2731" w:rsidP="00A03C46">
            <w:pPr>
              <w:tabs>
                <w:tab w:val="left" w:pos="2370"/>
              </w:tabs>
              <w:jc w:val="right"/>
              <w:rPr>
                <w:szCs w:val="22"/>
              </w:rPr>
            </w:pPr>
            <w:r w:rsidRPr="009D2731">
              <w:rPr>
                <w:szCs w:val="22"/>
              </w:rPr>
              <w:t>888,383</w:t>
            </w:r>
          </w:p>
        </w:tc>
        <w:tc>
          <w:tcPr>
            <w:tcW w:w="3402" w:type="dxa"/>
          </w:tcPr>
          <w:p w:rsidR="009D2731" w:rsidRPr="009D2731" w:rsidRDefault="009D2731" w:rsidP="00A03C46">
            <w:pPr>
              <w:tabs>
                <w:tab w:val="left" w:pos="2370"/>
              </w:tabs>
              <w:jc w:val="center"/>
              <w:rPr>
                <w:szCs w:val="22"/>
              </w:rPr>
            </w:pPr>
            <w:r w:rsidRPr="009D2731">
              <w:rPr>
                <w:szCs w:val="22"/>
              </w:rPr>
              <w:t>77,2%</w:t>
            </w:r>
          </w:p>
        </w:tc>
      </w:tr>
      <w:tr w:rsidR="009D2731" w:rsidRPr="009D2731" w:rsidTr="009D2731">
        <w:tc>
          <w:tcPr>
            <w:tcW w:w="567" w:type="dxa"/>
          </w:tcPr>
          <w:p w:rsidR="009D2731" w:rsidRPr="009D2731" w:rsidRDefault="009D2731" w:rsidP="00A03C46">
            <w:pPr>
              <w:tabs>
                <w:tab w:val="left" w:pos="2370"/>
              </w:tabs>
              <w:rPr>
                <w:szCs w:val="22"/>
              </w:rPr>
            </w:pPr>
            <w:r w:rsidRPr="009D2731">
              <w:rPr>
                <w:szCs w:val="22"/>
              </w:rPr>
              <w:t>(c)</w:t>
            </w:r>
          </w:p>
        </w:tc>
        <w:tc>
          <w:tcPr>
            <w:tcW w:w="1134" w:type="dxa"/>
          </w:tcPr>
          <w:p w:rsidR="009D2731" w:rsidRPr="009D2731" w:rsidRDefault="009D2731" w:rsidP="00A03C46">
            <w:pPr>
              <w:tabs>
                <w:tab w:val="left" w:pos="2370"/>
              </w:tabs>
              <w:rPr>
                <w:szCs w:val="22"/>
              </w:rPr>
            </w:pPr>
            <w:r w:rsidRPr="009D2731">
              <w:rPr>
                <w:szCs w:val="22"/>
              </w:rPr>
              <w:t>2021</w:t>
            </w:r>
          </w:p>
        </w:tc>
        <w:tc>
          <w:tcPr>
            <w:tcW w:w="1366" w:type="dxa"/>
          </w:tcPr>
          <w:p w:rsidR="009D2731" w:rsidRPr="009D2731" w:rsidRDefault="009D2731" w:rsidP="00A03C46">
            <w:pPr>
              <w:tabs>
                <w:tab w:val="left" w:pos="2370"/>
              </w:tabs>
              <w:jc w:val="right"/>
              <w:rPr>
                <w:szCs w:val="22"/>
              </w:rPr>
            </w:pPr>
            <w:r w:rsidRPr="009D2731">
              <w:rPr>
                <w:szCs w:val="22"/>
              </w:rPr>
              <w:t>1,000,082</w:t>
            </w:r>
          </w:p>
        </w:tc>
        <w:tc>
          <w:tcPr>
            <w:tcW w:w="1186" w:type="dxa"/>
          </w:tcPr>
          <w:p w:rsidR="009D2731" w:rsidRPr="009D2731" w:rsidRDefault="009D2731" w:rsidP="00A03C46">
            <w:pPr>
              <w:tabs>
                <w:tab w:val="left" w:pos="2370"/>
              </w:tabs>
              <w:jc w:val="center"/>
              <w:rPr>
                <w:szCs w:val="22"/>
              </w:rPr>
            </w:pPr>
            <w:r w:rsidRPr="009D2731">
              <w:rPr>
                <w:szCs w:val="22"/>
              </w:rPr>
              <w:t>87,5%</w:t>
            </w:r>
          </w:p>
        </w:tc>
        <w:tc>
          <w:tcPr>
            <w:tcW w:w="425" w:type="dxa"/>
            <w:vMerge/>
          </w:tcPr>
          <w:p w:rsidR="009D2731" w:rsidRPr="009D2731" w:rsidRDefault="009D2731" w:rsidP="00A03C46">
            <w:pPr>
              <w:tabs>
                <w:tab w:val="left" w:pos="2370"/>
              </w:tabs>
              <w:rPr>
                <w:szCs w:val="22"/>
              </w:rPr>
            </w:pPr>
          </w:p>
        </w:tc>
        <w:tc>
          <w:tcPr>
            <w:tcW w:w="1559" w:type="dxa"/>
          </w:tcPr>
          <w:p w:rsidR="009D2731" w:rsidRPr="009D2731" w:rsidRDefault="009D2731" w:rsidP="00A03C46">
            <w:pPr>
              <w:tabs>
                <w:tab w:val="left" w:pos="2370"/>
              </w:tabs>
              <w:jc w:val="right"/>
              <w:rPr>
                <w:szCs w:val="22"/>
              </w:rPr>
            </w:pPr>
            <w:r w:rsidRPr="009D2731">
              <w:rPr>
                <w:szCs w:val="22"/>
              </w:rPr>
              <w:t>939,138</w:t>
            </w:r>
          </w:p>
        </w:tc>
        <w:tc>
          <w:tcPr>
            <w:tcW w:w="3402" w:type="dxa"/>
          </w:tcPr>
          <w:p w:rsidR="009D2731" w:rsidRPr="009D2731" w:rsidRDefault="009D2731" w:rsidP="00A03C46">
            <w:pPr>
              <w:tabs>
                <w:tab w:val="left" w:pos="2370"/>
              </w:tabs>
              <w:jc w:val="center"/>
              <w:rPr>
                <w:szCs w:val="22"/>
              </w:rPr>
            </w:pPr>
            <w:r w:rsidRPr="009D2731">
              <w:rPr>
                <w:szCs w:val="22"/>
              </w:rPr>
              <w:t>82,2%</w:t>
            </w:r>
          </w:p>
        </w:tc>
      </w:tr>
    </w:tbl>
    <w:p w:rsidR="009D2731" w:rsidRDefault="009D2731" w:rsidP="009D2731">
      <w:pPr>
        <w:tabs>
          <w:tab w:val="left" w:pos="2370"/>
        </w:tabs>
        <w:rPr>
          <w:sz w:val="24"/>
        </w:rPr>
      </w:pPr>
    </w:p>
    <w:p w:rsidR="009D2731" w:rsidRDefault="009D2731" w:rsidP="009D2731">
      <w:pPr>
        <w:tabs>
          <w:tab w:val="left" w:pos="2370"/>
        </w:tabs>
        <w:ind w:left="709" w:hanging="709"/>
        <w:rPr>
          <w:sz w:val="24"/>
        </w:rPr>
      </w:pPr>
      <w:r>
        <w:rPr>
          <w:sz w:val="24"/>
        </w:rPr>
        <w:t>(2)</w:t>
      </w:r>
      <w:r>
        <w:rPr>
          <w:sz w:val="24"/>
        </w:rPr>
        <w:tab/>
        <w:t>The following table reflects the details in this regard:</w:t>
      </w:r>
    </w:p>
    <w:p w:rsidR="009D2731" w:rsidRDefault="009D2731" w:rsidP="009D2731">
      <w:pPr>
        <w:tabs>
          <w:tab w:val="left" w:pos="2370"/>
        </w:tabs>
        <w:ind w:left="709" w:hanging="709"/>
        <w:rPr>
          <w:sz w:val="24"/>
        </w:rPr>
      </w:pPr>
    </w:p>
    <w:tbl>
      <w:tblPr>
        <w:tblW w:w="4737" w:type="pct"/>
        <w:tblInd w:w="6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2108"/>
        <w:gridCol w:w="2016"/>
        <w:gridCol w:w="2036"/>
        <w:gridCol w:w="1745"/>
        <w:gridCol w:w="1967"/>
      </w:tblGrid>
      <w:tr w:rsidR="009D2731" w:rsidRPr="009D2731" w:rsidTr="009D2731">
        <w:trPr>
          <w:trHeight w:val="300"/>
        </w:trPr>
        <w:tc>
          <w:tcPr>
            <w:tcW w:w="1068" w:type="pct"/>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b/>
                <w:color w:val="000000"/>
                <w:szCs w:val="22"/>
                <w:lang w:eastAsia="en-ZA"/>
              </w:rPr>
            </w:pPr>
            <w:r w:rsidRPr="009D2731">
              <w:rPr>
                <w:b/>
                <w:color w:val="000000"/>
                <w:szCs w:val="22"/>
                <w:lang w:eastAsia="en-ZA"/>
              </w:rPr>
              <w:t xml:space="preserve">PROVINCE </w:t>
            </w:r>
          </w:p>
        </w:tc>
        <w:tc>
          <w:tcPr>
            <w:tcW w:w="1021" w:type="pct"/>
            <w:tcBorders>
              <w:top w:val="single" w:sz="12" w:space="0" w:color="auto"/>
              <w:left w:val="single" w:sz="12" w:space="0" w:color="auto"/>
              <w:bottom w:val="single" w:sz="12" w:space="0" w:color="auto"/>
              <w:right w:val="single" w:sz="12" w:space="0" w:color="auto"/>
            </w:tcBorders>
          </w:tcPr>
          <w:p w:rsidR="009D2731" w:rsidRPr="009D2731" w:rsidRDefault="009D2731" w:rsidP="00A03C46">
            <w:pPr>
              <w:jc w:val="center"/>
              <w:rPr>
                <w:b/>
                <w:color w:val="000000"/>
                <w:szCs w:val="22"/>
                <w:lang w:eastAsia="en-ZA"/>
              </w:rPr>
            </w:pPr>
            <w:r w:rsidRPr="009D2731">
              <w:rPr>
                <w:b/>
                <w:color w:val="000000"/>
                <w:szCs w:val="22"/>
                <w:lang w:eastAsia="en-ZA"/>
              </w:rPr>
              <w:t xml:space="preserve">MEASLES </w:t>
            </w:r>
          </w:p>
        </w:tc>
        <w:tc>
          <w:tcPr>
            <w:tcW w:w="1031" w:type="pct"/>
            <w:tcBorders>
              <w:top w:val="single" w:sz="12" w:space="0" w:color="auto"/>
              <w:left w:val="single" w:sz="12" w:space="0" w:color="auto"/>
              <w:bottom w:val="single" w:sz="12" w:space="0" w:color="auto"/>
              <w:right w:val="single" w:sz="12" w:space="0" w:color="auto"/>
            </w:tcBorders>
            <w:noWrap/>
            <w:vAlign w:val="bottom"/>
            <w:hideMark/>
          </w:tcPr>
          <w:p w:rsidR="009D2731" w:rsidRPr="009D2731" w:rsidRDefault="009D2731" w:rsidP="00A03C46">
            <w:pPr>
              <w:jc w:val="center"/>
              <w:rPr>
                <w:b/>
                <w:color w:val="000000"/>
                <w:szCs w:val="22"/>
                <w:lang w:eastAsia="en-ZA"/>
              </w:rPr>
            </w:pPr>
            <w:r w:rsidRPr="009D2731">
              <w:rPr>
                <w:b/>
                <w:color w:val="000000"/>
                <w:szCs w:val="22"/>
                <w:lang w:eastAsia="en-ZA"/>
              </w:rPr>
              <w:t>2019</w:t>
            </w:r>
          </w:p>
        </w:tc>
        <w:tc>
          <w:tcPr>
            <w:tcW w:w="884" w:type="pct"/>
            <w:tcBorders>
              <w:top w:val="single" w:sz="12" w:space="0" w:color="auto"/>
              <w:left w:val="single" w:sz="12" w:space="0" w:color="auto"/>
              <w:bottom w:val="single" w:sz="12" w:space="0" w:color="auto"/>
              <w:right w:val="single" w:sz="12" w:space="0" w:color="auto"/>
            </w:tcBorders>
            <w:noWrap/>
            <w:vAlign w:val="bottom"/>
            <w:hideMark/>
          </w:tcPr>
          <w:p w:rsidR="009D2731" w:rsidRPr="009D2731" w:rsidRDefault="009D2731" w:rsidP="00A03C46">
            <w:pPr>
              <w:jc w:val="center"/>
              <w:rPr>
                <w:b/>
                <w:color w:val="000000"/>
                <w:szCs w:val="22"/>
                <w:lang w:eastAsia="en-ZA"/>
              </w:rPr>
            </w:pPr>
            <w:r w:rsidRPr="009D2731">
              <w:rPr>
                <w:b/>
                <w:color w:val="000000"/>
                <w:szCs w:val="22"/>
                <w:lang w:eastAsia="en-ZA"/>
              </w:rPr>
              <w:t>2020</w:t>
            </w:r>
          </w:p>
        </w:tc>
        <w:tc>
          <w:tcPr>
            <w:tcW w:w="996" w:type="pct"/>
            <w:tcBorders>
              <w:top w:val="single" w:sz="12" w:space="0" w:color="auto"/>
              <w:left w:val="single" w:sz="12" w:space="0" w:color="auto"/>
              <w:bottom w:val="single" w:sz="12" w:space="0" w:color="auto"/>
              <w:right w:val="single" w:sz="12" w:space="0" w:color="auto"/>
            </w:tcBorders>
            <w:noWrap/>
            <w:vAlign w:val="bottom"/>
            <w:hideMark/>
          </w:tcPr>
          <w:p w:rsidR="009D2731" w:rsidRPr="009D2731" w:rsidRDefault="009D2731" w:rsidP="00A03C46">
            <w:pPr>
              <w:jc w:val="center"/>
              <w:rPr>
                <w:b/>
                <w:color w:val="000000"/>
                <w:szCs w:val="22"/>
                <w:lang w:eastAsia="en-ZA"/>
              </w:rPr>
            </w:pPr>
            <w:r w:rsidRPr="009D2731">
              <w:rPr>
                <w:b/>
                <w:color w:val="000000"/>
                <w:szCs w:val="22"/>
                <w:lang w:eastAsia="en-ZA"/>
              </w:rPr>
              <w:t>2021</w:t>
            </w:r>
          </w:p>
        </w:tc>
      </w:tr>
      <w:tr w:rsidR="009D2731" w:rsidRPr="009D2731" w:rsidTr="009D2731">
        <w:trPr>
          <w:trHeight w:val="103"/>
        </w:trPr>
        <w:tc>
          <w:tcPr>
            <w:tcW w:w="1068" w:type="pct"/>
            <w:vMerge w:val="restart"/>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r w:rsidRPr="009D2731">
              <w:rPr>
                <w:color w:val="000000"/>
                <w:szCs w:val="22"/>
                <w:lang w:eastAsia="en-ZA"/>
              </w:rPr>
              <w:t xml:space="preserve">Eastern Cape </w:t>
            </w:r>
          </w:p>
        </w:tc>
        <w:tc>
          <w:tcPr>
            <w:tcW w:w="1021" w:type="pct"/>
            <w:tcBorders>
              <w:top w:val="single" w:sz="12" w:space="0" w:color="auto"/>
              <w:left w:val="single" w:sz="12" w:space="0" w:color="auto"/>
              <w:bottom w:val="single" w:sz="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1</w:t>
            </w:r>
            <w:r w:rsidRPr="009D2731">
              <w:rPr>
                <w:color w:val="000000"/>
                <w:szCs w:val="22"/>
                <w:vertAlign w:val="superscript"/>
                <w:lang w:eastAsia="en-ZA"/>
              </w:rPr>
              <w:t>st</w:t>
            </w:r>
            <w:r w:rsidRPr="009D2731">
              <w:rPr>
                <w:color w:val="000000"/>
                <w:szCs w:val="22"/>
                <w:lang w:eastAsia="en-ZA"/>
              </w:rPr>
              <w:t xml:space="preserve"> dose</w:t>
            </w:r>
          </w:p>
        </w:tc>
        <w:tc>
          <w:tcPr>
            <w:tcW w:w="1031"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115,357</w:t>
            </w:r>
          </w:p>
        </w:tc>
        <w:tc>
          <w:tcPr>
            <w:tcW w:w="884"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111,609</w:t>
            </w:r>
          </w:p>
        </w:tc>
        <w:tc>
          <w:tcPr>
            <w:tcW w:w="996"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114,320</w:t>
            </w:r>
          </w:p>
        </w:tc>
      </w:tr>
      <w:tr w:rsidR="009D2731" w:rsidRPr="009D2731" w:rsidTr="009D2731">
        <w:trPr>
          <w:trHeight w:val="65"/>
        </w:trPr>
        <w:tc>
          <w:tcPr>
            <w:tcW w:w="1068" w:type="pct"/>
            <w:vMerge/>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p>
        </w:tc>
        <w:tc>
          <w:tcPr>
            <w:tcW w:w="1021" w:type="pct"/>
            <w:tcBorders>
              <w:top w:val="single" w:sz="2" w:space="0" w:color="auto"/>
              <w:left w:val="single" w:sz="12" w:space="0" w:color="auto"/>
              <w:bottom w:val="single" w:sz="1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2</w:t>
            </w:r>
            <w:r w:rsidRPr="009D2731">
              <w:rPr>
                <w:color w:val="000000"/>
                <w:szCs w:val="22"/>
                <w:vertAlign w:val="superscript"/>
                <w:lang w:eastAsia="en-ZA"/>
              </w:rPr>
              <w:t>nd</w:t>
            </w:r>
            <w:r w:rsidRPr="009D2731">
              <w:rPr>
                <w:color w:val="000000"/>
                <w:szCs w:val="22"/>
                <w:lang w:eastAsia="en-ZA"/>
              </w:rPr>
              <w:t xml:space="preserve"> dose </w:t>
            </w:r>
          </w:p>
        </w:tc>
        <w:tc>
          <w:tcPr>
            <w:tcW w:w="1031"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118,254</w:t>
            </w:r>
          </w:p>
        </w:tc>
        <w:tc>
          <w:tcPr>
            <w:tcW w:w="884"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108,060</w:t>
            </w:r>
          </w:p>
        </w:tc>
        <w:tc>
          <w:tcPr>
            <w:tcW w:w="996"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5721DD" w:rsidP="00A03C46">
            <w:pPr>
              <w:jc w:val="right"/>
              <w:rPr>
                <w:color w:val="000000"/>
                <w:szCs w:val="22"/>
                <w:lang w:eastAsia="en-ZA"/>
              </w:rPr>
            </w:pPr>
            <w:r>
              <w:rPr>
                <w:color w:val="000000"/>
                <w:szCs w:val="22"/>
                <w:lang w:eastAsia="en-ZA"/>
              </w:rPr>
              <w:t>1</w:t>
            </w:r>
            <w:bookmarkStart w:id="0" w:name="_GoBack"/>
            <w:bookmarkEnd w:id="0"/>
            <w:r w:rsidR="009D2731" w:rsidRPr="009D2731">
              <w:rPr>
                <w:color w:val="000000"/>
                <w:szCs w:val="22"/>
                <w:lang w:eastAsia="en-ZA"/>
              </w:rPr>
              <w:t>10,055</w:t>
            </w:r>
          </w:p>
        </w:tc>
      </w:tr>
      <w:tr w:rsidR="009D2731" w:rsidRPr="009D2731" w:rsidTr="009D2731">
        <w:trPr>
          <w:trHeight w:val="111"/>
        </w:trPr>
        <w:tc>
          <w:tcPr>
            <w:tcW w:w="1068" w:type="pct"/>
            <w:vMerge w:val="restart"/>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r w:rsidRPr="009D2731">
              <w:rPr>
                <w:color w:val="000000"/>
                <w:szCs w:val="22"/>
                <w:lang w:eastAsia="en-ZA"/>
              </w:rPr>
              <w:t>Free State</w:t>
            </w:r>
          </w:p>
        </w:tc>
        <w:tc>
          <w:tcPr>
            <w:tcW w:w="1021" w:type="pct"/>
            <w:tcBorders>
              <w:top w:val="single" w:sz="12" w:space="0" w:color="auto"/>
              <w:left w:val="single" w:sz="12" w:space="0" w:color="auto"/>
              <w:bottom w:val="single" w:sz="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1</w:t>
            </w:r>
            <w:r w:rsidRPr="009D2731">
              <w:rPr>
                <w:color w:val="000000"/>
                <w:szCs w:val="22"/>
                <w:vertAlign w:val="superscript"/>
                <w:lang w:eastAsia="en-ZA"/>
              </w:rPr>
              <w:t>st</w:t>
            </w:r>
            <w:r w:rsidRPr="009D2731">
              <w:rPr>
                <w:color w:val="000000"/>
                <w:szCs w:val="22"/>
                <w:lang w:eastAsia="en-ZA"/>
              </w:rPr>
              <w:t xml:space="preserve"> dose</w:t>
            </w:r>
          </w:p>
        </w:tc>
        <w:tc>
          <w:tcPr>
            <w:tcW w:w="1031"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41,999</w:t>
            </w:r>
          </w:p>
        </w:tc>
        <w:tc>
          <w:tcPr>
            <w:tcW w:w="884"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43,710</w:t>
            </w:r>
          </w:p>
        </w:tc>
        <w:tc>
          <w:tcPr>
            <w:tcW w:w="996"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44,670</w:t>
            </w:r>
          </w:p>
        </w:tc>
      </w:tr>
      <w:tr w:rsidR="009D2731" w:rsidRPr="009D2731" w:rsidTr="009D2731">
        <w:trPr>
          <w:trHeight w:val="50"/>
        </w:trPr>
        <w:tc>
          <w:tcPr>
            <w:tcW w:w="1068" w:type="pct"/>
            <w:vMerge/>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p>
        </w:tc>
        <w:tc>
          <w:tcPr>
            <w:tcW w:w="1021" w:type="pct"/>
            <w:tcBorders>
              <w:top w:val="single" w:sz="2" w:space="0" w:color="auto"/>
              <w:left w:val="single" w:sz="12" w:space="0" w:color="auto"/>
              <w:bottom w:val="single" w:sz="1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2</w:t>
            </w:r>
            <w:r w:rsidRPr="009D2731">
              <w:rPr>
                <w:color w:val="000000"/>
                <w:szCs w:val="22"/>
                <w:vertAlign w:val="superscript"/>
                <w:lang w:eastAsia="en-ZA"/>
              </w:rPr>
              <w:t>nd</w:t>
            </w:r>
            <w:r w:rsidRPr="009D2731">
              <w:rPr>
                <w:color w:val="000000"/>
                <w:szCs w:val="22"/>
                <w:lang w:eastAsia="en-ZA"/>
              </w:rPr>
              <w:t xml:space="preserve"> dose </w:t>
            </w:r>
          </w:p>
        </w:tc>
        <w:tc>
          <w:tcPr>
            <w:tcW w:w="1031"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38,634</w:t>
            </w:r>
          </w:p>
        </w:tc>
        <w:tc>
          <w:tcPr>
            <w:tcW w:w="884"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38,721</w:t>
            </w:r>
          </w:p>
        </w:tc>
        <w:tc>
          <w:tcPr>
            <w:tcW w:w="996"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39,406</w:t>
            </w:r>
          </w:p>
        </w:tc>
      </w:tr>
      <w:tr w:rsidR="009D2731" w:rsidRPr="009D2731" w:rsidTr="009D2731">
        <w:trPr>
          <w:trHeight w:val="50"/>
        </w:trPr>
        <w:tc>
          <w:tcPr>
            <w:tcW w:w="1068" w:type="pct"/>
            <w:vMerge w:val="restart"/>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r w:rsidRPr="009D2731">
              <w:rPr>
                <w:color w:val="000000"/>
                <w:szCs w:val="22"/>
                <w:lang w:eastAsia="en-ZA"/>
              </w:rPr>
              <w:t>Gauteng</w:t>
            </w:r>
          </w:p>
        </w:tc>
        <w:tc>
          <w:tcPr>
            <w:tcW w:w="1021" w:type="pct"/>
            <w:tcBorders>
              <w:top w:val="single" w:sz="12" w:space="0" w:color="auto"/>
              <w:left w:val="single" w:sz="12" w:space="0" w:color="auto"/>
              <w:bottom w:val="single" w:sz="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1</w:t>
            </w:r>
            <w:r w:rsidRPr="009D2731">
              <w:rPr>
                <w:color w:val="000000"/>
                <w:szCs w:val="22"/>
                <w:vertAlign w:val="superscript"/>
                <w:lang w:eastAsia="en-ZA"/>
              </w:rPr>
              <w:t>st</w:t>
            </w:r>
            <w:r w:rsidRPr="009D2731">
              <w:rPr>
                <w:color w:val="000000"/>
                <w:szCs w:val="22"/>
                <w:lang w:eastAsia="en-ZA"/>
              </w:rPr>
              <w:t xml:space="preserve"> dose</w:t>
            </w:r>
          </w:p>
        </w:tc>
        <w:tc>
          <w:tcPr>
            <w:tcW w:w="1031"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228,967</w:t>
            </w:r>
          </w:p>
        </w:tc>
        <w:tc>
          <w:tcPr>
            <w:tcW w:w="884"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224,802</w:t>
            </w:r>
          </w:p>
        </w:tc>
        <w:tc>
          <w:tcPr>
            <w:tcW w:w="996"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234,553</w:t>
            </w:r>
          </w:p>
        </w:tc>
      </w:tr>
      <w:tr w:rsidR="009D2731" w:rsidRPr="009D2731" w:rsidTr="009D2731">
        <w:trPr>
          <w:trHeight w:val="50"/>
        </w:trPr>
        <w:tc>
          <w:tcPr>
            <w:tcW w:w="1068" w:type="pct"/>
            <w:vMerge/>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p>
        </w:tc>
        <w:tc>
          <w:tcPr>
            <w:tcW w:w="1021" w:type="pct"/>
            <w:tcBorders>
              <w:top w:val="single" w:sz="2" w:space="0" w:color="auto"/>
              <w:left w:val="single" w:sz="12" w:space="0" w:color="auto"/>
              <w:bottom w:val="single" w:sz="1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2</w:t>
            </w:r>
            <w:r w:rsidRPr="009D2731">
              <w:rPr>
                <w:color w:val="000000"/>
                <w:szCs w:val="22"/>
                <w:vertAlign w:val="superscript"/>
                <w:lang w:eastAsia="en-ZA"/>
              </w:rPr>
              <w:t>nd</w:t>
            </w:r>
            <w:r w:rsidRPr="009D2731">
              <w:rPr>
                <w:color w:val="000000"/>
                <w:szCs w:val="22"/>
                <w:lang w:eastAsia="en-ZA"/>
              </w:rPr>
              <w:t xml:space="preserve"> dose </w:t>
            </w:r>
          </w:p>
        </w:tc>
        <w:tc>
          <w:tcPr>
            <w:tcW w:w="1031"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203,020</w:t>
            </w:r>
          </w:p>
        </w:tc>
        <w:tc>
          <w:tcPr>
            <w:tcW w:w="884"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197,829</w:t>
            </w:r>
          </w:p>
        </w:tc>
        <w:tc>
          <w:tcPr>
            <w:tcW w:w="996"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218,545</w:t>
            </w:r>
          </w:p>
        </w:tc>
      </w:tr>
      <w:tr w:rsidR="009D2731" w:rsidRPr="009D2731" w:rsidTr="009D2731">
        <w:trPr>
          <w:trHeight w:val="50"/>
        </w:trPr>
        <w:tc>
          <w:tcPr>
            <w:tcW w:w="1068" w:type="pct"/>
            <w:vMerge w:val="restart"/>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r w:rsidRPr="009D2731">
              <w:rPr>
                <w:color w:val="000000"/>
                <w:szCs w:val="22"/>
                <w:lang w:eastAsia="en-ZA"/>
              </w:rPr>
              <w:t>KwaZulu-Natal</w:t>
            </w:r>
          </w:p>
        </w:tc>
        <w:tc>
          <w:tcPr>
            <w:tcW w:w="1021" w:type="pct"/>
            <w:tcBorders>
              <w:top w:val="single" w:sz="12" w:space="0" w:color="auto"/>
              <w:left w:val="single" w:sz="12" w:space="0" w:color="auto"/>
              <w:bottom w:val="single" w:sz="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1</w:t>
            </w:r>
            <w:r w:rsidRPr="009D2731">
              <w:rPr>
                <w:color w:val="000000"/>
                <w:szCs w:val="22"/>
                <w:vertAlign w:val="superscript"/>
                <w:lang w:eastAsia="en-ZA"/>
              </w:rPr>
              <w:t>st</w:t>
            </w:r>
            <w:r w:rsidRPr="009D2731">
              <w:rPr>
                <w:color w:val="000000"/>
                <w:szCs w:val="22"/>
                <w:lang w:eastAsia="en-ZA"/>
              </w:rPr>
              <w:t xml:space="preserve"> dose</w:t>
            </w:r>
          </w:p>
        </w:tc>
        <w:tc>
          <w:tcPr>
            <w:tcW w:w="1031"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208,524</w:t>
            </w:r>
          </w:p>
        </w:tc>
        <w:tc>
          <w:tcPr>
            <w:tcW w:w="884"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208,825</w:t>
            </w:r>
          </w:p>
        </w:tc>
        <w:tc>
          <w:tcPr>
            <w:tcW w:w="996"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213,695</w:t>
            </w:r>
          </w:p>
        </w:tc>
      </w:tr>
      <w:tr w:rsidR="009D2731" w:rsidRPr="009D2731" w:rsidTr="009D2731">
        <w:trPr>
          <w:trHeight w:val="50"/>
        </w:trPr>
        <w:tc>
          <w:tcPr>
            <w:tcW w:w="1068" w:type="pct"/>
            <w:vMerge/>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p>
        </w:tc>
        <w:tc>
          <w:tcPr>
            <w:tcW w:w="1021" w:type="pct"/>
            <w:tcBorders>
              <w:top w:val="single" w:sz="2" w:space="0" w:color="auto"/>
              <w:left w:val="single" w:sz="12" w:space="0" w:color="auto"/>
              <w:bottom w:val="single" w:sz="1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2</w:t>
            </w:r>
            <w:r w:rsidRPr="009D2731">
              <w:rPr>
                <w:color w:val="000000"/>
                <w:szCs w:val="22"/>
                <w:vertAlign w:val="superscript"/>
                <w:lang w:eastAsia="en-ZA"/>
              </w:rPr>
              <w:t>nd</w:t>
            </w:r>
            <w:r w:rsidRPr="009D2731">
              <w:rPr>
                <w:color w:val="000000"/>
                <w:szCs w:val="22"/>
                <w:lang w:eastAsia="en-ZA"/>
              </w:rPr>
              <w:t xml:space="preserve"> dose </w:t>
            </w:r>
          </w:p>
        </w:tc>
        <w:tc>
          <w:tcPr>
            <w:tcW w:w="1031"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216,419</w:t>
            </w:r>
          </w:p>
        </w:tc>
        <w:tc>
          <w:tcPr>
            <w:tcW w:w="884"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213,090</w:t>
            </w:r>
          </w:p>
        </w:tc>
        <w:tc>
          <w:tcPr>
            <w:tcW w:w="996"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223,628</w:t>
            </w:r>
          </w:p>
        </w:tc>
      </w:tr>
      <w:tr w:rsidR="009D2731" w:rsidRPr="009D2731" w:rsidTr="009D2731">
        <w:trPr>
          <w:trHeight w:val="50"/>
        </w:trPr>
        <w:tc>
          <w:tcPr>
            <w:tcW w:w="1068" w:type="pct"/>
            <w:vMerge w:val="restart"/>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r w:rsidRPr="009D2731">
              <w:rPr>
                <w:color w:val="000000"/>
                <w:szCs w:val="22"/>
                <w:lang w:eastAsia="en-ZA"/>
              </w:rPr>
              <w:t>Limpopo</w:t>
            </w:r>
          </w:p>
        </w:tc>
        <w:tc>
          <w:tcPr>
            <w:tcW w:w="1021" w:type="pct"/>
            <w:tcBorders>
              <w:top w:val="single" w:sz="12" w:space="0" w:color="auto"/>
              <w:left w:val="single" w:sz="12" w:space="0" w:color="auto"/>
              <w:bottom w:val="single" w:sz="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1</w:t>
            </w:r>
            <w:r w:rsidRPr="009D2731">
              <w:rPr>
                <w:color w:val="000000"/>
                <w:szCs w:val="22"/>
                <w:vertAlign w:val="superscript"/>
                <w:lang w:eastAsia="en-ZA"/>
              </w:rPr>
              <w:t>st</w:t>
            </w:r>
            <w:r w:rsidRPr="009D2731">
              <w:rPr>
                <w:color w:val="000000"/>
                <w:szCs w:val="22"/>
                <w:lang w:eastAsia="en-ZA"/>
              </w:rPr>
              <w:t xml:space="preserve"> dose</w:t>
            </w:r>
          </w:p>
        </w:tc>
        <w:tc>
          <w:tcPr>
            <w:tcW w:w="1031"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113,671</w:t>
            </w:r>
          </w:p>
        </w:tc>
        <w:tc>
          <w:tcPr>
            <w:tcW w:w="884"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121,443</w:t>
            </w:r>
          </w:p>
        </w:tc>
        <w:tc>
          <w:tcPr>
            <w:tcW w:w="996"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114,731</w:t>
            </w:r>
          </w:p>
        </w:tc>
      </w:tr>
      <w:tr w:rsidR="009D2731" w:rsidRPr="009D2731" w:rsidTr="009D2731">
        <w:trPr>
          <w:trHeight w:val="50"/>
        </w:trPr>
        <w:tc>
          <w:tcPr>
            <w:tcW w:w="1068" w:type="pct"/>
            <w:vMerge/>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p>
        </w:tc>
        <w:tc>
          <w:tcPr>
            <w:tcW w:w="1021" w:type="pct"/>
            <w:tcBorders>
              <w:top w:val="single" w:sz="2" w:space="0" w:color="auto"/>
              <w:left w:val="single" w:sz="12" w:space="0" w:color="auto"/>
              <w:bottom w:val="single" w:sz="1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2</w:t>
            </w:r>
            <w:r w:rsidRPr="009D2731">
              <w:rPr>
                <w:color w:val="000000"/>
                <w:szCs w:val="22"/>
                <w:vertAlign w:val="superscript"/>
                <w:lang w:eastAsia="en-ZA"/>
              </w:rPr>
              <w:t>nd</w:t>
            </w:r>
            <w:r w:rsidRPr="009D2731">
              <w:rPr>
                <w:color w:val="000000"/>
                <w:szCs w:val="22"/>
                <w:lang w:eastAsia="en-ZA"/>
              </w:rPr>
              <w:t xml:space="preserve"> dose </w:t>
            </w:r>
          </w:p>
        </w:tc>
        <w:tc>
          <w:tcPr>
            <w:tcW w:w="1031"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102,155</w:t>
            </w:r>
          </w:p>
        </w:tc>
        <w:tc>
          <w:tcPr>
            <w:tcW w:w="884"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103,199</w:t>
            </w:r>
          </w:p>
        </w:tc>
        <w:tc>
          <w:tcPr>
            <w:tcW w:w="996"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101,441</w:t>
            </w:r>
          </w:p>
        </w:tc>
      </w:tr>
      <w:tr w:rsidR="009D2731" w:rsidRPr="009D2731" w:rsidTr="009D2731">
        <w:trPr>
          <w:trHeight w:val="50"/>
        </w:trPr>
        <w:tc>
          <w:tcPr>
            <w:tcW w:w="1068" w:type="pct"/>
            <w:vMerge w:val="restart"/>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r w:rsidRPr="009D2731">
              <w:rPr>
                <w:color w:val="000000"/>
                <w:szCs w:val="22"/>
                <w:lang w:eastAsia="en-ZA"/>
              </w:rPr>
              <w:t xml:space="preserve">Mpumalanga </w:t>
            </w:r>
          </w:p>
        </w:tc>
        <w:tc>
          <w:tcPr>
            <w:tcW w:w="1021" w:type="pct"/>
            <w:tcBorders>
              <w:top w:val="single" w:sz="12" w:space="0" w:color="auto"/>
              <w:left w:val="single" w:sz="12" w:space="0" w:color="auto"/>
              <w:bottom w:val="single" w:sz="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1</w:t>
            </w:r>
            <w:r w:rsidRPr="009D2731">
              <w:rPr>
                <w:color w:val="000000"/>
                <w:szCs w:val="22"/>
                <w:vertAlign w:val="superscript"/>
                <w:lang w:eastAsia="en-ZA"/>
              </w:rPr>
              <w:t>st</w:t>
            </w:r>
            <w:r w:rsidRPr="009D2731">
              <w:rPr>
                <w:color w:val="000000"/>
                <w:szCs w:val="22"/>
                <w:lang w:eastAsia="en-ZA"/>
              </w:rPr>
              <w:t xml:space="preserve"> dose</w:t>
            </w:r>
          </w:p>
        </w:tc>
        <w:tc>
          <w:tcPr>
            <w:tcW w:w="1031"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78,956</w:t>
            </w:r>
          </w:p>
        </w:tc>
        <w:tc>
          <w:tcPr>
            <w:tcW w:w="884"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81,911</w:t>
            </w:r>
          </w:p>
        </w:tc>
        <w:tc>
          <w:tcPr>
            <w:tcW w:w="996"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94,505</w:t>
            </w:r>
          </w:p>
        </w:tc>
      </w:tr>
      <w:tr w:rsidR="009D2731" w:rsidRPr="009D2731" w:rsidTr="009D2731">
        <w:trPr>
          <w:trHeight w:val="50"/>
        </w:trPr>
        <w:tc>
          <w:tcPr>
            <w:tcW w:w="1068" w:type="pct"/>
            <w:vMerge/>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p>
        </w:tc>
        <w:tc>
          <w:tcPr>
            <w:tcW w:w="1021" w:type="pct"/>
            <w:tcBorders>
              <w:top w:val="single" w:sz="2" w:space="0" w:color="auto"/>
              <w:left w:val="single" w:sz="12" w:space="0" w:color="auto"/>
              <w:bottom w:val="single" w:sz="1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2</w:t>
            </w:r>
            <w:r w:rsidRPr="009D2731">
              <w:rPr>
                <w:color w:val="000000"/>
                <w:szCs w:val="22"/>
                <w:vertAlign w:val="superscript"/>
                <w:lang w:eastAsia="en-ZA"/>
              </w:rPr>
              <w:t>nd</w:t>
            </w:r>
            <w:r w:rsidRPr="009D2731">
              <w:rPr>
                <w:color w:val="000000"/>
                <w:szCs w:val="22"/>
                <w:lang w:eastAsia="en-ZA"/>
              </w:rPr>
              <w:t xml:space="preserve"> dose </w:t>
            </w:r>
          </w:p>
        </w:tc>
        <w:tc>
          <w:tcPr>
            <w:tcW w:w="1031"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82,248</w:t>
            </w:r>
          </w:p>
        </w:tc>
        <w:tc>
          <w:tcPr>
            <w:tcW w:w="884"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73,931</w:t>
            </w:r>
          </w:p>
        </w:tc>
        <w:tc>
          <w:tcPr>
            <w:tcW w:w="996"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83,496</w:t>
            </w:r>
          </w:p>
        </w:tc>
      </w:tr>
      <w:tr w:rsidR="009D2731" w:rsidRPr="009D2731" w:rsidTr="009D2731">
        <w:trPr>
          <w:trHeight w:val="50"/>
        </w:trPr>
        <w:tc>
          <w:tcPr>
            <w:tcW w:w="1068" w:type="pct"/>
            <w:vMerge w:val="restart"/>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r w:rsidRPr="009D2731">
              <w:rPr>
                <w:color w:val="000000"/>
                <w:szCs w:val="22"/>
                <w:lang w:eastAsia="en-ZA"/>
              </w:rPr>
              <w:t>Northern Cape</w:t>
            </w:r>
          </w:p>
        </w:tc>
        <w:tc>
          <w:tcPr>
            <w:tcW w:w="1021" w:type="pct"/>
            <w:tcBorders>
              <w:top w:val="single" w:sz="12" w:space="0" w:color="auto"/>
              <w:left w:val="single" w:sz="12" w:space="0" w:color="auto"/>
              <w:bottom w:val="single" w:sz="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1</w:t>
            </w:r>
            <w:r w:rsidRPr="009D2731">
              <w:rPr>
                <w:color w:val="000000"/>
                <w:szCs w:val="22"/>
                <w:vertAlign w:val="superscript"/>
                <w:lang w:eastAsia="en-ZA"/>
              </w:rPr>
              <w:t>st</w:t>
            </w:r>
            <w:r w:rsidRPr="009D2731">
              <w:rPr>
                <w:color w:val="000000"/>
                <w:szCs w:val="22"/>
                <w:lang w:eastAsia="en-ZA"/>
              </w:rPr>
              <w:t xml:space="preserve"> dose</w:t>
            </w:r>
          </w:p>
        </w:tc>
        <w:tc>
          <w:tcPr>
            <w:tcW w:w="1031"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21,038</w:t>
            </w:r>
          </w:p>
        </w:tc>
        <w:tc>
          <w:tcPr>
            <w:tcW w:w="884"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19,875</w:t>
            </w:r>
          </w:p>
        </w:tc>
        <w:tc>
          <w:tcPr>
            <w:tcW w:w="996"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20,802</w:t>
            </w:r>
          </w:p>
        </w:tc>
      </w:tr>
      <w:tr w:rsidR="009D2731" w:rsidRPr="009D2731" w:rsidTr="009D2731">
        <w:trPr>
          <w:trHeight w:val="50"/>
        </w:trPr>
        <w:tc>
          <w:tcPr>
            <w:tcW w:w="1068" w:type="pct"/>
            <w:vMerge/>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p>
        </w:tc>
        <w:tc>
          <w:tcPr>
            <w:tcW w:w="1021" w:type="pct"/>
            <w:tcBorders>
              <w:top w:val="single" w:sz="2" w:space="0" w:color="auto"/>
              <w:left w:val="single" w:sz="12" w:space="0" w:color="auto"/>
              <w:bottom w:val="single" w:sz="1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2</w:t>
            </w:r>
            <w:r w:rsidRPr="009D2731">
              <w:rPr>
                <w:color w:val="000000"/>
                <w:szCs w:val="22"/>
                <w:vertAlign w:val="superscript"/>
                <w:lang w:eastAsia="en-ZA"/>
              </w:rPr>
              <w:t>nd</w:t>
            </w:r>
            <w:r w:rsidRPr="009D2731">
              <w:rPr>
                <w:color w:val="000000"/>
                <w:szCs w:val="22"/>
                <w:lang w:eastAsia="en-ZA"/>
              </w:rPr>
              <w:t xml:space="preserve"> dose </w:t>
            </w:r>
          </w:p>
        </w:tc>
        <w:tc>
          <w:tcPr>
            <w:tcW w:w="1031"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18,404</w:t>
            </w:r>
          </w:p>
        </w:tc>
        <w:tc>
          <w:tcPr>
            <w:tcW w:w="884"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17,596</w:t>
            </w:r>
          </w:p>
        </w:tc>
        <w:tc>
          <w:tcPr>
            <w:tcW w:w="996"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18,007</w:t>
            </w:r>
          </w:p>
        </w:tc>
      </w:tr>
      <w:tr w:rsidR="009D2731" w:rsidRPr="009D2731" w:rsidTr="009D2731">
        <w:trPr>
          <w:trHeight w:val="50"/>
        </w:trPr>
        <w:tc>
          <w:tcPr>
            <w:tcW w:w="1068" w:type="pct"/>
            <w:vMerge w:val="restart"/>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r w:rsidRPr="009D2731">
              <w:rPr>
                <w:color w:val="000000"/>
                <w:szCs w:val="22"/>
                <w:lang w:eastAsia="en-ZA"/>
              </w:rPr>
              <w:t xml:space="preserve">North West </w:t>
            </w:r>
          </w:p>
        </w:tc>
        <w:tc>
          <w:tcPr>
            <w:tcW w:w="1021" w:type="pct"/>
            <w:tcBorders>
              <w:top w:val="single" w:sz="12" w:space="0" w:color="auto"/>
              <w:left w:val="single" w:sz="12" w:space="0" w:color="auto"/>
              <w:bottom w:val="single" w:sz="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1</w:t>
            </w:r>
            <w:r w:rsidRPr="009D2731">
              <w:rPr>
                <w:color w:val="000000"/>
                <w:szCs w:val="22"/>
                <w:vertAlign w:val="superscript"/>
                <w:lang w:eastAsia="en-ZA"/>
              </w:rPr>
              <w:t>st</w:t>
            </w:r>
            <w:r w:rsidRPr="009D2731">
              <w:rPr>
                <w:color w:val="000000"/>
                <w:szCs w:val="22"/>
                <w:lang w:eastAsia="en-ZA"/>
              </w:rPr>
              <w:t xml:space="preserve"> dose</w:t>
            </w:r>
          </w:p>
        </w:tc>
        <w:tc>
          <w:tcPr>
            <w:tcW w:w="1031"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57,099</w:t>
            </w:r>
          </w:p>
        </w:tc>
        <w:tc>
          <w:tcPr>
            <w:tcW w:w="884"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57,225</w:t>
            </w:r>
          </w:p>
        </w:tc>
        <w:tc>
          <w:tcPr>
            <w:tcW w:w="996" w:type="pct"/>
            <w:tcBorders>
              <w:top w:val="single" w:sz="12" w:space="0" w:color="auto"/>
              <w:left w:val="single" w:sz="12" w:space="0" w:color="auto"/>
              <w:bottom w:val="single" w:sz="2" w:space="0" w:color="auto"/>
              <w:right w:val="single" w:sz="1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57,624</w:t>
            </w:r>
          </w:p>
        </w:tc>
      </w:tr>
      <w:tr w:rsidR="009D2731" w:rsidRPr="009D2731" w:rsidTr="009D2731">
        <w:trPr>
          <w:trHeight w:val="50"/>
        </w:trPr>
        <w:tc>
          <w:tcPr>
            <w:tcW w:w="1068" w:type="pct"/>
            <w:vMerge/>
            <w:tcBorders>
              <w:top w:val="single" w:sz="12" w:space="0" w:color="auto"/>
              <w:left w:val="single" w:sz="12" w:space="0" w:color="auto"/>
              <w:bottom w:val="single" w:sz="12" w:space="0" w:color="auto"/>
              <w:right w:val="single" w:sz="12" w:space="0" w:color="auto"/>
            </w:tcBorders>
            <w:vAlign w:val="center"/>
          </w:tcPr>
          <w:p w:rsidR="009D2731" w:rsidRPr="009D2731" w:rsidRDefault="009D2731" w:rsidP="00A03C46">
            <w:pPr>
              <w:rPr>
                <w:color w:val="000000"/>
                <w:szCs w:val="22"/>
                <w:lang w:eastAsia="en-ZA"/>
              </w:rPr>
            </w:pPr>
          </w:p>
        </w:tc>
        <w:tc>
          <w:tcPr>
            <w:tcW w:w="1021" w:type="pct"/>
            <w:tcBorders>
              <w:top w:val="single" w:sz="2" w:space="0" w:color="auto"/>
              <w:left w:val="single" w:sz="12" w:space="0" w:color="auto"/>
              <w:bottom w:val="single" w:sz="12" w:space="0" w:color="auto"/>
              <w:right w:val="single" w:sz="12" w:space="0" w:color="auto"/>
            </w:tcBorders>
          </w:tcPr>
          <w:p w:rsidR="009D2731" w:rsidRPr="009D2731" w:rsidRDefault="009D2731" w:rsidP="00A03C46">
            <w:pPr>
              <w:rPr>
                <w:color w:val="000000"/>
                <w:szCs w:val="22"/>
                <w:lang w:eastAsia="en-ZA"/>
              </w:rPr>
            </w:pPr>
            <w:r w:rsidRPr="009D2731">
              <w:rPr>
                <w:color w:val="000000"/>
                <w:szCs w:val="22"/>
                <w:lang w:eastAsia="en-ZA"/>
              </w:rPr>
              <w:t>2</w:t>
            </w:r>
            <w:r w:rsidRPr="009D2731">
              <w:rPr>
                <w:color w:val="000000"/>
                <w:szCs w:val="22"/>
                <w:vertAlign w:val="superscript"/>
                <w:lang w:eastAsia="en-ZA"/>
              </w:rPr>
              <w:t>nd</w:t>
            </w:r>
            <w:r w:rsidRPr="009D2731">
              <w:rPr>
                <w:color w:val="000000"/>
                <w:szCs w:val="22"/>
                <w:lang w:eastAsia="en-ZA"/>
              </w:rPr>
              <w:t xml:space="preserve"> dose </w:t>
            </w:r>
          </w:p>
        </w:tc>
        <w:tc>
          <w:tcPr>
            <w:tcW w:w="1031"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54,368</w:t>
            </w:r>
          </w:p>
        </w:tc>
        <w:tc>
          <w:tcPr>
            <w:tcW w:w="884"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49,922</w:t>
            </w:r>
          </w:p>
        </w:tc>
        <w:tc>
          <w:tcPr>
            <w:tcW w:w="996" w:type="pct"/>
            <w:tcBorders>
              <w:top w:val="single" w:sz="2" w:space="0" w:color="auto"/>
              <w:left w:val="single" w:sz="12" w:space="0" w:color="auto"/>
              <w:bottom w:val="single" w:sz="12" w:space="0" w:color="auto"/>
              <w:right w:val="single" w:sz="1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55,187</w:t>
            </w:r>
          </w:p>
        </w:tc>
      </w:tr>
      <w:tr w:rsidR="009D2731" w:rsidRPr="009D2731" w:rsidTr="009D2731">
        <w:trPr>
          <w:trHeight w:val="50"/>
        </w:trPr>
        <w:tc>
          <w:tcPr>
            <w:tcW w:w="1068" w:type="pct"/>
            <w:vMerge w:val="restart"/>
            <w:tcBorders>
              <w:top w:val="single" w:sz="12" w:space="0" w:color="auto"/>
            </w:tcBorders>
            <w:vAlign w:val="center"/>
          </w:tcPr>
          <w:p w:rsidR="009D2731" w:rsidRPr="009D2731" w:rsidRDefault="009D2731" w:rsidP="00A03C46">
            <w:pPr>
              <w:rPr>
                <w:color w:val="000000"/>
                <w:szCs w:val="22"/>
                <w:lang w:eastAsia="en-ZA"/>
              </w:rPr>
            </w:pPr>
            <w:r w:rsidRPr="009D2731">
              <w:rPr>
                <w:color w:val="000000"/>
                <w:szCs w:val="22"/>
                <w:lang w:eastAsia="en-ZA"/>
              </w:rPr>
              <w:t xml:space="preserve">Western Cape </w:t>
            </w:r>
          </w:p>
        </w:tc>
        <w:tc>
          <w:tcPr>
            <w:tcW w:w="1021" w:type="pct"/>
            <w:tcBorders>
              <w:top w:val="single" w:sz="12" w:space="0" w:color="auto"/>
              <w:bottom w:val="single" w:sz="2" w:space="0" w:color="auto"/>
            </w:tcBorders>
          </w:tcPr>
          <w:p w:rsidR="009D2731" w:rsidRPr="009D2731" w:rsidRDefault="009D2731" w:rsidP="00A03C46">
            <w:pPr>
              <w:rPr>
                <w:color w:val="000000"/>
                <w:szCs w:val="22"/>
                <w:lang w:eastAsia="en-ZA"/>
              </w:rPr>
            </w:pPr>
            <w:r w:rsidRPr="009D2731">
              <w:rPr>
                <w:color w:val="000000"/>
                <w:szCs w:val="22"/>
                <w:lang w:eastAsia="en-ZA"/>
              </w:rPr>
              <w:t>1</w:t>
            </w:r>
            <w:r w:rsidRPr="009D2731">
              <w:rPr>
                <w:color w:val="000000"/>
                <w:szCs w:val="22"/>
                <w:vertAlign w:val="superscript"/>
                <w:lang w:eastAsia="en-ZA"/>
              </w:rPr>
              <w:t>st</w:t>
            </w:r>
            <w:r w:rsidRPr="009D2731">
              <w:rPr>
                <w:color w:val="000000"/>
                <w:szCs w:val="22"/>
                <w:lang w:eastAsia="en-ZA"/>
              </w:rPr>
              <w:t xml:space="preserve"> dose</w:t>
            </w:r>
          </w:p>
        </w:tc>
        <w:tc>
          <w:tcPr>
            <w:tcW w:w="1031" w:type="pct"/>
            <w:tcBorders>
              <w:top w:val="single" w:sz="12" w:space="0" w:color="auto"/>
              <w:bottom w:val="single" w:sz="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100,391</w:t>
            </w:r>
          </w:p>
        </w:tc>
        <w:tc>
          <w:tcPr>
            <w:tcW w:w="884" w:type="pct"/>
            <w:tcBorders>
              <w:top w:val="single" w:sz="12" w:space="0" w:color="auto"/>
              <w:bottom w:val="single" w:sz="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104,779</w:t>
            </w:r>
          </w:p>
        </w:tc>
        <w:tc>
          <w:tcPr>
            <w:tcW w:w="996" w:type="pct"/>
            <w:tcBorders>
              <w:top w:val="single" w:sz="12" w:space="0" w:color="auto"/>
              <w:bottom w:val="single" w:sz="2" w:space="0" w:color="auto"/>
            </w:tcBorders>
            <w:noWrap/>
            <w:vAlign w:val="bottom"/>
            <w:hideMark/>
          </w:tcPr>
          <w:p w:rsidR="009D2731" w:rsidRPr="009D2731" w:rsidRDefault="009D2731" w:rsidP="00A03C46">
            <w:pPr>
              <w:jc w:val="right"/>
              <w:rPr>
                <w:color w:val="000000"/>
                <w:szCs w:val="22"/>
                <w:lang w:eastAsia="en-ZA"/>
              </w:rPr>
            </w:pPr>
            <w:r w:rsidRPr="009D2731">
              <w:rPr>
                <w:color w:val="000000"/>
                <w:szCs w:val="22"/>
                <w:lang w:eastAsia="en-ZA"/>
              </w:rPr>
              <w:t>105,182</w:t>
            </w:r>
          </w:p>
        </w:tc>
      </w:tr>
      <w:tr w:rsidR="009D2731" w:rsidRPr="009D2731" w:rsidTr="009D2731">
        <w:trPr>
          <w:trHeight w:val="35"/>
        </w:trPr>
        <w:tc>
          <w:tcPr>
            <w:tcW w:w="1068" w:type="pct"/>
            <w:vMerge/>
            <w:vAlign w:val="bottom"/>
          </w:tcPr>
          <w:p w:rsidR="009D2731" w:rsidRPr="009D2731" w:rsidRDefault="009D2731" w:rsidP="00A03C46">
            <w:pPr>
              <w:rPr>
                <w:color w:val="000000"/>
                <w:szCs w:val="22"/>
                <w:lang w:eastAsia="en-ZA"/>
              </w:rPr>
            </w:pPr>
          </w:p>
        </w:tc>
        <w:tc>
          <w:tcPr>
            <w:tcW w:w="1021" w:type="pct"/>
            <w:tcBorders>
              <w:top w:val="single" w:sz="2" w:space="0" w:color="auto"/>
            </w:tcBorders>
          </w:tcPr>
          <w:p w:rsidR="009D2731" w:rsidRPr="009D2731" w:rsidRDefault="009D2731" w:rsidP="00A03C46">
            <w:pPr>
              <w:rPr>
                <w:color w:val="000000"/>
                <w:szCs w:val="22"/>
                <w:lang w:eastAsia="en-ZA"/>
              </w:rPr>
            </w:pPr>
            <w:r w:rsidRPr="009D2731">
              <w:rPr>
                <w:color w:val="000000"/>
                <w:szCs w:val="22"/>
                <w:lang w:eastAsia="en-ZA"/>
              </w:rPr>
              <w:t>2</w:t>
            </w:r>
            <w:r w:rsidRPr="009D2731">
              <w:rPr>
                <w:color w:val="000000"/>
                <w:szCs w:val="22"/>
                <w:vertAlign w:val="superscript"/>
                <w:lang w:eastAsia="en-ZA"/>
              </w:rPr>
              <w:t>nd</w:t>
            </w:r>
            <w:r w:rsidRPr="009D2731">
              <w:rPr>
                <w:color w:val="000000"/>
                <w:szCs w:val="22"/>
                <w:lang w:eastAsia="en-ZA"/>
              </w:rPr>
              <w:t xml:space="preserve"> dose </w:t>
            </w:r>
          </w:p>
        </w:tc>
        <w:tc>
          <w:tcPr>
            <w:tcW w:w="1031" w:type="pct"/>
            <w:tcBorders>
              <w:top w:val="single" w:sz="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86,582</w:t>
            </w:r>
          </w:p>
        </w:tc>
        <w:tc>
          <w:tcPr>
            <w:tcW w:w="884" w:type="pct"/>
            <w:tcBorders>
              <w:top w:val="single" w:sz="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86,035</w:t>
            </w:r>
          </w:p>
        </w:tc>
        <w:tc>
          <w:tcPr>
            <w:tcW w:w="996" w:type="pct"/>
            <w:tcBorders>
              <w:top w:val="single" w:sz="2" w:space="0" w:color="auto"/>
            </w:tcBorders>
            <w:noWrap/>
            <w:vAlign w:val="bottom"/>
          </w:tcPr>
          <w:p w:rsidR="009D2731" w:rsidRPr="009D2731" w:rsidRDefault="009D2731" w:rsidP="00A03C46">
            <w:pPr>
              <w:jc w:val="right"/>
              <w:rPr>
                <w:color w:val="000000"/>
                <w:szCs w:val="22"/>
                <w:lang w:eastAsia="en-ZA"/>
              </w:rPr>
            </w:pPr>
            <w:r w:rsidRPr="009D2731">
              <w:rPr>
                <w:color w:val="000000"/>
                <w:szCs w:val="22"/>
                <w:lang w:eastAsia="en-ZA"/>
              </w:rPr>
              <w:t>89,373</w:t>
            </w:r>
          </w:p>
        </w:tc>
      </w:tr>
    </w:tbl>
    <w:p w:rsidR="009D2731" w:rsidRDefault="009D2731" w:rsidP="009D2731">
      <w:pPr>
        <w:pStyle w:val="ListParagraph"/>
        <w:autoSpaceDE w:val="0"/>
        <w:autoSpaceDN w:val="0"/>
        <w:adjustRightInd w:val="0"/>
        <w:ind w:left="567" w:hanging="567"/>
        <w:jc w:val="both"/>
        <w:rPr>
          <w:color w:val="000000"/>
          <w:sz w:val="24"/>
        </w:rPr>
      </w:pPr>
    </w:p>
    <w:p w:rsidR="009D2731" w:rsidRDefault="009D2731" w:rsidP="009D2731">
      <w:pPr>
        <w:pStyle w:val="ListParagraph"/>
        <w:autoSpaceDE w:val="0"/>
        <w:autoSpaceDN w:val="0"/>
        <w:adjustRightInd w:val="0"/>
        <w:ind w:left="709" w:hanging="709"/>
        <w:jc w:val="both"/>
        <w:rPr>
          <w:color w:val="000000"/>
          <w:sz w:val="24"/>
        </w:rPr>
      </w:pPr>
      <w:r>
        <w:rPr>
          <w:color w:val="000000"/>
          <w:sz w:val="24"/>
        </w:rPr>
        <w:lastRenderedPageBreak/>
        <w:t>(3)</w:t>
      </w:r>
      <w:r>
        <w:rPr>
          <w:color w:val="000000"/>
          <w:sz w:val="24"/>
        </w:rPr>
        <w:tab/>
        <w:t>The D</w:t>
      </w:r>
      <w:r w:rsidRPr="00B75E0C">
        <w:rPr>
          <w:color w:val="000000"/>
          <w:sz w:val="24"/>
        </w:rPr>
        <w:t>epartment is implementing four streams of the primary health care (PHC) re</w:t>
      </w:r>
      <w:r>
        <w:rPr>
          <w:color w:val="000000"/>
          <w:sz w:val="24"/>
        </w:rPr>
        <w:t>-</w:t>
      </w:r>
      <w:r w:rsidRPr="00B75E0C">
        <w:rPr>
          <w:color w:val="000000"/>
          <w:sz w:val="24"/>
        </w:rPr>
        <w:t xml:space="preserve">engineering which contribute to the increase in uptake of measles vaccination, namely, PHC Ward-Based Outreach Teams (WBOTS), Integrated School Health Programme </w:t>
      </w:r>
      <w:r>
        <w:rPr>
          <w:color w:val="000000"/>
          <w:sz w:val="24"/>
        </w:rPr>
        <w:t>(</w:t>
      </w:r>
      <w:r w:rsidRPr="00B75E0C">
        <w:rPr>
          <w:color w:val="000000"/>
          <w:sz w:val="24"/>
        </w:rPr>
        <w:t xml:space="preserve">ISHP), the District Clinical Specialist Teams (DCST) and contracting of private healthcare providers. </w:t>
      </w:r>
      <w:r>
        <w:rPr>
          <w:color w:val="000000"/>
          <w:sz w:val="24"/>
        </w:rPr>
        <w:t xml:space="preserve"> </w:t>
      </w:r>
      <w:r w:rsidRPr="00B75E0C">
        <w:rPr>
          <w:color w:val="000000"/>
          <w:sz w:val="24"/>
        </w:rPr>
        <w:t xml:space="preserve">Each of the streams significantly </w:t>
      </w:r>
      <w:proofErr w:type="gramStart"/>
      <w:r w:rsidRPr="00B75E0C">
        <w:rPr>
          <w:color w:val="000000"/>
          <w:sz w:val="24"/>
        </w:rPr>
        <w:t>contribute</w:t>
      </w:r>
      <w:proofErr w:type="gramEnd"/>
      <w:r w:rsidRPr="00B75E0C">
        <w:rPr>
          <w:color w:val="000000"/>
          <w:sz w:val="24"/>
        </w:rPr>
        <w:t xml:space="preserve"> to the immunisation program in the following ways: the WBOTS have a potential role in defaulter tracing. </w:t>
      </w:r>
      <w:r>
        <w:rPr>
          <w:color w:val="000000"/>
          <w:sz w:val="24"/>
        </w:rPr>
        <w:t xml:space="preserve"> </w:t>
      </w:r>
      <w:r w:rsidRPr="00B75E0C">
        <w:rPr>
          <w:color w:val="000000"/>
          <w:sz w:val="24"/>
        </w:rPr>
        <w:t xml:space="preserve">ISHP provide immunisation catch-up at schools to increase coverage. </w:t>
      </w:r>
      <w:r>
        <w:rPr>
          <w:color w:val="000000"/>
          <w:sz w:val="24"/>
        </w:rPr>
        <w:t xml:space="preserve"> </w:t>
      </w:r>
      <w:r w:rsidRPr="00B75E0C">
        <w:rPr>
          <w:color w:val="000000"/>
          <w:sz w:val="24"/>
        </w:rPr>
        <w:t>The DCSTs have a role to play in clinical governance (ensuring implementation of all policies and guidelines).</w:t>
      </w:r>
      <w:r>
        <w:rPr>
          <w:color w:val="000000"/>
          <w:sz w:val="24"/>
        </w:rPr>
        <w:t xml:space="preserve"> </w:t>
      </w:r>
      <w:r w:rsidRPr="00B75E0C">
        <w:rPr>
          <w:color w:val="000000"/>
          <w:sz w:val="24"/>
        </w:rPr>
        <w:t xml:space="preserve"> The private healthcare providers help in identifying and referring children who have missed immunisation doses. </w:t>
      </w:r>
    </w:p>
    <w:p w:rsidR="009D2731" w:rsidRPr="00B75E0C" w:rsidRDefault="009D2731" w:rsidP="009D2731">
      <w:pPr>
        <w:pStyle w:val="ListParagraph"/>
        <w:autoSpaceDE w:val="0"/>
        <w:autoSpaceDN w:val="0"/>
        <w:adjustRightInd w:val="0"/>
        <w:spacing w:after="240"/>
        <w:ind w:left="709"/>
        <w:contextualSpacing w:val="0"/>
        <w:jc w:val="both"/>
        <w:rPr>
          <w:color w:val="000000"/>
          <w:sz w:val="24"/>
        </w:rPr>
      </w:pPr>
      <w:r w:rsidRPr="00B75E0C">
        <w:rPr>
          <w:color w:val="000000"/>
          <w:sz w:val="24"/>
        </w:rPr>
        <w:t>In order to address long-standing inequities in immunisation access thereby reducing the number of zero-dose children, the Department of Health is implementing the followings:</w:t>
      </w:r>
    </w:p>
    <w:p w:rsidR="009D2731" w:rsidRPr="00B75E0C" w:rsidRDefault="009D2731" w:rsidP="009D2731">
      <w:pPr>
        <w:pStyle w:val="ListParagraph"/>
        <w:numPr>
          <w:ilvl w:val="0"/>
          <w:numId w:val="11"/>
        </w:numPr>
        <w:autoSpaceDE w:val="0"/>
        <w:autoSpaceDN w:val="0"/>
        <w:adjustRightInd w:val="0"/>
        <w:spacing w:after="240"/>
        <w:ind w:left="1418" w:hanging="709"/>
        <w:contextualSpacing w:val="0"/>
        <w:jc w:val="both"/>
        <w:rPr>
          <w:color w:val="000000" w:themeColor="text1"/>
          <w:sz w:val="24"/>
        </w:rPr>
      </w:pPr>
      <w:r w:rsidRPr="00B75E0C">
        <w:rPr>
          <w:color w:val="000000" w:themeColor="text1"/>
          <w:sz w:val="24"/>
        </w:rPr>
        <w:t>Reach Every District (RED) Strategy to reduce missed opportunities in childhood vaccination uptake. The RED Strategy emphasizes important areas for vaccination uptake in the country: (1) reducing inequity in immunisation coverage, integration of health services, delivering vaccines beyond infancy using a life course approach, focusing on urban, poor and marginalized populations, and paying special attention to poor performing districts.</w:t>
      </w:r>
    </w:p>
    <w:p w:rsidR="009D2731" w:rsidRPr="00B75E0C" w:rsidRDefault="009D2731" w:rsidP="009D2731">
      <w:pPr>
        <w:pStyle w:val="ListParagraph"/>
        <w:numPr>
          <w:ilvl w:val="0"/>
          <w:numId w:val="11"/>
        </w:numPr>
        <w:autoSpaceDE w:val="0"/>
        <w:autoSpaceDN w:val="0"/>
        <w:adjustRightInd w:val="0"/>
        <w:spacing w:after="240"/>
        <w:ind w:left="1418" w:hanging="709"/>
        <w:contextualSpacing w:val="0"/>
        <w:jc w:val="both"/>
        <w:rPr>
          <w:color w:val="000000" w:themeColor="text1"/>
          <w:sz w:val="24"/>
        </w:rPr>
      </w:pPr>
      <w:r w:rsidRPr="00B75E0C">
        <w:rPr>
          <w:color w:val="000000" w:themeColor="text1"/>
          <w:sz w:val="24"/>
        </w:rPr>
        <w:t xml:space="preserve">Under-5 Side-by-Side campaign by the Department that ensures all children survive and thrive, by improving coverage of key </w:t>
      </w:r>
      <w:proofErr w:type="spellStart"/>
      <w:r w:rsidRPr="00B75E0C">
        <w:rPr>
          <w:color w:val="000000" w:themeColor="text1"/>
          <w:sz w:val="24"/>
        </w:rPr>
        <w:t>promotive</w:t>
      </w:r>
      <w:proofErr w:type="spellEnd"/>
      <w:r w:rsidRPr="00B75E0C">
        <w:rPr>
          <w:color w:val="000000" w:themeColor="text1"/>
          <w:sz w:val="24"/>
        </w:rPr>
        <w:t>, preventive and curative interventions with inclusive of measles vaccination and childhood vaccination in general. Five key themes of under-five are: (1) good nutrition to grow and be healthy; (2) love, play and talk for healthy development; (3) protection from preventable childhood illnesses and injuries; (4) health care for sick children and (5) special care for children who need a little more help. This campaign also focuses on the supportive relationship between child and caregiver, as well as the relationship with practitioners, including health-care workers, who help and advise the caregiver</w:t>
      </w:r>
    </w:p>
    <w:p w:rsidR="009D2731" w:rsidRPr="00B75E0C" w:rsidRDefault="009D2731" w:rsidP="009D2731">
      <w:pPr>
        <w:pStyle w:val="ListParagraph"/>
        <w:numPr>
          <w:ilvl w:val="0"/>
          <w:numId w:val="11"/>
        </w:numPr>
        <w:autoSpaceDE w:val="0"/>
        <w:autoSpaceDN w:val="0"/>
        <w:adjustRightInd w:val="0"/>
        <w:spacing w:after="240"/>
        <w:ind w:left="1418" w:hanging="709"/>
        <w:contextualSpacing w:val="0"/>
        <w:jc w:val="both"/>
        <w:rPr>
          <w:color w:val="000000" w:themeColor="text1"/>
          <w:sz w:val="24"/>
        </w:rPr>
      </w:pPr>
      <w:r w:rsidRPr="00B75E0C">
        <w:rPr>
          <w:color w:val="000000" w:themeColor="text1"/>
          <w:sz w:val="24"/>
        </w:rPr>
        <w:t>In November 2020, the country intensified immunisation catch-up drive in all districts. The catch-up drive reduced number of zero-dose children from 125,923 in 2020 to 104,153 in 2021. The delivery of both routine and catch-up immunisation doses forms part of a coordinated effort to improve access to high-quality, affordable primary health to achieve universal health coverage and accelerate progress towards the 2030 Sustainable Development Goals (SDGs)</w:t>
      </w:r>
    </w:p>
    <w:p w:rsidR="009D2731" w:rsidRPr="00B75E0C" w:rsidRDefault="009D2731" w:rsidP="009D2731">
      <w:pPr>
        <w:pStyle w:val="ListParagraph"/>
        <w:numPr>
          <w:ilvl w:val="0"/>
          <w:numId w:val="11"/>
        </w:numPr>
        <w:autoSpaceDE w:val="0"/>
        <w:autoSpaceDN w:val="0"/>
        <w:adjustRightInd w:val="0"/>
        <w:spacing w:after="240"/>
        <w:ind w:left="1418" w:hanging="709"/>
        <w:contextualSpacing w:val="0"/>
        <w:jc w:val="both"/>
        <w:rPr>
          <w:color w:val="000000" w:themeColor="text1"/>
          <w:sz w:val="24"/>
        </w:rPr>
      </w:pPr>
      <w:r w:rsidRPr="00B75E0C">
        <w:rPr>
          <w:color w:val="000000" w:themeColor="text1"/>
          <w:sz w:val="24"/>
        </w:rPr>
        <w:t>The country as a member state of the global community has endorsed the global Measles and Rubella Strategic Plan (MRSP) 2021 - 2030 which outlines guiding principles that provide a foundation for all measles and rubella control efforts. The Department is using this strategic plan as a guiding principle to secure the commitment and action required for a country free of measles transmission. In line with global measles strategy, the Department has endorsed international measles coverage target of reaching 90% of children with both 1</w:t>
      </w:r>
      <w:r w:rsidRPr="00B75E0C">
        <w:rPr>
          <w:color w:val="000000" w:themeColor="text1"/>
          <w:sz w:val="24"/>
          <w:vertAlign w:val="superscript"/>
        </w:rPr>
        <w:t>st</w:t>
      </w:r>
      <w:r w:rsidRPr="00B75E0C">
        <w:rPr>
          <w:color w:val="000000" w:themeColor="text1"/>
          <w:sz w:val="24"/>
        </w:rPr>
        <w:t xml:space="preserve"> and 2</w:t>
      </w:r>
      <w:r w:rsidRPr="00B75E0C">
        <w:rPr>
          <w:color w:val="000000" w:themeColor="text1"/>
          <w:sz w:val="24"/>
          <w:vertAlign w:val="superscript"/>
        </w:rPr>
        <w:t>nd</w:t>
      </w:r>
      <w:r w:rsidRPr="00B75E0C">
        <w:rPr>
          <w:color w:val="000000" w:themeColor="text1"/>
          <w:sz w:val="24"/>
        </w:rPr>
        <w:t xml:space="preserve"> dose in all districts to reach desirable population immunity levels. As part of implementing Global Measles and Rubella Strategic Plan, the Department together with NICD implement Integrated Disease Surveillance and Response (IDSR) system. The system makes case-based surveillance and laboratory data more usable and strengthen outbreak response measures at all levels of healthcare. Through implementation of IDSR, the country is utilising Notifiable Medical Conditions Surveillance (NMC) Application (NMC APP) for mobile devices. The NMC App </w:t>
      </w:r>
      <w:proofErr w:type="gramStart"/>
      <w:r w:rsidRPr="00B75E0C">
        <w:rPr>
          <w:color w:val="000000" w:themeColor="text1"/>
          <w:sz w:val="24"/>
        </w:rPr>
        <w:t>enable</w:t>
      </w:r>
      <w:proofErr w:type="gramEnd"/>
      <w:r w:rsidRPr="00B75E0C">
        <w:rPr>
          <w:color w:val="000000" w:themeColor="text1"/>
          <w:sz w:val="24"/>
        </w:rPr>
        <w:t xml:space="preserve"> healthcare practitioners to promptly report NMCs for appropriate and timely public health response. The IDSR uses outbreaks as an entry point to identifying unvaccinated communities and strengthening immunisation system. </w:t>
      </w:r>
    </w:p>
    <w:p w:rsidR="009D2731" w:rsidRPr="00B75E0C" w:rsidRDefault="009D2731" w:rsidP="009D2731">
      <w:pPr>
        <w:pStyle w:val="ListParagraph"/>
        <w:numPr>
          <w:ilvl w:val="0"/>
          <w:numId w:val="11"/>
        </w:numPr>
        <w:autoSpaceDE w:val="0"/>
        <w:autoSpaceDN w:val="0"/>
        <w:adjustRightInd w:val="0"/>
        <w:spacing w:after="240"/>
        <w:ind w:left="1418" w:hanging="709"/>
        <w:contextualSpacing w:val="0"/>
        <w:jc w:val="both"/>
        <w:rPr>
          <w:color w:val="000000" w:themeColor="text1"/>
          <w:sz w:val="24"/>
        </w:rPr>
      </w:pPr>
      <w:r w:rsidRPr="00B75E0C">
        <w:rPr>
          <w:color w:val="000000" w:themeColor="text1"/>
          <w:sz w:val="24"/>
        </w:rPr>
        <w:t>The Department is also using Stock Visibility System (SVS) that enables the electronic communication of medicine availability data from PHC level into upstream electronic stock management systems. The SVS helps to monitor availability of vaccines in facilities and expedites vaccine deliveries to prevent stock outs.</w:t>
      </w:r>
    </w:p>
    <w:p w:rsidR="009D2731" w:rsidRDefault="009D2731" w:rsidP="009D2731">
      <w:pPr>
        <w:ind w:left="709" w:hanging="709"/>
        <w:rPr>
          <w:sz w:val="24"/>
        </w:rPr>
      </w:pPr>
      <w:r>
        <w:rPr>
          <w:sz w:val="24"/>
        </w:rPr>
        <w:t>(4)</w:t>
      </w:r>
      <w:r>
        <w:rPr>
          <w:sz w:val="24"/>
        </w:rPr>
        <w:tab/>
        <w:t>The following table reflects the details in this regard:</w:t>
      </w:r>
    </w:p>
    <w:p w:rsidR="009D2731" w:rsidRDefault="009D2731" w:rsidP="009D2731">
      <w:pPr>
        <w:ind w:left="709" w:hanging="709"/>
        <w:rPr>
          <w:sz w:val="24"/>
        </w:rPr>
      </w:pPr>
    </w:p>
    <w:tbl>
      <w:tblPr>
        <w:tblW w:w="4667" w:type="pct"/>
        <w:tblInd w:w="6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2112"/>
        <w:gridCol w:w="2099"/>
        <w:gridCol w:w="1743"/>
        <w:gridCol w:w="2033"/>
        <w:gridCol w:w="1739"/>
      </w:tblGrid>
      <w:tr w:rsidR="009D2731" w:rsidTr="009D2731">
        <w:trPr>
          <w:trHeight w:val="300"/>
        </w:trPr>
        <w:tc>
          <w:tcPr>
            <w:tcW w:w="1086" w:type="pct"/>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b/>
                <w:color w:val="000000"/>
                <w:sz w:val="24"/>
                <w:lang w:eastAsia="en-ZA"/>
              </w:rPr>
            </w:pPr>
            <w:r w:rsidRPr="001877CD">
              <w:rPr>
                <w:b/>
                <w:color w:val="000000"/>
                <w:sz w:val="24"/>
                <w:lang w:eastAsia="en-ZA"/>
              </w:rPr>
              <w:t xml:space="preserve">PROVINCE </w:t>
            </w:r>
          </w:p>
        </w:tc>
        <w:tc>
          <w:tcPr>
            <w:tcW w:w="1079" w:type="pct"/>
            <w:tcBorders>
              <w:top w:val="single" w:sz="12" w:space="0" w:color="auto"/>
              <w:left w:val="single" w:sz="12" w:space="0" w:color="auto"/>
              <w:bottom w:val="single" w:sz="12" w:space="0" w:color="auto"/>
              <w:right w:val="single" w:sz="12" w:space="0" w:color="auto"/>
            </w:tcBorders>
          </w:tcPr>
          <w:p w:rsidR="009D2731" w:rsidRPr="001877CD" w:rsidRDefault="009D2731" w:rsidP="00A03C46">
            <w:pPr>
              <w:jc w:val="center"/>
              <w:rPr>
                <w:b/>
                <w:color w:val="000000"/>
                <w:sz w:val="24"/>
                <w:lang w:eastAsia="en-ZA"/>
              </w:rPr>
            </w:pPr>
            <w:r w:rsidRPr="001877CD">
              <w:rPr>
                <w:b/>
                <w:color w:val="000000"/>
                <w:sz w:val="24"/>
                <w:lang w:eastAsia="en-ZA"/>
              </w:rPr>
              <w:t xml:space="preserve">MEASLES </w:t>
            </w:r>
          </w:p>
        </w:tc>
        <w:tc>
          <w:tcPr>
            <w:tcW w:w="896" w:type="pct"/>
            <w:tcBorders>
              <w:top w:val="single" w:sz="12" w:space="0" w:color="auto"/>
              <w:left w:val="single" w:sz="12" w:space="0" w:color="auto"/>
              <w:bottom w:val="single" w:sz="12" w:space="0" w:color="auto"/>
              <w:right w:val="single" w:sz="12" w:space="0" w:color="auto"/>
            </w:tcBorders>
            <w:noWrap/>
            <w:vAlign w:val="bottom"/>
            <w:hideMark/>
          </w:tcPr>
          <w:p w:rsidR="009D2731" w:rsidRPr="001877CD" w:rsidRDefault="009D2731" w:rsidP="00A03C46">
            <w:pPr>
              <w:jc w:val="center"/>
              <w:rPr>
                <w:b/>
                <w:color w:val="000000"/>
                <w:sz w:val="24"/>
                <w:lang w:eastAsia="en-ZA"/>
              </w:rPr>
            </w:pPr>
            <w:r w:rsidRPr="001877CD">
              <w:rPr>
                <w:b/>
                <w:color w:val="000000"/>
                <w:sz w:val="24"/>
                <w:lang w:eastAsia="en-ZA"/>
              </w:rPr>
              <w:t>2019</w:t>
            </w:r>
          </w:p>
        </w:tc>
        <w:tc>
          <w:tcPr>
            <w:tcW w:w="1045" w:type="pct"/>
            <w:tcBorders>
              <w:top w:val="single" w:sz="12" w:space="0" w:color="auto"/>
              <w:left w:val="single" w:sz="12" w:space="0" w:color="auto"/>
              <w:bottom w:val="single" w:sz="12" w:space="0" w:color="auto"/>
              <w:right w:val="single" w:sz="12" w:space="0" w:color="auto"/>
            </w:tcBorders>
            <w:noWrap/>
            <w:vAlign w:val="bottom"/>
            <w:hideMark/>
          </w:tcPr>
          <w:p w:rsidR="009D2731" w:rsidRPr="001877CD" w:rsidRDefault="009D2731" w:rsidP="00A03C46">
            <w:pPr>
              <w:jc w:val="center"/>
              <w:rPr>
                <w:b/>
                <w:color w:val="000000"/>
                <w:sz w:val="24"/>
                <w:lang w:eastAsia="en-ZA"/>
              </w:rPr>
            </w:pPr>
            <w:r w:rsidRPr="001877CD">
              <w:rPr>
                <w:b/>
                <w:color w:val="000000"/>
                <w:sz w:val="24"/>
                <w:lang w:eastAsia="en-ZA"/>
              </w:rPr>
              <w:t>2020</w:t>
            </w:r>
          </w:p>
        </w:tc>
        <w:tc>
          <w:tcPr>
            <w:tcW w:w="894" w:type="pct"/>
            <w:tcBorders>
              <w:top w:val="single" w:sz="12" w:space="0" w:color="auto"/>
              <w:left w:val="single" w:sz="12" w:space="0" w:color="auto"/>
              <w:bottom w:val="single" w:sz="12" w:space="0" w:color="auto"/>
              <w:right w:val="single" w:sz="12" w:space="0" w:color="auto"/>
            </w:tcBorders>
            <w:noWrap/>
            <w:vAlign w:val="bottom"/>
            <w:hideMark/>
          </w:tcPr>
          <w:p w:rsidR="009D2731" w:rsidRPr="001877CD" w:rsidRDefault="009D2731" w:rsidP="00A03C46">
            <w:pPr>
              <w:jc w:val="center"/>
              <w:rPr>
                <w:b/>
                <w:color w:val="000000"/>
                <w:sz w:val="24"/>
                <w:lang w:eastAsia="en-ZA"/>
              </w:rPr>
            </w:pPr>
            <w:r w:rsidRPr="001877CD">
              <w:rPr>
                <w:b/>
                <w:color w:val="000000"/>
                <w:sz w:val="24"/>
                <w:lang w:eastAsia="en-ZA"/>
              </w:rPr>
              <w:t>2021</w:t>
            </w:r>
          </w:p>
        </w:tc>
      </w:tr>
      <w:tr w:rsidR="009D2731" w:rsidTr="009D2731">
        <w:trPr>
          <w:trHeight w:val="300"/>
        </w:trPr>
        <w:tc>
          <w:tcPr>
            <w:tcW w:w="1086" w:type="pct"/>
            <w:vMerge w:val="restart"/>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r w:rsidRPr="001877CD">
              <w:rPr>
                <w:color w:val="000000"/>
                <w:sz w:val="24"/>
                <w:lang w:eastAsia="en-ZA"/>
              </w:rPr>
              <w:t xml:space="preserve">Eastern Cape </w:t>
            </w:r>
          </w:p>
        </w:tc>
        <w:tc>
          <w:tcPr>
            <w:tcW w:w="1079" w:type="pct"/>
            <w:tcBorders>
              <w:top w:val="single" w:sz="12" w:space="0" w:color="auto"/>
              <w:left w:val="single" w:sz="12" w:space="0" w:color="auto"/>
              <w:bottom w:val="single" w:sz="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1</w:t>
            </w:r>
            <w:r w:rsidRPr="001877CD">
              <w:rPr>
                <w:color w:val="000000"/>
                <w:sz w:val="24"/>
                <w:vertAlign w:val="superscript"/>
                <w:lang w:eastAsia="en-ZA"/>
              </w:rPr>
              <w:t>st</w:t>
            </w:r>
            <w:r w:rsidRPr="001877CD">
              <w:rPr>
                <w:color w:val="000000"/>
                <w:sz w:val="24"/>
                <w:lang w:eastAsia="en-ZA"/>
              </w:rPr>
              <w:t xml:space="preserve"> dose</w:t>
            </w:r>
          </w:p>
        </w:tc>
        <w:tc>
          <w:tcPr>
            <w:tcW w:w="896"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80.3%</w:t>
            </w:r>
          </w:p>
        </w:tc>
        <w:tc>
          <w:tcPr>
            <w:tcW w:w="1045"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80.1%</w:t>
            </w:r>
          </w:p>
        </w:tc>
        <w:tc>
          <w:tcPr>
            <w:tcW w:w="894"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85.2%</w:t>
            </w:r>
          </w:p>
        </w:tc>
      </w:tr>
      <w:tr w:rsidR="009D2731" w:rsidTr="009D2731">
        <w:trPr>
          <w:trHeight w:val="300"/>
        </w:trPr>
        <w:tc>
          <w:tcPr>
            <w:tcW w:w="1086" w:type="pct"/>
            <w:vMerge/>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p>
        </w:tc>
        <w:tc>
          <w:tcPr>
            <w:tcW w:w="1079" w:type="pct"/>
            <w:tcBorders>
              <w:top w:val="single" w:sz="2" w:space="0" w:color="auto"/>
              <w:left w:val="single" w:sz="12" w:space="0" w:color="auto"/>
              <w:bottom w:val="single" w:sz="1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2</w:t>
            </w:r>
            <w:r w:rsidRPr="001877CD">
              <w:rPr>
                <w:color w:val="000000"/>
                <w:sz w:val="24"/>
                <w:vertAlign w:val="superscript"/>
                <w:lang w:eastAsia="en-ZA"/>
              </w:rPr>
              <w:t>nd</w:t>
            </w:r>
            <w:r w:rsidRPr="001877CD">
              <w:rPr>
                <w:color w:val="000000"/>
                <w:sz w:val="24"/>
                <w:lang w:eastAsia="en-ZA"/>
              </w:rPr>
              <w:t xml:space="preserve"> dose </w:t>
            </w:r>
          </w:p>
        </w:tc>
        <w:tc>
          <w:tcPr>
            <w:tcW w:w="896"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82.3%</w:t>
            </w:r>
          </w:p>
        </w:tc>
        <w:tc>
          <w:tcPr>
            <w:tcW w:w="1045"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77.2%</w:t>
            </w:r>
          </w:p>
        </w:tc>
        <w:tc>
          <w:tcPr>
            <w:tcW w:w="894"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80.9%</w:t>
            </w:r>
          </w:p>
        </w:tc>
      </w:tr>
      <w:tr w:rsidR="009D2731" w:rsidTr="009D2731">
        <w:trPr>
          <w:trHeight w:val="300"/>
        </w:trPr>
        <w:tc>
          <w:tcPr>
            <w:tcW w:w="1086" w:type="pct"/>
            <w:vMerge w:val="restart"/>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r w:rsidRPr="001877CD">
              <w:rPr>
                <w:color w:val="000000"/>
                <w:sz w:val="24"/>
                <w:lang w:eastAsia="en-ZA"/>
              </w:rPr>
              <w:t>Free State</w:t>
            </w:r>
          </w:p>
        </w:tc>
        <w:tc>
          <w:tcPr>
            <w:tcW w:w="1079" w:type="pct"/>
            <w:tcBorders>
              <w:top w:val="single" w:sz="12" w:space="0" w:color="auto"/>
              <w:left w:val="single" w:sz="12" w:space="0" w:color="auto"/>
              <w:bottom w:val="single" w:sz="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1</w:t>
            </w:r>
            <w:r w:rsidRPr="001877CD">
              <w:rPr>
                <w:color w:val="000000"/>
                <w:sz w:val="24"/>
                <w:vertAlign w:val="superscript"/>
                <w:lang w:eastAsia="en-ZA"/>
              </w:rPr>
              <w:t>st</w:t>
            </w:r>
            <w:r w:rsidRPr="001877CD">
              <w:rPr>
                <w:color w:val="000000"/>
                <w:sz w:val="24"/>
                <w:lang w:eastAsia="en-ZA"/>
              </w:rPr>
              <w:t xml:space="preserve"> dose</w:t>
            </w:r>
          </w:p>
        </w:tc>
        <w:tc>
          <w:tcPr>
            <w:tcW w:w="896"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78.6%</w:t>
            </w:r>
          </w:p>
        </w:tc>
        <w:tc>
          <w:tcPr>
            <w:tcW w:w="1045"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83.3%</w:t>
            </w:r>
          </w:p>
        </w:tc>
        <w:tc>
          <w:tcPr>
            <w:tcW w:w="894"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87.3%</w:t>
            </w:r>
          </w:p>
        </w:tc>
      </w:tr>
      <w:tr w:rsidR="009D2731" w:rsidTr="009D2731">
        <w:trPr>
          <w:trHeight w:val="300"/>
        </w:trPr>
        <w:tc>
          <w:tcPr>
            <w:tcW w:w="1086" w:type="pct"/>
            <w:vMerge/>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p>
        </w:tc>
        <w:tc>
          <w:tcPr>
            <w:tcW w:w="1079" w:type="pct"/>
            <w:tcBorders>
              <w:top w:val="single" w:sz="2" w:space="0" w:color="auto"/>
              <w:left w:val="single" w:sz="12" w:space="0" w:color="auto"/>
              <w:bottom w:val="single" w:sz="1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2</w:t>
            </w:r>
            <w:r w:rsidRPr="001877CD">
              <w:rPr>
                <w:color w:val="000000"/>
                <w:sz w:val="24"/>
                <w:vertAlign w:val="superscript"/>
                <w:lang w:eastAsia="en-ZA"/>
              </w:rPr>
              <w:t>nd</w:t>
            </w:r>
            <w:r w:rsidRPr="001877CD">
              <w:rPr>
                <w:color w:val="000000"/>
                <w:sz w:val="24"/>
                <w:lang w:eastAsia="en-ZA"/>
              </w:rPr>
              <w:t xml:space="preserve"> dose </w:t>
            </w:r>
          </w:p>
        </w:tc>
        <w:tc>
          <w:tcPr>
            <w:tcW w:w="896"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72.3%</w:t>
            </w:r>
          </w:p>
        </w:tc>
        <w:tc>
          <w:tcPr>
            <w:tcW w:w="1045"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73.5%</w:t>
            </w:r>
          </w:p>
        </w:tc>
        <w:tc>
          <w:tcPr>
            <w:tcW w:w="894"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76.4%</w:t>
            </w:r>
          </w:p>
        </w:tc>
      </w:tr>
      <w:tr w:rsidR="009D2731" w:rsidTr="009D2731">
        <w:trPr>
          <w:trHeight w:val="300"/>
        </w:trPr>
        <w:tc>
          <w:tcPr>
            <w:tcW w:w="1086" w:type="pct"/>
            <w:vMerge w:val="restart"/>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r w:rsidRPr="001877CD">
              <w:rPr>
                <w:color w:val="000000"/>
                <w:sz w:val="24"/>
                <w:lang w:eastAsia="en-ZA"/>
              </w:rPr>
              <w:t>Gauteng</w:t>
            </w:r>
          </w:p>
        </w:tc>
        <w:tc>
          <w:tcPr>
            <w:tcW w:w="1079" w:type="pct"/>
            <w:tcBorders>
              <w:top w:val="single" w:sz="12" w:space="0" w:color="auto"/>
              <w:left w:val="single" w:sz="12" w:space="0" w:color="auto"/>
              <w:bottom w:val="single" w:sz="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1</w:t>
            </w:r>
            <w:r w:rsidRPr="001877CD">
              <w:rPr>
                <w:color w:val="000000"/>
                <w:sz w:val="24"/>
                <w:vertAlign w:val="superscript"/>
                <w:lang w:eastAsia="en-ZA"/>
              </w:rPr>
              <w:t>st</w:t>
            </w:r>
            <w:r w:rsidRPr="001877CD">
              <w:rPr>
                <w:color w:val="000000"/>
                <w:sz w:val="24"/>
                <w:lang w:eastAsia="en-ZA"/>
              </w:rPr>
              <w:t xml:space="preserve"> dose</w:t>
            </w:r>
          </w:p>
        </w:tc>
        <w:tc>
          <w:tcPr>
            <w:tcW w:w="896"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89.4%</w:t>
            </w:r>
          </w:p>
        </w:tc>
        <w:tc>
          <w:tcPr>
            <w:tcW w:w="1045"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86.5%</w:t>
            </w:r>
          </w:p>
        </w:tc>
        <w:tc>
          <w:tcPr>
            <w:tcW w:w="894"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89.5%</w:t>
            </w:r>
          </w:p>
        </w:tc>
      </w:tr>
      <w:tr w:rsidR="009D2731" w:rsidTr="009D2731">
        <w:trPr>
          <w:trHeight w:val="300"/>
        </w:trPr>
        <w:tc>
          <w:tcPr>
            <w:tcW w:w="1086" w:type="pct"/>
            <w:vMerge/>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p>
        </w:tc>
        <w:tc>
          <w:tcPr>
            <w:tcW w:w="1079" w:type="pct"/>
            <w:tcBorders>
              <w:top w:val="single" w:sz="2" w:space="0" w:color="auto"/>
              <w:left w:val="single" w:sz="12" w:space="0" w:color="auto"/>
              <w:bottom w:val="single" w:sz="1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2</w:t>
            </w:r>
            <w:r w:rsidRPr="001877CD">
              <w:rPr>
                <w:color w:val="000000"/>
                <w:sz w:val="24"/>
                <w:vertAlign w:val="superscript"/>
                <w:lang w:eastAsia="en-ZA"/>
              </w:rPr>
              <w:t>nd</w:t>
            </w:r>
            <w:r w:rsidRPr="001877CD">
              <w:rPr>
                <w:color w:val="000000"/>
                <w:sz w:val="24"/>
                <w:lang w:eastAsia="en-ZA"/>
              </w:rPr>
              <w:t xml:space="preserve"> dose </w:t>
            </w:r>
          </w:p>
        </w:tc>
        <w:tc>
          <w:tcPr>
            <w:tcW w:w="896"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79.1%</w:t>
            </w:r>
          </w:p>
        </w:tc>
        <w:tc>
          <w:tcPr>
            <w:tcW w:w="1045"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75.9%</w:t>
            </w:r>
          </w:p>
        </w:tc>
        <w:tc>
          <w:tcPr>
            <w:tcW w:w="894"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83.4%</w:t>
            </w:r>
          </w:p>
        </w:tc>
      </w:tr>
      <w:tr w:rsidR="009D2731" w:rsidTr="009D2731">
        <w:trPr>
          <w:trHeight w:val="300"/>
        </w:trPr>
        <w:tc>
          <w:tcPr>
            <w:tcW w:w="1086" w:type="pct"/>
            <w:vMerge w:val="restart"/>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r w:rsidRPr="001877CD">
              <w:rPr>
                <w:color w:val="000000"/>
                <w:sz w:val="24"/>
                <w:lang w:eastAsia="en-ZA"/>
              </w:rPr>
              <w:t>KwaZulu-Natal</w:t>
            </w:r>
          </w:p>
        </w:tc>
        <w:tc>
          <w:tcPr>
            <w:tcW w:w="1079" w:type="pct"/>
            <w:tcBorders>
              <w:top w:val="single" w:sz="12" w:space="0" w:color="auto"/>
              <w:left w:val="single" w:sz="12" w:space="0" w:color="auto"/>
              <w:bottom w:val="single" w:sz="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1</w:t>
            </w:r>
            <w:r w:rsidRPr="001877CD">
              <w:rPr>
                <w:color w:val="000000"/>
                <w:sz w:val="24"/>
                <w:vertAlign w:val="superscript"/>
                <w:lang w:eastAsia="en-ZA"/>
              </w:rPr>
              <w:t>st</w:t>
            </w:r>
            <w:r w:rsidRPr="001877CD">
              <w:rPr>
                <w:color w:val="000000"/>
                <w:sz w:val="24"/>
                <w:lang w:eastAsia="en-ZA"/>
              </w:rPr>
              <w:t xml:space="preserve"> dose</w:t>
            </w:r>
          </w:p>
        </w:tc>
        <w:tc>
          <w:tcPr>
            <w:tcW w:w="896"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83.3%</w:t>
            </w:r>
          </w:p>
        </w:tc>
        <w:tc>
          <w:tcPr>
            <w:tcW w:w="1045"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82.5%</w:t>
            </w:r>
          </w:p>
        </w:tc>
        <w:tc>
          <w:tcPr>
            <w:tcW w:w="894"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83.9%</w:t>
            </w:r>
          </w:p>
        </w:tc>
      </w:tr>
      <w:tr w:rsidR="009D2731" w:rsidTr="009D2731">
        <w:trPr>
          <w:trHeight w:val="300"/>
        </w:trPr>
        <w:tc>
          <w:tcPr>
            <w:tcW w:w="1086" w:type="pct"/>
            <w:vMerge/>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p>
        </w:tc>
        <w:tc>
          <w:tcPr>
            <w:tcW w:w="1079" w:type="pct"/>
            <w:tcBorders>
              <w:top w:val="single" w:sz="2" w:space="0" w:color="auto"/>
              <w:left w:val="single" w:sz="12" w:space="0" w:color="auto"/>
              <w:bottom w:val="single" w:sz="1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2</w:t>
            </w:r>
            <w:r w:rsidRPr="001877CD">
              <w:rPr>
                <w:color w:val="000000"/>
                <w:sz w:val="24"/>
                <w:vertAlign w:val="superscript"/>
                <w:lang w:eastAsia="en-ZA"/>
              </w:rPr>
              <w:t>nd</w:t>
            </w:r>
            <w:r w:rsidRPr="001877CD">
              <w:rPr>
                <w:color w:val="000000"/>
                <w:sz w:val="24"/>
                <w:lang w:eastAsia="en-ZA"/>
              </w:rPr>
              <w:t xml:space="preserve"> dose </w:t>
            </w:r>
          </w:p>
        </w:tc>
        <w:tc>
          <w:tcPr>
            <w:tcW w:w="896"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87.1%</w:t>
            </w:r>
          </w:p>
        </w:tc>
        <w:tc>
          <w:tcPr>
            <w:tcW w:w="1045"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84.9%</w:t>
            </w:r>
          </w:p>
        </w:tc>
        <w:tc>
          <w:tcPr>
            <w:tcW w:w="894"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89.0%</w:t>
            </w:r>
          </w:p>
        </w:tc>
      </w:tr>
      <w:tr w:rsidR="009D2731" w:rsidTr="009D2731">
        <w:trPr>
          <w:trHeight w:val="300"/>
        </w:trPr>
        <w:tc>
          <w:tcPr>
            <w:tcW w:w="1086" w:type="pct"/>
            <w:vMerge w:val="restart"/>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r w:rsidRPr="001877CD">
              <w:rPr>
                <w:color w:val="000000"/>
                <w:sz w:val="24"/>
                <w:lang w:eastAsia="en-ZA"/>
              </w:rPr>
              <w:t>Limpopo</w:t>
            </w:r>
          </w:p>
        </w:tc>
        <w:tc>
          <w:tcPr>
            <w:tcW w:w="1079" w:type="pct"/>
            <w:tcBorders>
              <w:top w:val="single" w:sz="12" w:space="0" w:color="auto"/>
              <w:left w:val="single" w:sz="12" w:space="0" w:color="auto"/>
              <w:bottom w:val="single" w:sz="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1</w:t>
            </w:r>
            <w:r w:rsidRPr="001877CD">
              <w:rPr>
                <w:color w:val="000000"/>
                <w:sz w:val="24"/>
                <w:vertAlign w:val="superscript"/>
                <w:lang w:eastAsia="en-ZA"/>
              </w:rPr>
              <w:t>st</w:t>
            </w:r>
            <w:r w:rsidRPr="001877CD">
              <w:rPr>
                <w:color w:val="000000"/>
                <w:sz w:val="24"/>
                <w:lang w:eastAsia="en-ZA"/>
              </w:rPr>
              <w:t xml:space="preserve"> dose</w:t>
            </w:r>
          </w:p>
        </w:tc>
        <w:tc>
          <w:tcPr>
            <w:tcW w:w="896"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85.7%</w:t>
            </w:r>
          </w:p>
        </w:tc>
        <w:tc>
          <w:tcPr>
            <w:tcW w:w="1045"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93.4%</w:t>
            </w:r>
          </w:p>
        </w:tc>
        <w:tc>
          <w:tcPr>
            <w:tcW w:w="894"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90.4%</w:t>
            </w:r>
          </w:p>
        </w:tc>
      </w:tr>
      <w:tr w:rsidR="009D2731" w:rsidTr="009D2731">
        <w:trPr>
          <w:trHeight w:val="300"/>
        </w:trPr>
        <w:tc>
          <w:tcPr>
            <w:tcW w:w="1086" w:type="pct"/>
            <w:vMerge/>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p>
        </w:tc>
        <w:tc>
          <w:tcPr>
            <w:tcW w:w="1079" w:type="pct"/>
            <w:tcBorders>
              <w:top w:val="single" w:sz="2" w:space="0" w:color="auto"/>
              <w:left w:val="single" w:sz="12" w:space="0" w:color="auto"/>
              <w:bottom w:val="single" w:sz="1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2</w:t>
            </w:r>
            <w:r w:rsidRPr="001877CD">
              <w:rPr>
                <w:color w:val="000000"/>
                <w:sz w:val="24"/>
                <w:vertAlign w:val="superscript"/>
                <w:lang w:eastAsia="en-ZA"/>
              </w:rPr>
              <w:t>nd</w:t>
            </w:r>
            <w:r w:rsidRPr="001877CD">
              <w:rPr>
                <w:color w:val="000000"/>
                <w:sz w:val="24"/>
                <w:lang w:eastAsia="en-ZA"/>
              </w:rPr>
              <w:t xml:space="preserve"> dose </w:t>
            </w:r>
          </w:p>
        </w:tc>
        <w:tc>
          <w:tcPr>
            <w:tcW w:w="896"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76.7%</w:t>
            </w:r>
          </w:p>
        </w:tc>
        <w:tc>
          <w:tcPr>
            <w:tcW w:w="1045"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78.5%</w:t>
            </w:r>
          </w:p>
        </w:tc>
        <w:tc>
          <w:tcPr>
            <w:tcW w:w="894"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78.6%</w:t>
            </w:r>
          </w:p>
        </w:tc>
      </w:tr>
      <w:tr w:rsidR="009D2731" w:rsidTr="009D2731">
        <w:trPr>
          <w:trHeight w:val="300"/>
        </w:trPr>
        <w:tc>
          <w:tcPr>
            <w:tcW w:w="1086" w:type="pct"/>
            <w:vMerge w:val="restart"/>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r w:rsidRPr="001877CD">
              <w:rPr>
                <w:color w:val="000000"/>
                <w:sz w:val="24"/>
                <w:lang w:eastAsia="en-ZA"/>
              </w:rPr>
              <w:t xml:space="preserve">Mpumalanga </w:t>
            </w:r>
          </w:p>
        </w:tc>
        <w:tc>
          <w:tcPr>
            <w:tcW w:w="1079" w:type="pct"/>
            <w:tcBorders>
              <w:top w:val="single" w:sz="12" w:space="0" w:color="auto"/>
              <w:left w:val="single" w:sz="12" w:space="0" w:color="auto"/>
              <w:bottom w:val="single" w:sz="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1</w:t>
            </w:r>
            <w:r w:rsidRPr="001877CD">
              <w:rPr>
                <w:color w:val="000000"/>
                <w:sz w:val="24"/>
                <w:vertAlign w:val="superscript"/>
                <w:lang w:eastAsia="en-ZA"/>
              </w:rPr>
              <w:t>st</w:t>
            </w:r>
            <w:r w:rsidRPr="001877CD">
              <w:rPr>
                <w:color w:val="000000"/>
                <w:sz w:val="24"/>
                <w:lang w:eastAsia="en-ZA"/>
              </w:rPr>
              <w:t xml:space="preserve"> dose</w:t>
            </w:r>
          </w:p>
        </w:tc>
        <w:tc>
          <w:tcPr>
            <w:tcW w:w="896"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83.7%</w:t>
            </w:r>
          </w:p>
        </w:tc>
        <w:tc>
          <w:tcPr>
            <w:tcW w:w="1045"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85.6%</w:t>
            </w:r>
          </w:p>
        </w:tc>
        <w:tc>
          <w:tcPr>
            <w:tcW w:w="894"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97.9%</w:t>
            </w:r>
          </w:p>
        </w:tc>
      </w:tr>
      <w:tr w:rsidR="009D2731" w:rsidTr="009D2731">
        <w:trPr>
          <w:trHeight w:val="300"/>
        </w:trPr>
        <w:tc>
          <w:tcPr>
            <w:tcW w:w="1086" w:type="pct"/>
            <w:vMerge/>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p>
        </w:tc>
        <w:tc>
          <w:tcPr>
            <w:tcW w:w="1079" w:type="pct"/>
            <w:tcBorders>
              <w:top w:val="single" w:sz="2" w:space="0" w:color="auto"/>
              <w:left w:val="single" w:sz="12" w:space="0" w:color="auto"/>
              <w:bottom w:val="single" w:sz="1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2</w:t>
            </w:r>
            <w:r w:rsidRPr="001877CD">
              <w:rPr>
                <w:color w:val="000000"/>
                <w:sz w:val="24"/>
                <w:vertAlign w:val="superscript"/>
                <w:lang w:eastAsia="en-ZA"/>
              </w:rPr>
              <w:t>nd</w:t>
            </w:r>
            <w:r w:rsidRPr="001877CD">
              <w:rPr>
                <w:color w:val="000000"/>
                <w:sz w:val="24"/>
                <w:lang w:eastAsia="en-ZA"/>
              </w:rPr>
              <w:t xml:space="preserve"> dose </w:t>
            </w:r>
          </w:p>
        </w:tc>
        <w:tc>
          <w:tcPr>
            <w:tcW w:w="896"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87.6%</w:t>
            </w:r>
          </w:p>
        </w:tc>
        <w:tc>
          <w:tcPr>
            <w:tcW w:w="1045"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77.8%</w:t>
            </w:r>
          </w:p>
        </w:tc>
        <w:tc>
          <w:tcPr>
            <w:tcW w:w="894"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87.7%</w:t>
            </w:r>
          </w:p>
        </w:tc>
      </w:tr>
      <w:tr w:rsidR="009D2731" w:rsidTr="009D2731">
        <w:trPr>
          <w:trHeight w:val="300"/>
        </w:trPr>
        <w:tc>
          <w:tcPr>
            <w:tcW w:w="1086" w:type="pct"/>
            <w:vMerge w:val="restart"/>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r w:rsidRPr="001877CD">
              <w:rPr>
                <w:color w:val="000000"/>
                <w:sz w:val="24"/>
                <w:lang w:eastAsia="en-ZA"/>
              </w:rPr>
              <w:t>Northern Cape</w:t>
            </w:r>
          </w:p>
        </w:tc>
        <w:tc>
          <w:tcPr>
            <w:tcW w:w="1079" w:type="pct"/>
            <w:tcBorders>
              <w:top w:val="single" w:sz="12" w:space="0" w:color="auto"/>
              <w:left w:val="single" w:sz="12" w:space="0" w:color="auto"/>
              <w:bottom w:val="single" w:sz="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1</w:t>
            </w:r>
            <w:r w:rsidRPr="001877CD">
              <w:rPr>
                <w:color w:val="000000"/>
                <w:sz w:val="24"/>
                <w:vertAlign w:val="superscript"/>
                <w:lang w:eastAsia="en-ZA"/>
              </w:rPr>
              <w:t>st</w:t>
            </w:r>
            <w:r w:rsidRPr="001877CD">
              <w:rPr>
                <w:color w:val="000000"/>
                <w:sz w:val="24"/>
                <w:lang w:eastAsia="en-ZA"/>
              </w:rPr>
              <w:t xml:space="preserve"> dose</w:t>
            </w:r>
          </w:p>
        </w:tc>
        <w:tc>
          <w:tcPr>
            <w:tcW w:w="896"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82.8%</w:t>
            </w:r>
          </w:p>
        </w:tc>
        <w:tc>
          <w:tcPr>
            <w:tcW w:w="1045"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77.5%</w:t>
            </w:r>
          </w:p>
        </w:tc>
        <w:tc>
          <w:tcPr>
            <w:tcW w:w="894"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80.8%</w:t>
            </w:r>
          </w:p>
        </w:tc>
      </w:tr>
      <w:tr w:rsidR="009D2731" w:rsidTr="009D2731">
        <w:trPr>
          <w:trHeight w:val="300"/>
        </w:trPr>
        <w:tc>
          <w:tcPr>
            <w:tcW w:w="1086" w:type="pct"/>
            <w:vMerge/>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p>
        </w:tc>
        <w:tc>
          <w:tcPr>
            <w:tcW w:w="1079" w:type="pct"/>
            <w:tcBorders>
              <w:top w:val="single" w:sz="2" w:space="0" w:color="auto"/>
              <w:left w:val="single" w:sz="12" w:space="0" w:color="auto"/>
              <w:bottom w:val="single" w:sz="1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2</w:t>
            </w:r>
            <w:r w:rsidRPr="001877CD">
              <w:rPr>
                <w:color w:val="000000"/>
                <w:sz w:val="24"/>
                <w:vertAlign w:val="superscript"/>
                <w:lang w:eastAsia="en-ZA"/>
              </w:rPr>
              <w:t>nd</w:t>
            </w:r>
            <w:r w:rsidRPr="001877CD">
              <w:rPr>
                <w:color w:val="000000"/>
                <w:sz w:val="24"/>
                <w:lang w:eastAsia="en-ZA"/>
              </w:rPr>
              <w:t xml:space="preserve"> dose </w:t>
            </w:r>
          </w:p>
        </w:tc>
        <w:tc>
          <w:tcPr>
            <w:tcW w:w="896"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73.0%</w:t>
            </w:r>
          </w:p>
        </w:tc>
        <w:tc>
          <w:tcPr>
            <w:tcW w:w="1045"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69.2%</w:t>
            </w:r>
          </w:p>
        </w:tc>
        <w:tc>
          <w:tcPr>
            <w:tcW w:w="894"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70.8%</w:t>
            </w:r>
          </w:p>
        </w:tc>
      </w:tr>
      <w:tr w:rsidR="009D2731" w:rsidTr="009D2731">
        <w:trPr>
          <w:trHeight w:val="300"/>
        </w:trPr>
        <w:tc>
          <w:tcPr>
            <w:tcW w:w="1086" w:type="pct"/>
            <w:vMerge w:val="restart"/>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r w:rsidRPr="001877CD">
              <w:rPr>
                <w:color w:val="000000"/>
                <w:sz w:val="24"/>
                <w:lang w:eastAsia="en-ZA"/>
              </w:rPr>
              <w:t xml:space="preserve">North West </w:t>
            </w:r>
          </w:p>
        </w:tc>
        <w:tc>
          <w:tcPr>
            <w:tcW w:w="1079" w:type="pct"/>
            <w:tcBorders>
              <w:top w:val="single" w:sz="12" w:space="0" w:color="auto"/>
              <w:left w:val="single" w:sz="12" w:space="0" w:color="auto"/>
              <w:bottom w:val="single" w:sz="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1</w:t>
            </w:r>
            <w:r w:rsidRPr="001877CD">
              <w:rPr>
                <w:color w:val="000000"/>
                <w:sz w:val="24"/>
                <w:vertAlign w:val="superscript"/>
                <w:lang w:eastAsia="en-ZA"/>
              </w:rPr>
              <w:t>st</w:t>
            </w:r>
            <w:r w:rsidRPr="001877CD">
              <w:rPr>
                <w:color w:val="000000"/>
                <w:sz w:val="24"/>
                <w:lang w:eastAsia="en-ZA"/>
              </w:rPr>
              <w:t xml:space="preserve"> dose</w:t>
            </w:r>
          </w:p>
        </w:tc>
        <w:tc>
          <w:tcPr>
            <w:tcW w:w="896"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70.9%</w:t>
            </w:r>
          </w:p>
        </w:tc>
        <w:tc>
          <w:tcPr>
            <w:tcW w:w="1045"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70.6%</w:t>
            </w:r>
          </w:p>
        </w:tc>
        <w:tc>
          <w:tcPr>
            <w:tcW w:w="894" w:type="pct"/>
            <w:tcBorders>
              <w:top w:val="single" w:sz="12" w:space="0" w:color="auto"/>
              <w:left w:val="single" w:sz="12" w:space="0" w:color="auto"/>
              <w:bottom w:val="single" w:sz="2" w:space="0" w:color="auto"/>
              <w:right w:val="single" w:sz="1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71.1%</w:t>
            </w:r>
          </w:p>
        </w:tc>
      </w:tr>
      <w:tr w:rsidR="009D2731" w:rsidTr="009D2731">
        <w:trPr>
          <w:trHeight w:val="300"/>
        </w:trPr>
        <w:tc>
          <w:tcPr>
            <w:tcW w:w="1086" w:type="pct"/>
            <w:vMerge/>
            <w:tcBorders>
              <w:top w:val="single" w:sz="12" w:space="0" w:color="auto"/>
              <w:left w:val="single" w:sz="12" w:space="0" w:color="auto"/>
              <w:bottom w:val="single" w:sz="12" w:space="0" w:color="auto"/>
              <w:right w:val="single" w:sz="12" w:space="0" w:color="auto"/>
            </w:tcBorders>
            <w:vAlign w:val="center"/>
          </w:tcPr>
          <w:p w:rsidR="009D2731" w:rsidRPr="001877CD" w:rsidRDefault="009D2731" w:rsidP="00A03C46">
            <w:pPr>
              <w:rPr>
                <w:color w:val="000000"/>
                <w:sz w:val="24"/>
                <w:lang w:eastAsia="en-ZA"/>
              </w:rPr>
            </w:pPr>
          </w:p>
        </w:tc>
        <w:tc>
          <w:tcPr>
            <w:tcW w:w="1079" w:type="pct"/>
            <w:tcBorders>
              <w:top w:val="single" w:sz="2" w:space="0" w:color="auto"/>
              <w:left w:val="single" w:sz="12" w:space="0" w:color="auto"/>
              <w:bottom w:val="single" w:sz="12" w:space="0" w:color="auto"/>
              <w:right w:val="single" w:sz="12" w:space="0" w:color="auto"/>
            </w:tcBorders>
          </w:tcPr>
          <w:p w:rsidR="009D2731" w:rsidRPr="001877CD" w:rsidRDefault="009D2731" w:rsidP="00A03C46">
            <w:pPr>
              <w:rPr>
                <w:color w:val="000000"/>
                <w:sz w:val="24"/>
                <w:lang w:eastAsia="en-ZA"/>
              </w:rPr>
            </w:pPr>
            <w:r w:rsidRPr="001877CD">
              <w:rPr>
                <w:color w:val="000000"/>
                <w:sz w:val="24"/>
                <w:lang w:eastAsia="en-ZA"/>
              </w:rPr>
              <w:t>2</w:t>
            </w:r>
            <w:r w:rsidRPr="001877CD">
              <w:rPr>
                <w:color w:val="000000"/>
                <w:sz w:val="24"/>
                <w:vertAlign w:val="superscript"/>
                <w:lang w:eastAsia="en-ZA"/>
              </w:rPr>
              <w:t>nd</w:t>
            </w:r>
            <w:r w:rsidRPr="001877CD">
              <w:rPr>
                <w:color w:val="000000"/>
                <w:sz w:val="24"/>
                <w:lang w:eastAsia="en-ZA"/>
              </w:rPr>
              <w:t xml:space="preserve"> dose </w:t>
            </w:r>
          </w:p>
        </w:tc>
        <w:tc>
          <w:tcPr>
            <w:tcW w:w="896"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67.7%</w:t>
            </w:r>
          </w:p>
        </w:tc>
        <w:tc>
          <w:tcPr>
            <w:tcW w:w="1045"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61.9%</w:t>
            </w:r>
          </w:p>
        </w:tc>
        <w:tc>
          <w:tcPr>
            <w:tcW w:w="894" w:type="pct"/>
            <w:tcBorders>
              <w:top w:val="single" w:sz="2" w:space="0" w:color="auto"/>
              <w:left w:val="single" w:sz="12" w:space="0" w:color="auto"/>
              <w:bottom w:val="single" w:sz="12" w:space="0" w:color="auto"/>
              <w:right w:val="single" w:sz="1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68.7%</w:t>
            </w:r>
          </w:p>
        </w:tc>
      </w:tr>
      <w:tr w:rsidR="009D2731" w:rsidTr="009D2731">
        <w:trPr>
          <w:trHeight w:val="300"/>
        </w:trPr>
        <w:tc>
          <w:tcPr>
            <w:tcW w:w="1086" w:type="pct"/>
            <w:vMerge w:val="restart"/>
            <w:tcBorders>
              <w:top w:val="single" w:sz="12" w:space="0" w:color="auto"/>
            </w:tcBorders>
            <w:vAlign w:val="center"/>
          </w:tcPr>
          <w:p w:rsidR="009D2731" w:rsidRPr="001877CD" w:rsidRDefault="009D2731" w:rsidP="00A03C46">
            <w:pPr>
              <w:rPr>
                <w:color w:val="000000"/>
                <w:sz w:val="24"/>
                <w:lang w:eastAsia="en-ZA"/>
              </w:rPr>
            </w:pPr>
            <w:r w:rsidRPr="001877CD">
              <w:rPr>
                <w:color w:val="000000"/>
                <w:sz w:val="24"/>
                <w:lang w:eastAsia="en-ZA"/>
              </w:rPr>
              <w:t xml:space="preserve">Western Cape </w:t>
            </w:r>
          </w:p>
        </w:tc>
        <w:tc>
          <w:tcPr>
            <w:tcW w:w="1079" w:type="pct"/>
            <w:tcBorders>
              <w:top w:val="single" w:sz="12" w:space="0" w:color="auto"/>
              <w:bottom w:val="single" w:sz="2" w:space="0" w:color="auto"/>
            </w:tcBorders>
          </w:tcPr>
          <w:p w:rsidR="009D2731" w:rsidRPr="001877CD" w:rsidRDefault="009D2731" w:rsidP="00A03C46">
            <w:pPr>
              <w:rPr>
                <w:color w:val="000000"/>
                <w:sz w:val="24"/>
                <w:lang w:eastAsia="en-ZA"/>
              </w:rPr>
            </w:pPr>
            <w:r w:rsidRPr="001877CD">
              <w:rPr>
                <w:color w:val="000000"/>
                <w:sz w:val="24"/>
                <w:lang w:eastAsia="en-ZA"/>
              </w:rPr>
              <w:t>1</w:t>
            </w:r>
            <w:r w:rsidRPr="001877CD">
              <w:rPr>
                <w:color w:val="000000"/>
                <w:sz w:val="24"/>
                <w:vertAlign w:val="superscript"/>
                <w:lang w:eastAsia="en-ZA"/>
              </w:rPr>
              <w:t>st</w:t>
            </w:r>
            <w:r w:rsidRPr="001877CD">
              <w:rPr>
                <w:color w:val="000000"/>
                <w:sz w:val="24"/>
                <w:lang w:eastAsia="en-ZA"/>
              </w:rPr>
              <w:t xml:space="preserve"> dose</w:t>
            </w:r>
          </w:p>
        </w:tc>
        <w:tc>
          <w:tcPr>
            <w:tcW w:w="896" w:type="pct"/>
            <w:tcBorders>
              <w:top w:val="single" w:sz="12" w:space="0" w:color="auto"/>
              <w:bottom w:val="single" w:sz="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89.5%</w:t>
            </w:r>
          </w:p>
        </w:tc>
        <w:tc>
          <w:tcPr>
            <w:tcW w:w="1045" w:type="pct"/>
            <w:tcBorders>
              <w:top w:val="single" w:sz="12" w:space="0" w:color="auto"/>
              <w:bottom w:val="single" w:sz="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94.0%</w:t>
            </w:r>
          </w:p>
        </w:tc>
        <w:tc>
          <w:tcPr>
            <w:tcW w:w="894" w:type="pct"/>
            <w:tcBorders>
              <w:top w:val="single" w:sz="12" w:space="0" w:color="auto"/>
              <w:bottom w:val="single" w:sz="2" w:space="0" w:color="auto"/>
            </w:tcBorders>
            <w:noWrap/>
            <w:vAlign w:val="bottom"/>
            <w:hideMark/>
          </w:tcPr>
          <w:p w:rsidR="009D2731" w:rsidRPr="001877CD" w:rsidRDefault="009D2731" w:rsidP="00A03C46">
            <w:pPr>
              <w:jc w:val="right"/>
              <w:rPr>
                <w:color w:val="000000"/>
                <w:sz w:val="24"/>
                <w:lang w:eastAsia="en-ZA"/>
              </w:rPr>
            </w:pPr>
            <w:r w:rsidRPr="001877CD">
              <w:rPr>
                <w:color w:val="000000"/>
                <w:sz w:val="24"/>
                <w:lang w:eastAsia="en-ZA"/>
              </w:rPr>
              <w:t>95.5%</w:t>
            </w:r>
          </w:p>
        </w:tc>
      </w:tr>
      <w:tr w:rsidR="009D2731" w:rsidTr="009D2731">
        <w:trPr>
          <w:trHeight w:val="300"/>
        </w:trPr>
        <w:tc>
          <w:tcPr>
            <w:tcW w:w="1086" w:type="pct"/>
            <w:vMerge/>
            <w:vAlign w:val="bottom"/>
          </w:tcPr>
          <w:p w:rsidR="009D2731" w:rsidRPr="001877CD" w:rsidRDefault="009D2731" w:rsidP="00A03C46">
            <w:pPr>
              <w:rPr>
                <w:color w:val="000000"/>
                <w:sz w:val="24"/>
                <w:lang w:eastAsia="en-ZA"/>
              </w:rPr>
            </w:pPr>
          </w:p>
        </w:tc>
        <w:tc>
          <w:tcPr>
            <w:tcW w:w="1079" w:type="pct"/>
            <w:tcBorders>
              <w:top w:val="single" w:sz="2" w:space="0" w:color="auto"/>
            </w:tcBorders>
          </w:tcPr>
          <w:p w:rsidR="009D2731" w:rsidRPr="001877CD" w:rsidRDefault="009D2731" w:rsidP="00A03C46">
            <w:pPr>
              <w:rPr>
                <w:color w:val="000000"/>
                <w:sz w:val="24"/>
                <w:lang w:eastAsia="en-ZA"/>
              </w:rPr>
            </w:pPr>
            <w:r w:rsidRPr="001877CD">
              <w:rPr>
                <w:color w:val="000000"/>
                <w:sz w:val="24"/>
                <w:lang w:eastAsia="en-ZA"/>
              </w:rPr>
              <w:t>2</w:t>
            </w:r>
            <w:r w:rsidRPr="001877CD">
              <w:rPr>
                <w:color w:val="000000"/>
                <w:sz w:val="24"/>
                <w:vertAlign w:val="superscript"/>
                <w:lang w:eastAsia="en-ZA"/>
              </w:rPr>
              <w:t>nd</w:t>
            </w:r>
            <w:r w:rsidRPr="001877CD">
              <w:rPr>
                <w:color w:val="000000"/>
                <w:sz w:val="24"/>
                <w:lang w:eastAsia="en-ZA"/>
              </w:rPr>
              <w:t xml:space="preserve"> dose </w:t>
            </w:r>
          </w:p>
        </w:tc>
        <w:tc>
          <w:tcPr>
            <w:tcW w:w="896" w:type="pct"/>
            <w:tcBorders>
              <w:top w:val="single" w:sz="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76.8%</w:t>
            </w:r>
          </w:p>
        </w:tc>
        <w:tc>
          <w:tcPr>
            <w:tcW w:w="1045" w:type="pct"/>
            <w:tcBorders>
              <w:top w:val="single" w:sz="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76.6%</w:t>
            </w:r>
          </w:p>
        </w:tc>
        <w:tc>
          <w:tcPr>
            <w:tcW w:w="894" w:type="pct"/>
            <w:tcBorders>
              <w:top w:val="single" w:sz="2" w:space="0" w:color="auto"/>
            </w:tcBorders>
            <w:noWrap/>
            <w:vAlign w:val="bottom"/>
          </w:tcPr>
          <w:p w:rsidR="009D2731" w:rsidRPr="001877CD" w:rsidRDefault="009D2731" w:rsidP="00A03C46">
            <w:pPr>
              <w:jc w:val="right"/>
              <w:rPr>
                <w:color w:val="000000"/>
                <w:sz w:val="24"/>
                <w:lang w:eastAsia="en-ZA"/>
              </w:rPr>
            </w:pPr>
            <w:r w:rsidRPr="001877CD">
              <w:rPr>
                <w:color w:val="000000"/>
                <w:sz w:val="24"/>
                <w:lang w:eastAsia="en-ZA"/>
              </w:rPr>
              <w:t>80.3%</w:t>
            </w:r>
          </w:p>
        </w:tc>
      </w:tr>
    </w:tbl>
    <w:p w:rsidR="00B00F76" w:rsidRDefault="00B00F76" w:rsidP="006174EE">
      <w:pPr>
        <w:rPr>
          <w:sz w:val="24"/>
          <w:lang w:val="en-US"/>
        </w:rPr>
      </w:pPr>
    </w:p>
    <w:p w:rsidR="009D2731" w:rsidRDefault="009D2731" w:rsidP="006174EE">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86C" w:rsidRDefault="004F486C">
      <w:r>
        <w:separator/>
      </w:r>
    </w:p>
  </w:endnote>
  <w:endnote w:type="continuationSeparator" w:id="0">
    <w:p w:rsidR="004F486C" w:rsidRDefault="004F4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7428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7428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84150">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86C" w:rsidRDefault="004F486C">
      <w:r>
        <w:separator/>
      </w:r>
    </w:p>
  </w:footnote>
  <w:footnote w:type="continuationSeparator" w:id="0">
    <w:p w:rsidR="004F486C" w:rsidRDefault="004F4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F530B"/>
    <w:multiLevelType w:val="hybridMultilevel"/>
    <w:tmpl w:val="927640A8"/>
    <w:lvl w:ilvl="0" w:tplc="6B1A3B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E1178"/>
    <w:multiLevelType w:val="hybridMultilevel"/>
    <w:tmpl w:val="AC7813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7">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0">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3"/>
  </w:num>
  <w:num w:numId="3">
    <w:abstractNumId w:val="11"/>
  </w:num>
  <w:num w:numId="4">
    <w:abstractNumId w:val="7"/>
  </w:num>
  <w:num w:numId="5">
    <w:abstractNumId w:val="10"/>
  </w:num>
  <w:num w:numId="6">
    <w:abstractNumId w:val="8"/>
  </w:num>
  <w:num w:numId="7">
    <w:abstractNumId w:val="5"/>
  </w:num>
  <w:num w:numId="8">
    <w:abstractNumId w:val="6"/>
  </w:num>
  <w:num w:numId="9">
    <w:abstractNumId w:val="2"/>
  </w:num>
  <w:num w:numId="10">
    <w:abstractNumId w:val="9"/>
  </w:num>
  <w:num w:numId="11">
    <w:abstractNumId w:val="4"/>
  </w:num>
  <w:num w:numId="1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7428C"/>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0C70"/>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86C"/>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21DD"/>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731"/>
    <w:rsid w:val="009D2E42"/>
    <w:rsid w:val="009D3DA5"/>
    <w:rsid w:val="009D51C1"/>
    <w:rsid w:val="009D62A1"/>
    <w:rsid w:val="009D7850"/>
    <w:rsid w:val="009E05A5"/>
    <w:rsid w:val="009E5AFD"/>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56624"/>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0F76"/>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1BC2"/>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87AA0"/>
    <w:rsid w:val="00C9010E"/>
    <w:rsid w:val="00C91B7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150"/>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2022-06-21T09:10:00Z</dcterms:created>
  <dcterms:modified xsi:type="dcterms:W3CDTF">2022-06-21T09:10:00Z</dcterms:modified>
</cp:coreProperties>
</file>