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DD" w:rsidRDefault="008C4143" w:rsidP="007135B5">
      <w:pPr>
        <w:spacing w:line="276" w:lineRule="auto"/>
        <w:jc w:val="both"/>
        <w:rPr>
          <w:b/>
          <w:szCs w:val="24"/>
        </w:rPr>
      </w:pPr>
      <w:r>
        <w:rPr>
          <w:b/>
          <w:noProof/>
          <w:szCs w:val="24"/>
          <w:lang w:eastAsia="en-ZA"/>
        </w:rPr>
        <w:drawing>
          <wp:inline distT="0" distB="0" distL="0" distR="0">
            <wp:extent cx="1591310" cy="56451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91310" cy="564515"/>
                    </a:xfrm>
                    <a:prstGeom prst="rect">
                      <a:avLst/>
                    </a:prstGeom>
                    <a:noFill/>
                  </pic:spPr>
                </pic:pic>
              </a:graphicData>
            </a:graphic>
          </wp:inline>
        </w:drawing>
      </w:r>
    </w:p>
    <w:p w:rsidR="00A53800" w:rsidRPr="000115BF" w:rsidRDefault="00A53800" w:rsidP="001266B5">
      <w:pPr>
        <w:spacing w:after="0" w:line="360" w:lineRule="auto"/>
        <w:jc w:val="center"/>
        <w:rPr>
          <w:rFonts w:ascii="Arial" w:hAnsi="Arial" w:cs="Arial"/>
          <w:b/>
        </w:rPr>
      </w:pPr>
      <w:r w:rsidRPr="00A53800">
        <w:rPr>
          <w:rFonts w:ascii="Arial" w:hAnsi="Arial" w:cs="Arial"/>
          <w:b/>
        </w:rPr>
        <w:t>T</w:t>
      </w:r>
      <w:r w:rsidRPr="000115BF">
        <w:rPr>
          <w:rFonts w:ascii="Arial" w:hAnsi="Arial" w:cs="Arial"/>
          <w:b/>
        </w:rPr>
        <w:t>HE NATIONAL ASSEMBLY</w:t>
      </w:r>
    </w:p>
    <w:p w:rsidR="00A53800" w:rsidRPr="000115BF" w:rsidRDefault="00A53800" w:rsidP="001266B5">
      <w:pPr>
        <w:spacing w:after="0" w:line="360" w:lineRule="auto"/>
        <w:jc w:val="center"/>
        <w:rPr>
          <w:rFonts w:ascii="Arial" w:hAnsi="Arial" w:cs="Arial"/>
          <w:b/>
        </w:rPr>
      </w:pPr>
    </w:p>
    <w:p w:rsidR="00A53800" w:rsidRDefault="00A53800" w:rsidP="001266B5">
      <w:pPr>
        <w:spacing w:after="0" w:line="360" w:lineRule="auto"/>
        <w:jc w:val="center"/>
        <w:rPr>
          <w:rFonts w:ascii="Arial" w:hAnsi="Arial" w:cs="Arial"/>
          <w:b/>
        </w:rPr>
      </w:pPr>
      <w:r w:rsidRPr="000115BF">
        <w:rPr>
          <w:rFonts w:ascii="Arial" w:hAnsi="Arial" w:cs="Arial"/>
          <w:b/>
        </w:rPr>
        <w:t>QUESTION FOR WRITTEN REPLY</w:t>
      </w:r>
    </w:p>
    <w:p w:rsidR="009D4C0C" w:rsidRPr="000115BF" w:rsidRDefault="009D4C0C" w:rsidP="001266B5">
      <w:pPr>
        <w:spacing w:after="0" w:line="360" w:lineRule="auto"/>
        <w:jc w:val="center"/>
        <w:rPr>
          <w:rFonts w:ascii="Arial" w:hAnsi="Arial" w:cs="Arial"/>
          <w:b/>
        </w:rPr>
      </w:pPr>
    </w:p>
    <w:p w:rsidR="009D4C0C" w:rsidRDefault="00A53800" w:rsidP="001266B5">
      <w:pPr>
        <w:spacing w:after="0" w:line="360" w:lineRule="auto"/>
        <w:jc w:val="both"/>
        <w:rPr>
          <w:rFonts w:ascii="Arial" w:hAnsi="Arial" w:cs="Arial"/>
          <w:b/>
        </w:rPr>
      </w:pPr>
      <w:r w:rsidRPr="000115BF">
        <w:rPr>
          <w:rFonts w:ascii="Arial" w:hAnsi="Arial" w:cs="Arial"/>
          <w:b/>
        </w:rPr>
        <w:t xml:space="preserve">QUESTION NO. </w:t>
      </w:r>
      <w:r w:rsidR="002A0459">
        <w:rPr>
          <w:rFonts w:ascii="Arial" w:hAnsi="Arial" w:cs="Arial"/>
          <w:b/>
        </w:rPr>
        <w:t>2156</w:t>
      </w:r>
      <w:r w:rsidR="000115BF" w:rsidRPr="000115BF">
        <w:rPr>
          <w:rFonts w:ascii="Arial" w:hAnsi="Arial" w:cs="Arial"/>
          <w:b/>
        </w:rPr>
        <w:t xml:space="preserve"> </w:t>
      </w:r>
    </w:p>
    <w:p w:rsidR="00A53800" w:rsidRPr="000115BF" w:rsidRDefault="00A53800" w:rsidP="001266B5">
      <w:pPr>
        <w:spacing w:after="0" w:line="360" w:lineRule="auto"/>
        <w:jc w:val="both"/>
        <w:rPr>
          <w:rFonts w:ascii="Arial" w:hAnsi="Arial" w:cs="Arial"/>
          <w:b/>
        </w:rPr>
      </w:pPr>
      <w:r w:rsidRPr="000115BF">
        <w:rPr>
          <w:rFonts w:ascii="Arial" w:hAnsi="Arial" w:cs="Arial"/>
          <w:b/>
        </w:rPr>
        <w:tab/>
      </w:r>
    </w:p>
    <w:p w:rsidR="000115BF" w:rsidRPr="000115BF" w:rsidRDefault="000115BF" w:rsidP="001266B5">
      <w:pPr>
        <w:spacing w:after="0" w:line="360" w:lineRule="auto"/>
        <w:jc w:val="both"/>
        <w:rPr>
          <w:rFonts w:ascii="Arial" w:hAnsi="Arial" w:cs="Arial"/>
          <w:b/>
          <w:lang w:val="en-US"/>
        </w:rPr>
      </w:pPr>
      <w:r w:rsidRPr="000115BF">
        <w:rPr>
          <w:rFonts w:ascii="Arial" w:hAnsi="Arial" w:cs="Arial"/>
          <w:b/>
          <w:lang w:val="en-US"/>
        </w:rPr>
        <w:t xml:space="preserve">Mr M </w:t>
      </w:r>
      <w:r w:rsidRPr="000115BF">
        <w:rPr>
          <w:rFonts w:ascii="Arial" w:hAnsi="Arial" w:cs="Arial"/>
          <w:b/>
          <w:lang w:val="en-GB"/>
        </w:rPr>
        <w:t>Waters</w:t>
      </w:r>
      <w:r w:rsidRPr="000115BF">
        <w:rPr>
          <w:rFonts w:ascii="Arial" w:hAnsi="Arial" w:cs="Arial"/>
          <w:b/>
          <w:lang w:val="en-US"/>
        </w:rPr>
        <w:t xml:space="preserve"> (DA) to ask the Minister of Trade, Industry and Competition</w:t>
      </w:r>
      <w:r w:rsidRPr="000115BF">
        <w:rPr>
          <w:rFonts w:ascii="Arial" w:hAnsi="Arial" w:cs="Arial"/>
          <w:b/>
          <w:lang w:val="en-US"/>
        </w:rPr>
        <w:fldChar w:fldCharType="begin"/>
      </w:r>
      <w:r w:rsidRPr="000115BF">
        <w:rPr>
          <w:rFonts w:ascii="Arial" w:hAnsi="Arial" w:cs="Arial"/>
          <w:lang w:val="en-US"/>
        </w:rPr>
        <w:instrText xml:space="preserve"> XE "</w:instrText>
      </w:r>
      <w:r w:rsidRPr="000115BF">
        <w:rPr>
          <w:rFonts w:ascii="Arial" w:hAnsi="Arial" w:cs="Arial"/>
          <w:b/>
          <w:lang w:val="en-GB"/>
        </w:rPr>
        <w:instrText>Trade, Industry and</w:instrText>
      </w:r>
      <w:r w:rsidRPr="000115BF">
        <w:rPr>
          <w:rFonts w:ascii="Arial" w:hAnsi="Arial" w:cs="Arial"/>
          <w:b/>
          <w:lang w:val="en-US"/>
        </w:rPr>
        <w:instrText xml:space="preserve"> </w:instrText>
      </w:r>
      <w:r w:rsidRPr="000115BF">
        <w:rPr>
          <w:rFonts w:ascii="Arial" w:hAnsi="Arial" w:cs="Arial"/>
          <w:b/>
          <w:lang w:val="en-GB"/>
        </w:rPr>
        <w:instrText>Competition</w:instrText>
      </w:r>
      <w:r w:rsidRPr="000115BF">
        <w:rPr>
          <w:rFonts w:ascii="Arial" w:hAnsi="Arial" w:cs="Arial"/>
          <w:lang w:val="en-US"/>
        </w:rPr>
        <w:instrText xml:space="preserve">" </w:instrText>
      </w:r>
      <w:r w:rsidRPr="000115BF">
        <w:rPr>
          <w:rFonts w:ascii="Arial" w:hAnsi="Arial" w:cs="Arial"/>
          <w:b/>
          <w:lang w:val="en-US"/>
        </w:rPr>
        <w:fldChar w:fldCharType="end"/>
      </w:r>
      <w:r w:rsidRPr="000115BF">
        <w:rPr>
          <w:rFonts w:ascii="Arial" w:hAnsi="Arial" w:cs="Arial"/>
          <w:b/>
          <w:lang w:val="en-US"/>
        </w:rPr>
        <w:t>:</w:t>
      </w:r>
    </w:p>
    <w:p w:rsidR="002A0459" w:rsidRPr="002A0459" w:rsidRDefault="002A0459" w:rsidP="001266B5">
      <w:pPr>
        <w:tabs>
          <w:tab w:val="left" w:pos="432"/>
          <w:tab w:val="left" w:pos="720"/>
          <w:tab w:val="left" w:pos="864"/>
        </w:tabs>
        <w:spacing w:after="0" w:line="360" w:lineRule="auto"/>
        <w:jc w:val="both"/>
        <w:rPr>
          <w:rFonts w:ascii="Arial" w:eastAsia="Times New Roman" w:hAnsi="Arial" w:cs="Arial"/>
          <w:lang w:val="en-US"/>
        </w:rPr>
      </w:pPr>
      <w:r w:rsidRPr="002A0459">
        <w:rPr>
          <w:rFonts w:ascii="Arial" w:eastAsia="Times New Roman" w:hAnsi="Arial" w:cs="Arial"/>
          <w:lang w:val="en-US"/>
        </w:rPr>
        <w:t xml:space="preserve">Whether, with reference to his reply to question 737 on 25 May 2020, he received the information requested from the provinces; if not, by what date does he envisage to receive such information; if so, will he furnish Mr. M Waters with the further relevant details? </w:t>
      </w:r>
      <w:r w:rsidR="009D4C0C">
        <w:rPr>
          <w:rFonts w:ascii="Arial" w:eastAsia="Times New Roman" w:hAnsi="Arial" w:cs="Arial"/>
          <w:lang w:val="en-US"/>
        </w:rPr>
        <w:t>[</w:t>
      </w:r>
      <w:r w:rsidRPr="002A0459">
        <w:rPr>
          <w:rFonts w:ascii="Arial" w:eastAsia="Times New Roman" w:hAnsi="Arial" w:cs="Arial"/>
          <w:lang w:val="en-US"/>
        </w:rPr>
        <w:t>NW2721E</w:t>
      </w:r>
      <w:r w:rsidR="009D4C0C">
        <w:rPr>
          <w:rFonts w:ascii="Arial" w:eastAsia="Times New Roman" w:hAnsi="Arial" w:cs="Arial"/>
          <w:lang w:val="en-US"/>
        </w:rPr>
        <w:t>]</w:t>
      </w:r>
    </w:p>
    <w:p w:rsidR="000115BF" w:rsidRPr="000115BF" w:rsidRDefault="000115BF" w:rsidP="001266B5">
      <w:pPr>
        <w:pStyle w:val="Heading1"/>
        <w:ind w:left="1418" w:hanging="1418"/>
        <w:jc w:val="both"/>
        <w:rPr>
          <w:sz w:val="22"/>
          <w:szCs w:val="22"/>
        </w:rPr>
      </w:pPr>
    </w:p>
    <w:p w:rsidR="009D4C0C" w:rsidRDefault="009D4C0C" w:rsidP="001266B5">
      <w:pPr>
        <w:pStyle w:val="Heading1"/>
        <w:ind w:left="1418" w:hanging="1418"/>
        <w:jc w:val="both"/>
        <w:rPr>
          <w:sz w:val="22"/>
          <w:szCs w:val="22"/>
        </w:rPr>
      </w:pPr>
      <w:r>
        <w:rPr>
          <w:sz w:val="22"/>
          <w:szCs w:val="22"/>
        </w:rPr>
        <w:t>REPLY</w:t>
      </w:r>
    </w:p>
    <w:p w:rsidR="009D4C0C" w:rsidRPr="009D4C0C" w:rsidRDefault="009D4C0C" w:rsidP="009D4C0C">
      <w:pPr>
        <w:spacing w:after="0" w:line="360" w:lineRule="auto"/>
        <w:rPr>
          <w:lang w:val="en-GB" w:eastAsia="en-GB"/>
        </w:rPr>
      </w:pPr>
    </w:p>
    <w:p w:rsidR="004A7502" w:rsidRDefault="004A7502" w:rsidP="004A7502">
      <w:pPr>
        <w:spacing w:after="0" w:line="360" w:lineRule="auto"/>
        <w:ind w:hanging="2"/>
        <w:jc w:val="both"/>
        <w:rPr>
          <w:rFonts w:ascii="Arial" w:eastAsia="Arial" w:hAnsi="Arial" w:cs="Arial"/>
          <w:color w:val="000000"/>
        </w:rPr>
      </w:pPr>
      <w:r>
        <w:rPr>
          <w:rFonts w:ascii="Arial" w:eastAsia="Arial" w:hAnsi="Arial" w:cs="Arial"/>
          <w:color w:val="000000"/>
        </w:rPr>
        <w:t xml:space="preserve">Following my reply to PQ 737, I requested the Department to contact the provincial regulators and ask for information to advise on further steps that national government may need to take. </w:t>
      </w:r>
    </w:p>
    <w:p w:rsidR="004A7502" w:rsidRDefault="004A7502" w:rsidP="004A7502">
      <w:pPr>
        <w:spacing w:after="0" w:line="360" w:lineRule="auto"/>
        <w:ind w:hanging="2"/>
        <w:jc w:val="both"/>
        <w:rPr>
          <w:rFonts w:ascii="Arial" w:eastAsia="Arial" w:hAnsi="Arial" w:cs="Arial"/>
          <w:color w:val="000000"/>
        </w:rPr>
      </w:pPr>
    </w:p>
    <w:p w:rsidR="004A7502" w:rsidRDefault="004A7502" w:rsidP="004A7502">
      <w:pPr>
        <w:spacing w:after="0" w:line="360" w:lineRule="auto"/>
        <w:ind w:hanging="2"/>
        <w:jc w:val="both"/>
        <w:rPr>
          <w:rFonts w:ascii="Arial" w:eastAsia="Arial" w:hAnsi="Arial" w:cs="Arial"/>
        </w:rPr>
      </w:pPr>
      <w:r>
        <w:rPr>
          <w:rFonts w:ascii="Arial" w:eastAsia="Arial" w:hAnsi="Arial" w:cs="Arial"/>
        </w:rPr>
        <w:t xml:space="preserve">Information was received from the Eastern Cape, Gauteng, Limpopo, Mpumalanga, North West, KwaZulu-Natal and Western Cape provinces. I am advised that no information was received as yet from the Free State and Northern Cape. </w:t>
      </w:r>
    </w:p>
    <w:p w:rsidR="004A7502" w:rsidRDefault="004A7502" w:rsidP="004A7502">
      <w:pPr>
        <w:spacing w:after="0" w:line="360" w:lineRule="auto"/>
        <w:ind w:hanging="2"/>
        <w:jc w:val="both"/>
        <w:rPr>
          <w:rFonts w:ascii="Arial" w:eastAsia="Arial" w:hAnsi="Arial" w:cs="Arial"/>
        </w:rPr>
      </w:pPr>
    </w:p>
    <w:p w:rsidR="004A7502" w:rsidRDefault="004A7502" w:rsidP="004A7502">
      <w:pPr>
        <w:spacing w:after="0" w:line="360" w:lineRule="auto"/>
        <w:ind w:hanging="2"/>
        <w:jc w:val="both"/>
        <w:rPr>
          <w:rFonts w:ascii="Arial" w:eastAsia="Arial" w:hAnsi="Arial" w:cs="Arial"/>
        </w:rPr>
      </w:pPr>
      <w:r>
        <w:rPr>
          <w:rFonts w:ascii="Arial" w:eastAsia="Arial" w:hAnsi="Arial" w:cs="Arial"/>
        </w:rPr>
        <w:t>The provincial liquor regulators form part of the National Liquor Regulators Forum (NLRF), which also consist of the South African Police Services (SAPS).</w:t>
      </w:r>
      <w:r>
        <w:rPr>
          <w:rFonts w:ascii="Arial" w:eastAsia="Arial" w:hAnsi="Arial" w:cs="Arial"/>
          <w:b/>
        </w:rPr>
        <w:t xml:space="preserve"> </w:t>
      </w:r>
      <w:r>
        <w:rPr>
          <w:rFonts w:ascii="Arial" w:eastAsia="Arial" w:hAnsi="Arial" w:cs="Arial"/>
        </w:rPr>
        <w:t>SAPS indicated that i</w:t>
      </w:r>
      <w:r>
        <w:rPr>
          <w:rFonts w:ascii="Arial" w:eastAsia="Arial" w:hAnsi="Arial" w:cs="Arial"/>
          <w:color w:val="000000"/>
        </w:rPr>
        <w:t xml:space="preserve">n order to address liquor abuse as a contributor to contact crime as well as serious violent crimes, the National Crime Combatting Forum (NCCF) Instruction 2 of 2019 was issued to address the policing of the legal and illegal liquor trade from 01 April 2019 to 31 March 2020. </w:t>
      </w:r>
    </w:p>
    <w:p w:rsidR="004A7502" w:rsidRDefault="004A7502" w:rsidP="004A7502">
      <w:pPr>
        <w:spacing w:after="0" w:line="360" w:lineRule="auto"/>
        <w:ind w:hanging="2"/>
        <w:jc w:val="both"/>
        <w:rPr>
          <w:rFonts w:ascii="Arial" w:eastAsia="Arial" w:hAnsi="Arial" w:cs="Arial"/>
          <w:color w:val="000000"/>
        </w:rPr>
      </w:pPr>
    </w:p>
    <w:p w:rsidR="004A7502" w:rsidRDefault="004A7502" w:rsidP="004A7502">
      <w:pPr>
        <w:spacing w:after="0" w:line="360" w:lineRule="auto"/>
        <w:ind w:hanging="2"/>
        <w:jc w:val="both"/>
        <w:rPr>
          <w:rFonts w:ascii="Arial" w:eastAsia="Arial" w:hAnsi="Arial" w:cs="Arial"/>
          <w:color w:val="000000"/>
        </w:rPr>
      </w:pPr>
      <w:r>
        <w:rPr>
          <w:rFonts w:ascii="Arial" w:eastAsia="Arial" w:hAnsi="Arial" w:cs="Arial"/>
          <w:color w:val="000000"/>
        </w:rPr>
        <w:t xml:space="preserve">All provinces were instructed to plan and execute joint liquor control operations to ensure compliance by liquor traders with the provisions of national and provincial liquor legislation, focusing specifically on licensed liquor premises and illegal liquor outlets in close proximity of schools. This focused operational approach ensured the termination of illegal liquor trade at 2 279 unlicensed liquor outlets which were located in close proximity of schools. </w:t>
      </w:r>
    </w:p>
    <w:p w:rsidR="004A7502" w:rsidRDefault="004A7502" w:rsidP="004A7502">
      <w:pPr>
        <w:spacing w:after="0" w:line="360" w:lineRule="auto"/>
        <w:ind w:hanging="2"/>
        <w:jc w:val="both"/>
        <w:rPr>
          <w:rFonts w:ascii="Arial" w:eastAsia="Arial" w:hAnsi="Arial" w:cs="Arial"/>
        </w:rPr>
      </w:pPr>
    </w:p>
    <w:p w:rsidR="004A7502" w:rsidRDefault="004A7502" w:rsidP="004A7502">
      <w:pPr>
        <w:spacing w:after="0" w:line="360" w:lineRule="auto"/>
        <w:ind w:hanging="2"/>
        <w:jc w:val="both"/>
        <w:rPr>
          <w:rFonts w:ascii="Arial" w:eastAsia="Arial" w:hAnsi="Arial" w:cs="Arial"/>
        </w:rPr>
      </w:pPr>
    </w:p>
    <w:p w:rsidR="004A7502" w:rsidRDefault="004A7502" w:rsidP="004A7502">
      <w:pPr>
        <w:spacing w:after="0" w:line="360" w:lineRule="auto"/>
        <w:ind w:hanging="2"/>
        <w:jc w:val="both"/>
        <w:rPr>
          <w:rFonts w:ascii="Arial" w:eastAsia="Arial" w:hAnsi="Arial" w:cs="Arial"/>
        </w:rPr>
      </w:pPr>
      <w:r>
        <w:rPr>
          <w:rFonts w:ascii="Arial" w:eastAsia="Arial" w:hAnsi="Arial" w:cs="Arial"/>
        </w:rPr>
        <w:lastRenderedPageBreak/>
        <w:t>With the country now at Level 1 and with the return of full government functions, further steps will be taken to request the outstanding information from the two provinces. The replies from provinces will form the basis for consideration by national government and where challenges were identified (</w:t>
      </w:r>
      <w:r w:rsidR="00644A53">
        <w:rPr>
          <w:rFonts w:ascii="Arial" w:eastAsia="Arial" w:hAnsi="Arial" w:cs="Arial"/>
        </w:rPr>
        <w:t>e.g.</w:t>
      </w:r>
      <w:r>
        <w:rPr>
          <w:rFonts w:ascii="Arial" w:eastAsia="Arial" w:hAnsi="Arial" w:cs="Arial"/>
        </w:rPr>
        <w:t xml:space="preserve"> the need for a clear and empowering legislative framework to enable provinces to take additional action), this is currently under consideration. On completion of these processes, a report will be prepared. </w:t>
      </w:r>
    </w:p>
    <w:p w:rsidR="008C19DD" w:rsidRDefault="008C19DD" w:rsidP="004A7502">
      <w:pPr>
        <w:spacing w:after="0" w:line="360" w:lineRule="auto"/>
        <w:jc w:val="both"/>
        <w:rPr>
          <w:rFonts w:ascii="Arial" w:hAnsi="Arial" w:cs="Arial"/>
        </w:rPr>
      </w:pPr>
    </w:p>
    <w:p w:rsidR="004A7502" w:rsidRPr="004A7502" w:rsidRDefault="004A7502" w:rsidP="004A7502">
      <w:pPr>
        <w:spacing w:after="0" w:line="360" w:lineRule="auto"/>
        <w:jc w:val="center"/>
        <w:rPr>
          <w:rFonts w:ascii="Arial" w:hAnsi="Arial" w:cs="Arial"/>
          <w:b/>
        </w:rPr>
      </w:pPr>
      <w:r w:rsidRPr="004A7502">
        <w:rPr>
          <w:rFonts w:ascii="Arial" w:hAnsi="Arial" w:cs="Arial"/>
          <w:b/>
        </w:rPr>
        <w:t>-END-</w:t>
      </w:r>
    </w:p>
    <w:sectPr w:rsidR="004A7502" w:rsidRPr="004A7502" w:rsidSect="001266B5">
      <w:footerReference w:type="default" r:id="rId9"/>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8A5" w:rsidRDefault="007178A5" w:rsidP="00F307DB">
      <w:pPr>
        <w:spacing w:after="0" w:line="240" w:lineRule="auto"/>
      </w:pPr>
      <w:r>
        <w:separator/>
      </w:r>
    </w:p>
  </w:endnote>
  <w:endnote w:type="continuationSeparator" w:id="1">
    <w:p w:rsidR="007178A5" w:rsidRDefault="007178A5" w:rsidP="00F30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B5" w:rsidRDefault="007135B5" w:rsidP="00F307DB">
    <w:pPr>
      <w:pStyle w:val="Footer"/>
      <w:jc w:val="center"/>
      <w:rPr>
        <w:rFonts w:ascii="Arial" w:hAnsi="Arial" w:cs="Arial"/>
        <w:sz w:val="18"/>
        <w:szCs w:val="20"/>
      </w:rPr>
    </w:pPr>
  </w:p>
  <w:p w:rsidR="00F307DB" w:rsidRPr="00F307DB" w:rsidRDefault="002A0459" w:rsidP="00F307DB">
    <w:pPr>
      <w:pStyle w:val="Footer"/>
      <w:jc w:val="center"/>
      <w:rPr>
        <w:sz w:val="20"/>
      </w:rPr>
    </w:pPr>
    <w:r>
      <w:rPr>
        <w:rFonts w:ascii="Arial" w:hAnsi="Arial" w:cs="Arial"/>
        <w:sz w:val="18"/>
        <w:szCs w:val="20"/>
      </w:rPr>
      <w:t>Parliamentary Question: NA PQ 2156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8A5" w:rsidRDefault="007178A5" w:rsidP="00F307DB">
      <w:pPr>
        <w:spacing w:after="0" w:line="240" w:lineRule="auto"/>
      </w:pPr>
      <w:r>
        <w:separator/>
      </w:r>
    </w:p>
  </w:footnote>
  <w:footnote w:type="continuationSeparator" w:id="1">
    <w:p w:rsidR="007178A5" w:rsidRDefault="007178A5" w:rsidP="00F30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18"/>
    <w:multiLevelType w:val="hybridMultilevel"/>
    <w:tmpl w:val="984AFD26"/>
    <w:lvl w:ilvl="0" w:tplc="E3D630DA">
      <w:numFmt w:val="bullet"/>
      <w:lvlText w:val="-"/>
      <w:lvlJc w:val="left"/>
      <w:pPr>
        <w:ind w:left="780" w:hanging="360"/>
      </w:pPr>
      <w:rPr>
        <w:rFonts w:ascii="Arial" w:eastAsia="Calibri" w:hAnsi="Arial" w:cs="Aria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0A120B61"/>
    <w:multiLevelType w:val="multilevel"/>
    <w:tmpl w:val="77BA9F8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9F17316"/>
    <w:multiLevelType w:val="hybridMultilevel"/>
    <w:tmpl w:val="6C020702"/>
    <w:lvl w:ilvl="0" w:tplc="7B0E39B0">
      <w:numFmt w:val="bullet"/>
      <w:lvlText w:val="-"/>
      <w:lvlJc w:val="left"/>
      <w:pPr>
        <w:ind w:left="1140" w:hanging="360"/>
      </w:pPr>
      <w:rPr>
        <w:rFonts w:ascii="Arial" w:eastAsia="Calibri" w:hAnsi="Arial" w:cs="Aria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3">
    <w:nsid w:val="1E165A99"/>
    <w:multiLevelType w:val="hybridMultilevel"/>
    <w:tmpl w:val="1A2C4BB4"/>
    <w:lvl w:ilvl="0" w:tplc="A254178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6910EE"/>
    <w:multiLevelType w:val="hybridMultilevel"/>
    <w:tmpl w:val="3A4CD0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82F5A86"/>
    <w:multiLevelType w:val="hybridMultilevel"/>
    <w:tmpl w:val="2CEC9F80"/>
    <w:lvl w:ilvl="0" w:tplc="1F7651C4">
      <w:start w:val="10"/>
      <w:numFmt w:val="bullet"/>
      <w:lvlText w:val="-"/>
      <w:lvlJc w:val="left"/>
      <w:pPr>
        <w:ind w:left="3240" w:hanging="360"/>
      </w:pPr>
      <w:rPr>
        <w:rFonts w:ascii="Arial" w:eastAsia="Calibri" w:hAnsi="Arial"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6">
    <w:nsid w:val="2EE134DC"/>
    <w:multiLevelType w:val="hybridMultilevel"/>
    <w:tmpl w:val="61800454"/>
    <w:lvl w:ilvl="0" w:tplc="36888DFC">
      <w:start w:val="10"/>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16F32F8"/>
    <w:multiLevelType w:val="hybridMultilevel"/>
    <w:tmpl w:val="B0BE20A6"/>
    <w:lvl w:ilvl="0" w:tplc="E1F884D0">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1784217"/>
    <w:multiLevelType w:val="hybridMultilevel"/>
    <w:tmpl w:val="C98CAF02"/>
    <w:lvl w:ilvl="0" w:tplc="52E0B88E">
      <w:numFmt w:val="bullet"/>
      <w:lvlText w:val="-"/>
      <w:lvlJc w:val="left"/>
      <w:pPr>
        <w:ind w:left="420" w:hanging="360"/>
      </w:pPr>
      <w:rPr>
        <w:rFonts w:ascii="Arial" w:eastAsia="Calibri" w:hAnsi="Arial" w:cs="Arial" w:hint="default"/>
        <w:b/>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9">
    <w:nsid w:val="61636B1F"/>
    <w:multiLevelType w:val="multilevel"/>
    <w:tmpl w:val="85C08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384FB0"/>
    <w:multiLevelType w:val="hybridMultilevel"/>
    <w:tmpl w:val="09AA22CE"/>
    <w:lvl w:ilvl="0" w:tplc="BD366B98">
      <w:start w:val="1"/>
      <w:numFmt w:val="decimal"/>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0221DB3"/>
    <w:multiLevelType w:val="hybridMultilevel"/>
    <w:tmpl w:val="0F629E72"/>
    <w:lvl w:ilvl="0" w:tplc="BC3278C2">
      <w:numFmt w:val="bullet"/>
      <w:lvlText w:val="-"/>
      <w:lvlJc w:val="left"/>
      <w:pPr>
        <w:ind w:left="360" w:hanging="360"/>
      </w:pPr>
      <w:rPr>
        <w:rFonts w:ascii="Arial" w:eastAsia="Calibri" w:hAnsi="Arial" w:cs="Arial" w:hint="default"/>
        <w:b/>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0"/>
  </w:num>
  <w:num w:numId="5">
    <w:abstractNumId w:val="5"/>
  </w:num>
  <w:num w:numId="6">
    <w:abstractNumId w:val="6"/>
  </w:num>
  <w:num w:numId="7">
    <w:abstractNumId w:val="3"/>
  </w:num>
  <w:num w:numId="8">
    <w:abstractNumId w:val="8"/>
  </w:num>
  <w:num w:numId="9">
    <w:abstractNumId w:val="7"/>
  </w:num>
  <w:num w:numId="10">
    <w:abstractNumId w:val="1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8C19DD"/>
    <w:rsid w:val="000115BF"/>
    <w:rsid w:val="00042475"/>
    <w:rsid w:val="000667B5"/>
    <w:rsid w:val="00085463"/>
    <w:rsid w:val="00086E64"/>
    <w:rsid w:val="000A2523"/>
    <w:rsid w:val="000C00D2"/>
    <w:rsid w:val="000F7CBA"/>
    <w:rsid w:val="001266B5"/>
    <w:rsid w:val="001352A7"/>
    <w:rsid w:val="001975A8"/>
    <w:rsid w:val="001A5546"/>
    <w:rsid w:val="001C11E1"/>
    <w:rsid w:val="002A0459"/>
    <w:rsid w:val="002B7FBF"/>
    <w:rsid w:val="002C5CE5"/>
    <w:rsid w:val="002C61A8"/>
    <w:rsid w:val="0031410C"/>
    <w:rsid w:val="00386141"/>
    <w:rsid w:val="00396A09"/>
    <w:rsid w:val="003B179E"/>
    <w:rsid w:val="00431F2C"/>
    <w:rsid w:val="0046507E"/>
    <w:rsid w:val="004A608A"/>
    <w:rsid w:val="004A7502"/>
    <w:rsid w:val="004C2EDF"/>
    <w:rsid w:val="00547B3E"/>
    <w:rsid w:val="0058512D"/>
    <w:rsid w:val="005E5504"/>
    <w:rsid w:val="005F66A4"/>
    <w:rsid w:val="00644A53"/>
    <w:rsid w:val="00644D29"/>
    <w:rsid w:val="00663D36"/>
    <w:rsid w:val="00666BEE"/>
    <w:rsid w:val="006875C2"/>
    <w:rsid w:val="006D28D8"/>
    <w:rsid w:val="007128A6"/>
    <w:rsid w:val="007135B5"/>
    <w:rsid w:val="007178A5"/>
    <w:rsid w:val="00764B07"/>
    <w:rsid w:val="0077304F"/>
    <w:rsid w:val="007D2E5F"/>
    <w:rsid w:val="0081677A"/>
    <w:rsid w:val="008411A2"/>
    <w:rsid w:val="00882A03"/>
    <w:rsid w:val="008A10FE"/>
    <w:rsid w:val="008B1DFF"/>
    <w:rsid w:val="008C19DD"/>
    <w:rsid w:val="008C4143"/>
    <w:rsid w:val="008E5B2E"/>
    <w:rsid w:val="008F426C"/>
    <w:rsid w:val="0096302E"/>
    <w:rsid w:val="009675A9"/>
    <w:rsid w:val="0097143E"/>
    <w:rsid w:val="009C44EE"/>
    <w:rsid w:val="009C7261"/>
    <w:rsid w:val="009D4C0C"/>
    <w:rsid w:val="009E4248"/>
    <w:rsid w:val="00A04624"/>
    <w:rsid w:val="00A46D9E"/>
    <w:rsid w:val="00A53190"/>
    <w:rsid w:val="00A53800"/>
    <w:rsid w:val="00AA4B68"/>
    <w:rsid w:val="00AD5D8C"/>
    <w:rsid w:val="00AF3FDD"/>
    <w:rsid w:val="00B136E4"/>
    <w:rsid w:val="00B26DA8"/>
    <w:rsid w:val="00B43A5C"/>
    <w:rsid w:val="00BA42CD"/>
    <w:rsid w:val="00BC0B31"/>
    <w:rsid w:val="00BF0719"/>
    <w:rsid w:val="00BF7C2C"/>
    <w:rsid w:val="00C1540B"/>
    <w:rsid w:val="00CC12FC"/>
    <w:rsid w:val="00CD14E5"/>
    <w:rsid w:val="00CD4178"/>
    <w:rsid w:val="00CF5DAE"/>
    <w:rsid w:val="00D44759"/>
    <w:rsid w:val="00D47B34"/>
    <w:rsid w:val="00D60CC7"/>
    <w:rsid w:val="00D77B1C"/>
    <w:rsid w:val="00D83A3C"/>
    <w:rsid w:val="00DB27EF"/>
    <w:rsid w:val="00DE231F"/>
    <w:rsid w:val="00DF34A5"/>
    <w:rsid w:val="00DF4589"/>
    <w:rsid w:val="00E21AF7"/>
    <w:rsid w:val="00E72038"/>
    <w:rsid w:val="00F21C1E"/>
    <w:rsid w:val="00F307DB"/>
    <w:rsid w:val="00FE7F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8C19DD"/>
    <w:pPr>
      <w:keepNext/>
      <w:spacing w:after="0" w:line="360" w:lineRule="auto"/>
      <w:jc w:val="center"/>
      <w:outlineLvl w:val="0"/>
    </w:pPr>
    <w:rPr>
      <w:rFonts w:ascii="Arial" w:eastAsia="Times" w:hAnsi="Arial"/>
      <w:b/>
      <w:sz w:val="24"/>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9DD"/>
    <w:pPr>
      <w:spacing w:after="0" w:line="240" w:lineRule="auto"/>
    </w:pPr>
    <w:rPr>
      <w:rFonts w:ascii="Times New Roman" w:hAnsi="Times New Roman"/>
      <w:sz w:val="24"/>
      <w:szCs w:val="24"/>
      <w:lang w:eastAsia="en-ZA"/>
    </w:rPr>
  </w:style>
  <w:style w:type="character" w:styleId="Emphasis">
    <w:name w:val="Emphasis"/>
    <w:uiPriority w:val="20"/>
    <w:qFormat/>
    <w:rsid w:val="008C19DD"/>
    <w:rPr>
      <w:i/>
      <w:iCs/>
    </w:rPr>
  </w:style>
  <w:style w:type="character" w:customStyle="1" w:styleId="Heading1Char">
    <w:name w:val="Heading 1 Char"/>
    <w:link w:val="Heading1"/>
    <w:rsid w:val="008C19DD"/>
    <w:rPr>
      <w:rFonts w:ascii="Arial" w:eastAsia="Times" w:hAnsi="Arial"/>
      <w:b/>
      <w:sz w:val="24"/>
      <w:lang w:val="en-GB" w:eastAsia="en-GB"/>
    </w:rPr>
  </w:style>
  <w:style w:type="paragraph" w:styleId="Header">
    <w:name w:val="header"/>
    <w:basedOn w:val="Normal"/>
    <w:link w:val="HeaderChar"/>
    <w:rsid w:val="008C19DD"/>
    <w:pPr>
      <w:tabs>
        <w:tab w:val="center" w:pos="4320"/>
        <w:tab w:val="right" w:pos="8640"/>
      </w:tabs>
      <w:spacing w:after="0" w:line="360" w:lineRule="auto"/>
    </w:pPr>
    <w:rPr>
      <w:rFonts w:ascii="Arial" w:eastAsia="Times" w:hAnsi="Arial"/>
      <w:sz w:val="24"/>
      <w:szCs w:val="20"/>
      <w:lang w:val="en-GB" w:eastAsia="en-GB"/>
    </w:rPr>
  </w:style>
  <w:style w:type="character" w:customStyle="1" w:styleId="HeaderChar">
    <w:name w:val="Header Char"/>
    <w:link w:val="Header"/>
    <w:rsid w:val="008C19DD"/>
    <w:rPr>
      <w:rFonts w:ascii="Arial" w:eastAsia="Times" w:hAnsi="Arial"/>
      <w:sz w:val="24"/>
      <w:lang w:val="en-GB" w:eastAsia="en-GB"/>
    </w:rPr>
  </w:style>
  <w:style w:type="paragraph" w:customStyle="1" w:styleId="Default">
    <w:name w:val="Default"/>
    <w:rsid w:val="0096302E"/>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F307DB"/>
    <w:pPr>
      <w:tabs>
        <w:tab w:val="center" w:pos="4513"/>
        <w:tab w:val="right" w:pos="9026"/>
      </w:tabs>
    </w:pPr>
  </w:style>
  <w:style w:type="character" w:customStyle="1" w:styleId="FooterChar">
    <w:name w:val="Footer Char"/>
    <w:link w:val="Footer"/>
    <w:uiPriority w:val="99"/>
    <w:rsid w:val="00F307DB"/>
    <w:rPr>
      <w:sz w:val="22"/>
      <w:szCs w:val="22"/>
      <w:lang w:eastAsia="en-US"/>
    </w:rPr>
  </w:style>
  <w:style w:type="character" w:styleId="CommentReference">
    <w:name w:val="annotation reference"/>
    <w:uiPriority w:val="99"/>
    <w:semiHidden/>
    <w:unhideWhenUsed/>
    <w:rsid w:val="000667B5"/>
    <w:rPr>
      <w:sz w:val="16"/>
      <w:szCs w:val="16"/>
    </w:rPr>
  </w:style>
  <w:style w:type="paragraph" w:styleId="CommentText">
    <w:name w:val="annotation text"/>
    <w:basedOn w:val="Normal"/>
    <w:link w:val="CommentTextChar"/>
    <w:uiPriority w:val="99"/>
    <w:semiHidden/>
    <w:unhideWhenUsed/>
    <w:rsid w:val="000667B5"/>
    <w:rPr>
      <w:sz w:val="20"/>
      <w:szCs w:val="20"/>
    </w:rPr>
  </w:style>
  <w:style w:type="character" w:customStyle="1" w:styleId="CommentTextChar">
    <w:name w:val="Comment Text Char"/>
    <w:link w:val="CommentText"/>
    <w:uiPriority w:val="99"/>
    <w:semiHidden/>
    <w:rsid w:val="000667B5"/>
    <w:rPr>
      <w:lang w:eastAsia="en-US"/>
    </w:rPr>
  </w:style>
  <w:style w:type="paragraph" w:styleId="CommentSubject">
    <w:name w:val="annotation subject"/>
    <w:basedOn w:val="CommentText"/>
    <w:next w:val="CommentText"/>
    <w:link w:val="CommentSubjectChar"/>
    <w:uiPriority w:val="99"/>
    <w:semiHidden/>
    <w:unhideWhenUsed/>
    <w:rsid w:val="000667B5"/>
    <w:rPr>
      <w:b/>
      <w:bCs/>
    </w:rPr>
  </w:style>
  <w:style w:type="character" w:customStyle="1" w:styleId="CommentSubjectChar">
    <w:name w:val="Comment Subject Char"/>
    <w:link w:val="CommentSubject"/>
    <w:uiPriority w:val="99"/>
    <w:semiHidden/>
    <w:rsid w:val="000667B5"/>
    <w:rPr>
      <w:b/>
      <w:bCs/>
      <w:lang w:eastAsia="en-US"/>
    </w:rPr>
  </w:style>
  <w:style w:type="paragraph" w:styleId="BalloonText">
    <w:name w:val="Balloon Text"/>
    <w:basedOn w:val="Normal"/>
    <w:link w:val="BalloonTextChar"/>
    <w:uiPriority w:val="99"/>
    <w:semiHidden/>
    <w:unhideWhenUsed/>
    <w:rsid w:val="000667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667B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26556067">
      <w:bodyDiv w:val="1"/>
      <w:marLeft w:val="0"/>
      <w:marRight w:val="0"/>
      <w:marTop w:val="0"/>
      <w:marBottom w:val="0"/>
      <w:divBdr>
        <w:top w:val="none" w:sz="0" w:space="0" w:color="auto"/>
        <w:left w:val="none" w:sz="0" w:space="0" w:color="auto"/>
        <w:bottom w:val="none" w:sz="0" w:space="0" w:color="auto"/>
        <w:right w:val="none" w:sz="0" w:space="0" w:color="auto"/>
      </w:divBdr>
    </w:div>
    <w:div w:id="718212341">
      <w:bodyDiv w:val="1"/>
      <w:marLeft w:val="0"/>
      <w:marRight w:val="0"/>
      <w:marTop w:val="0"/>
      <w:marBottom w:val="0"/>
      <w:divBdr>
        <w:top w:val="none" w:sz="0" w:space="0" w:color="auto"/>
        <w:left w:val="none" w:sz="0" w:space="0" w:color="auto"/>
        <w:bottom w:val="none" w:sz="0" w:space="0" w:color="auto"/>
        <w:right w:val="none" w:sz="0" w:space="0" w:color="auto"/>
      </w:divBdr>
    </w:div>
    <w:div w:id="902712397">
      <w:bodyDiv w:val="1"/>
      <w:marLeft w:val="0"/>
      <w:marRight w:val="0"/>
      <w:marTop w:val="0"/>
      <w:marBottom w:val="0"/>
      <w:divBdr>
        <w:top w:val="none" w:sz="0" w:space="0" w:color="auto"/>
        <w:left w:val="none" w:sz="0" w:space="0" w:color="auto"/>
        <w:bottom w:val="none" w:sz="0" w:space="0" w:color="auto"/>
        <w:right w:val="none" w:sz="0" w:space="0" w:color="auto"/>
      </w:divBdr>
    </w:div>
    <w:div w:id="1220091665">
      <w:bodyDiv w:val="1"/>
      <w:marLeft w:val="0"/>
      <w:marRight w:val="0"/>
      <w:marTop w:val="0"/>
      <w:marBottom w:val="0"/>
      <w:divBdr>
        <w:top w:val="none" w:sz="0" w:space="0" w:color="auto"/>
        <w:left w:val="none" w:sz="0" w:space="0" w:color="auto"/>
        <w:bottom w:val="none" w:sz="0" w:space="0" w:color="auto"/>
        <w:right w:val="none" w:sz="0" w:space="0" w:color="auto"/>
      </w:divBdr>
    </w:div>
    <w:div w:id="1764956647">
      <w:bodyDiv w:val="1"/>
      <w:marLeft w:val="0"/>
      <w:marRight w:val="0"/>
      <w:marTop w:val="0"/>
      <w:marBottom w:val="0"/>
      <w:divBdr>
        <w:top w:val="none" w:sz="0" w:space="0" w:color="auto"/>
        <w:left w:val="none" w:sz="0" w:space="0" w:color="auto"/>
        <w:bottom w:val="none" w:sz="0" w:space="0" w:color="auto"/>
        <w:right w:val="none" w:sz="0" w:space="0" w:color="auto"/>
      </w:divBdr>
    </w:div>
    <w:div w:id="1790930050">
      <w:bodyDiv w:val="1"/>
      <w:marLeft w:val="0"/>
      <w:marRight w:val="0"/>
      <w:marTop w:val="0"/>
      <w:marBottom w:val="0"/>
      <w:divBdr>
        <w:top w:val="none" w:sz="0" w:space="0" w:color="auto"/>
        <w:left w:val="none" w:sz="0" w:space="0" w:color="auto"/>
        <w:bottom w:val="none" w:sz="0" w:space="0" w:color="auto"/>
        <w:right w:val="none" w:sz="0" w:space="0" w:color="auto"/>
      </w:divBdr>
    </w:div>
    <w:div w:id="2074886001">
      <w:bodyDiv w:val="1"/>
      <w:marLeft w:val="0"/>
      <w:marRight w:val="0"/>
      <w:marTop w:val="0"/>
      <w:marBottom w:val="0"/>
      <w:divBdr>
        <w:top w:val="none" w:sz="0" w:space="0" w:color="auto"/>
        <w:left w:val="none" w:sz="0" w:space="0" w:color="auto"/>
        <w:bottom w:val="none" w:sz="0" w:space="0" w:color="auto"/>
        <w:right w:val="none" w:sz="0" w:space="0" w:color="auto"/>
      </w:divBdr>
    </w:div>
    <w:div w:id="21159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C27C-2A44-460A-AE4E-DBA081FE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REPLY</vt:lpstr>
    </vt:vector>
  </TitlesOfParts>
  <Company>Toshiba</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Makaepea</dc:creator>
  <cp:lastModifiedBy>USER</cp:lastModifiedBy>
  <cp:revision>2</cp:revision>
  <dcterms:created xsi:type="dcterms:W3CDTF">2020-09-21T13:20:00Z</dcterms:created>
  <dcterms:modified xsi:type="dcterms:W3CDTF">2020-09-21T13:20:00Z</dcterms:modified>
</cp:coreProperties>
</file>