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B00F76">
        <w:rPr>
          <w:b/>
          <w:bCs/>
          <w:sz w:val="24"/>
          <w:u w:val="single"/>
        </w:rPr>
        <w:t>1</w:t>
      </w:r>
      <w:r w:rsidR="009E5AFD">
        <w:rPr>
          <w:b/>
          <w:bCs/>
          <w:sz w:val="24"/>
          <w:u w:val="single"/>
        </w:rPr>
        <w:t>5</w:t>
      </w:r>
      <w:r w:rsidR="00490C70">
        <w:rPr>
          <w:b/>
          <w:bCs/>
          <w:sz w:val="24"/>
          <w:u w:val="single"/>
        </w:rPr>
        <w:t>5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B00F76">
        <w:rPr>
          <w:b/>
          <w:bCs/>
          <w:sz w:val="24"/>
          <w:u w:val="single"/>
        </w:rPr>
        <w:t>03 JUNE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B00F76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>)</w:t>
      </w:r>
    </w:p>
    <w:p w:rsidR="009E5AFD" w:rsidRPr="009E5AFD" w:rsidRDefault="009E5AFD" w:rsidP="009E5AFD">
      <w:pPr>
        <w:spacing w:before="100" w:beforeAutospacing="1" w:after="100" w:afterAutospacing="1"/>
        <w:ind w:left="540" w:right="-144" w:hanging="540"/>
        <w:jc w:val="both"/>
        <w:rPr>
          <w:b/>
          <w:sz w:val="24"/>
          <w:u w:val="single"/>
        </w:rPr>
      </w:pPr>
      <w:r w:rsidRPr="009E5AFD">
        <w:rPr>
          <w:b/>
          <w:sz w:val="24"/>
          <w:u w:val="single"/>
        </w:rPr>
        <w:t>Mrs M O Clarke (DA) to ask the Minister of Health</w:t>
      </w:r>
      <w:r w:rsidR="00C256E3" w:rsidRPr="009E5AFD">
        <w:rPr>
          <w:b/>
          <w:sz w:val="24"/>
          <w:u w:val="single"/>
        </w:rPr>
        <w:fldChar w:fldCharType="begin"/>
      </w:r>
      <w:r w:rsidRPr="009E5AFD">
        <w:rPr>
          <w:u w:val="single"/>
        </w:rPr>
        <w:instrText xml:space="preserve"> XE "</w:instrText>
      </w:r>
      <w:r w:rsidRPr="009E5AFD">
        <w:rPr>
          <w:b/>
          <w:bCs/>
          <w:sz w:val="24"/>
          <w:u w:val="single"/>
        </w:rPr>
        <w:instrText>Health</w:instrText>
      </w:r>
      <w:r w:rsidRPr="009E5AFD">
        <w:rPr>
          <w:u w:val="single"/>
        </w:rPr>
        <w:instrText xml:space="preserve">" </w:instrText>
      </w:r>
      <w:r w:rsidR="00C256E3" w:rsidRPr="009E5AFD">
        <w:rPr>
          <w:b/>
          <w:sz w:val="24"/>
          <w:u w:val="single"/>
        </w:rPr>
        <w:fldChar w:fldCharType="end"/>
      </w:r>
      <w:r w:rsidRPr="009E5AFD">
        <w:rPr>
          <w:b/>
          <w:sz w:val="24"/>
          <w:u w:val="single"/>
        </w:rPr>
        <w:t xml:space="preserve">: </w:t>
      </w:r>
    </w:p>
    <w:p w:rsidR="009E5AFD" w:rsidRPr="009E5AFD" w:rsidRDefault="009E5AFD" w:rsidP="009E5AFD">
      <w:pPr>
        <w:autoSpaceDE w:val="0"/>
        <w:autoSpaceDN w:val="0"/>
        <w:adjustRightInd w:val="0"/>
        <w:spacing w:before="100" w:beforeAutospacing="1" w:after="100" w:afterAutospacing="1"/>
        <w:ind w:left="709" w:right="-144" w:hanging="720"/>
        <w:jc w:val="both"/>
        <w:rPr>
          <w:sz w:val="24"/>
        </w:rPr>
      </w:pPr>
      <w:r w:rsidRPr="009E5AFD">
        <w:rPr>
          <w:sz w:val="24"/>
        </w:rPr>
        <w:t>(1)</w:t>
      </w:r>
      <w:r w:rsidRPr="009E5AFD">
        <w:rPr>
          <w:sz w:val="24"/>
        </w:rPr>
        <w:tab/>
        <w:t xml:space="preserve">What (a) are the backlogs in terms of </w:t>
      </w:r>
      <w:proofErr w:type="spellStart"/>
      <w:r w:rsidRPr="009E5AFD">
        <w:rPr>
          <w:sz w:val="24"/>
        </w:rPr>
        <w:t>postmortems</w:t>
      </w:r>
      <w:proofErr w:type="spellEnd"/>
      <w:r w:rsidRPr="009E5AFD">
        <w:rPr>
          <w:sz w:val="24"/>
        </w:rPr>
        <w:t xml:space="preserve"> in each </w:t>
      </w:r>
      <w:proofErr w:type="gramStart"/>
      <w:r w:rsidRPr="009E5AFD">
        <w:rPr>
          <w:sz w:val="24"/>
        </w:rPr>
        <w:t>province,</w:t>
      </w:r>
      <w:proofErr w:type="gramEnd"/>
      <w:r w:rsidRPr="009E5AFD">
        <w:rPr>
          <w:sz w:val="24"/>
        </w:rPr>
        <w:t xml:space="preserve"> (b) are the causes of the specified backlogs and (c) steps have been taken to deal with the backlogs;</w:t>
      </w:r>
    </w:p>
    <w:p w:rsidR="009E5AFD" w:rsidRPr="009E5AFD" w:rsidRDefault="009E5AFD" w:rsidP="009E5AFD">
      <w:pPr>
        <w:autoSpaceDE w:val="0"/>
        <w:autoSpaceDN w:val="0"/>
        <w:adjustRightInd w:val="0"/>
        <w:spacing w:before="100" w:beforeAutospacing="1" w:after="100" w:afterAutospacing="1"/>
        <w:ind w:left="709" w:right="-144" w:hanging="720"/>
        <w:jc w:val="both"/>
        <w:rPr>
          <w:sz w:val="24"/>
        </w:rPr>
      </w:pPr>
      <w:r w:rsidRPr="009E5AFD">
        <w:rPr>
          <w:sz w:val="24"/>
        </w:rPr>
        <w:t>(2)</w:t>
      </w:r>
      <w:r w:rsidRPr="009E5AFD">
        <w:rPr>
          <w:sz w:val="24"/>
        </w:rPr>
        <w:tab/>
      </w:r>
      <w:proofErr w:type="gramStart"/>
      <w:r w:rsidRPr="009E5AFD">
        <w:rPr>
          <w:sz w:val="24"/>
        </w:rPr>
        <w:t>how</w:t>
      </w:r>
      <w:proofErr w:type="gramEnd"/>
      <w:r w:rsidRPr="009E5AFD">
        <w:rPr>
          <w:sz w:val="24"/>
        </w:rPr>
        <w:t xml:space="preserve"> long does it take to compile a report for a </w:t>
      </w:r>
      <w:proofErr w:type="spellStart"/>
      <w:r w:rsidRPr="009E5AFD">
        <w:rPr>
          <w:sz w:val="24"/>
        </w:rPr>
        <w:t>postmortem</w:t>
      </w:r>
      <w:proofErr w:type="spellEnd"/>
      <w:r w:rsidRPr="009E5AFD">
        <w:rPr>
          <w:sz w:val="24"/>
        </w:rPr>
        <w:t>;</w:t>
      </w:r>
    </w:p>
    <w:p w:rsidR="009E5AFD" w:rsidRPr="009E5AFD" w:rsidRDefault="009E5AFD" w:rsidP="009E5AFD">
      <w:pPr>
        <w:autoSpaceDE w:val="0"/>
        <w:autoSpaceDN w:val="0"/>
        <w:adjustRightInd w:val="0"/>
        <w:spacing w:before="100" w:beforeAutospacing="1" w:after="100" w:afterAutospacing="1"/>
        <w:ind w:left="709" w:right="-144" w:hanging="720"/>
        <w:jc w:val="both"/>
        <w:rPr>
          <w:sz w:val="24"/>
        </w:rPr>
      </w:pPr>
      <w:r w:rsidRPr="009E5AFD">
        <w:rPr>
          <w:sz w:val="24"/>
        </w:rPr>
        <w:t>(3)</w:t>
      </w:r>
      <w:r w:rsidRPr="009E5AFD">
        <w:rPr>
          <w:sz w:val="24"/>
        </w:rPr>
        <w:tab/>
      </w:r>
      <w:proofErr w:type="gramStart"/>
      <w:r w:rsidRPr="009E5AFD">
        <w:rPr>
          <w:sz w:val="24"/>
        </w:rPr>
        <w:t>how</w:t>
      </w:r>
      <w:proofErr w:type="gramEnd"/>
      <w:r w:rsidRPr="009E5AFD">
        <w:rPr>
          <w:sz w:val="24"/>
        </w:rPr>
        <w:t xml:space="preserve"> long does it take to complete a general </w:t>
      </w:r>
      <w:proofErr w:type="spellStart"/>
      <w:r w:rsidRPr="009E5AFD">
        <w:rPr>
          <w:sz w:val="24"/>
        </w:rPr>
        <w:t>postmortem</w:t>
      </w:r>
      <w:proofErr w:type="spellEnd"/>
      <w:r w:rsidRPr="009E5AFD">
        <w:rPr>
          <w:sz w:val="24"/>
        </w:rPr>
        <w:t>;</w:t>
      </w:r>
    </w:p>
    <w:p w:rsidR="009E5AFD" w:rsidRDefault="009E5AFD" w:rsidP="009E5AFD">
      <w:pPr>
        <w:autoSpaceDE w:val="0"/>
        <w:autoSpaceDN w:val="0"/>
        <w:adjustRightInd w:val="0"/>
        <w:spacing w:before="100" w:beforeAutospacing="1" w:after="100" w:afterAutospacing="1"/>
        <w:ind w:left="709" w:right="-144" w:hanging="720"/>
        <w:jc w:val="both"/>
        <w:rPr>
          <w:rFonts w:ascii="Times New Roman" w:hAnsi="Times New Roman" w:cs="Times New Roman"/>
          <w:sz w:val="20"/>
        </w:rPr>
      </w:pPr>
      <w:r w:rsidRPr="009E5AFD">
        <w:rPr>
          <w:sz w:val="24"/>
        </w:rPr>
        <w:t>(4)</w:t>
      </w:r>
      <w:r w:rsidRPr="009E5AFD">
        <w:rPr>
          <w:sz w:val="24"/>
        </w:rPr>
        <w:tab/>
        <w:t>(</w:t>
      </w:r>
      <w:proofErr w:type="gramStart"/>
      <w:r w:rsidRPr="009E5AFD">
        <w:rPr>
          <w:sz w:val="24"/>
        </w:rPr>
        <w:t>a</w:t>
      </w:r>
      <w:proofErr w:type="gramEnd"/>
      <w:r w:rsidRPr="009E5AFD">
        <w:rPr>
          <w:sz w:val="24"/>
        </w:rPr>
        <w:t xml:space="preserve">) what total number of reports are outstanding at the forensic chemistry laboratories in terms of </w:t>
      </w:r>
      <w:proofErr w:type="spellStart"/>
      <w:r w:rsidRPr="009E5AFD">
        <w:rPr>
          <w:sz w:val="24"/>
        </w:rPr>
        <w:t>postmortem</w:t>
      </w:r>
      <w:proofErr w:type="spellEnd"/>
      <w:r w:rsidRPr="009E5AFD">
        <w:rPr>
          <w:sz w:val="24"/>
        </w:rPr>
        <w:t xml:space="preserve"> requirements, (b) for how long have such reports been outstanding and (c) what is the cause of the delay?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9E5AFD">
        <w:rPr>
          <w:color w:val="000000"/>
        </w:rPr>
        <w:t>560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B5041" w:rsidRDefault="006B5041" w:rsidP="006174EE">
      <w:pPr>
        <w:rPr>
          <w:sz w:val="24"/>
          <w:lang w:val="en-US"/>
        </w:rPr>
      </w:pPr>
    </w:p>
    <w:p w:rsidR="0091425D" w:rsidRDefault="0091425D" w:rsidP="0091425D">
      <w:pPr>
        <w:rPr>
          <w:sz w:val="24"/>
          <w:lang w:val="en-US"/>
        </w:rPr>
      </w:pPr>
      <w:r>
        <w:rPr>
          <w:sz w:val="24"/>
          <w:lang w:val="en-US"/>
        </w:rPr>
        <w:t xml:space="preserve">The National Department of Health is working with Provincial Departments of Health to </w:t>
      </w:r>
      <w:proofErr w:type="spellStart"/>
      <w:r>
        <w:rPr>
          <w:sz w:val="24"/>
          <w:lang w:val="en-US"/>
        </w:rPr>
        <w:t>finalise</w:t>
      </w:r>
      <w:proofErr w:type="spellEnd"/>
      <w:r>
        <w:rPr>
          <w:sz w:val="24"/>
          <w:lang w:val="en-US"/>
        </w:rPr>
        <w:t xml:space="preserve"> this information and the Minister will provide a full response as soon as the required information is received </w:t>
      </w:r>
      <w:bookmarkStart w:id="0" w:name="_GoBack"/>
      <w:bookmarkEnd w:id="0"/>
      <w:r>
        <w:rPr>
          <w:sz w:val="24"/>
          <w:lang w:val="en-US"/>
        </w:rPr>
        <w:t>from the provinces.</w:t>
      </w:r>
    </w:p>
    <w:p w:rsidR="0091425D" w:rsidRDefault="0091425D" w:rsidP="0091425D">
      <w:pPr>
        <w:rPr>
          <w:sz w:val="24"/>
          <w:lang w:val="en-US"/>
        </w:rPr>
      </w:pPr>
    </w:p>
    <w:p w:rsidR="00B00F76" w:rsidRDefault="00B00F76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15" w:rsidRDefault="00056F15">
      <w:r>
        <w:separator/>
      </w:r>
    </w:p>
  </w:endnote>
  <w:endnote w:type="continuationSeparator" w:id="0">
    <w:p w:rsidR="00056F15" w:rsidRDefault="0005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25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25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F0C0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15" w:rsidRDefault="00056F15">
      <w:r>
        <w:separator/>
      </w:r>
    </w:p>
  </w:footnote>
  <w:footnote w:type="continuationSeparator" w:id="0">
    <w:p w:rsidR="00056F15" w:rsidRDefault="00056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6F15"/>
    <w:rsid w:val="0005758A"/>
    <w:rsid w:val="00067DAB"/>
    <w:rsid w:val="00072404"/>
    <w:rsid w:val="0007341B"/>
    <w:rsid w:val="00081C61"/>
    <w:rsid w:val="00081C7A"/>
    <w:rsid w:val="000843CA"/>
    <w:rsid w:val="000855AD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0C70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1425D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5AFD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0F76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1803"/>
    <w:rsid w:val="00C21219"/>
    <w:rsid w:val="00C256E3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22AF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85546"/>
    <w:rsid w:val="00E9479A"/>
    <w:rsid w:val="00E975CB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2022-06-27T08:04:00Z</dcterms:created>
  <dcterms:modified xsi:type="dcterms:W3CDTF">2022-06-27T08:04:00Z</dcterms:modified>
</cp:coreProperties>
</file>