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Default="005D2822" w:rsidP="005D2822">
      <w:pPr>
        <w:tabs>
          <w:tab w:val="left" w:pos="1750"/>
        </w:tabs>
        <w:jc w:val="left"/>
        <w:rPr>
          <w:rFonts w:ascii="Times New Roman" w:hAnsi="Times New Roman"/>
          <w:sz w:val="20"/>
          <w:lang w:val="en-GB"/>
        </w:rPr>
      </w:pPr>
    </w:p>
    <w:p w:rsidR="00384AC8" w:rsidRPr="000512EB" w:rsidRDefault="00384AC8"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4A7A81">
        <w:rPr>
          <w:b/>
          <w:bCs/>
          <w:sz w:val="24"/>
          <w:szCs w:val="24"/>
        </w:rPr>
        <w:t>2147</w:t>
      </w:r>
      <w:r>
        <w:rPr>
          <w:b/>
          <w:bCs/>
          <w:sz w:val="24"/>
          <w:szCs w:val="24"/>
        </w:rPr>
        <w:t xml:space="preserve"> [</w:t>
      </w:r>
      <w:r w:rsidR="004A7A81">
        <w:rPr>
          <w:rFonts w:eastAsia="Calibri" w:cs="Arial"/>
          <w:b/>
          <w:sz w:val="24"/>
          <w:szCs w:val="24"/>
          <w:lang w:eastAsia="en-US"/>
        </w:rPr>
        <w:t>NW 2521</w:t>
      </w:r>
      <w:r w:rsidR="00D15F9E" w:rsidRPr="00D15F9E">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23E18">
        <w:rPr>
          <w:b/>
          <w:bCs/>
          <w:sz w:val="24"/>
          <w:szCs w:val="24"/>
        </w:rPr>
        <w:t>22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23E18">
        <w:rPr>
          <w:b/>
          <w:bCs/>
          <w:sz w:val="24"/>
          <w:szCs w:val="24"/>
        </w:rPr>
        <w:t>03 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F638D">
        <w:rPr>
          <w:b/>
          <w:bCs/>
          <w:sz w:val="24"/>
          <w:szCs w:val="24"/>
        </w:rPr>
        <w:t>09</w:t>
      </w:r>
      <w:r w:rsidR="008C00E6">
        <w:rPr>
          <w:b/>
          <w:bCs/>
          <w:sz w:val="24"/>
          <w:szCs w:val="24"/>
        </w:rPr>
        <w:t xml:space="preserve">  </w:t>
      </w:r>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EE3997" w:rsidRDefault="004A7A81"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2147</w:t>
      </w:r>
      <w:r w:rsidR="00D0232C">
        <w:rPr>
          <w:rFonts w:cs="Arial"/>
          <w:b/>
          <w:bCs/>
          <w:sz w:val="24"/>
          <w:szCs w:val="24"/>
        </w:rPr>
        <w:t>.</w:t>
      </w:r>
      <w:r w:rsidR="00316968" w:rsidRPr="00667E8D">
        <w:rPr>
          <w:rFonts w:cs="Arial"/>
          <w:b/>
          <w:bCs/>
          <w:sz w:val="24"/>
          <w:szCs w:val="24"/>
        </w:rPr>
        <w:tab/>
      </w:r>
      <w:r w:rsidRPr="004A7A81">
        <w:rPr>
          <w:rFonts w:eastAsia="Calibri" w:cs="Arial"/>
          <w:b/>
          <w:sz w:val="24"/>
          <w:szCs w:val="24"/>
          <w:lang w:eastAsia="en-US"/>
        </w:rPr>
        <w:t>Mrs</w:t>
      </w:r>
      <w:r>
        <w:rPr>
          <w:rFonts w:eastAsia="Calibri" w:cs="Arial"/>
          <w:b/>
          <w:sz w:val="24"/>
          <w:szCs w:val="24"/>
          <w:lang w:eastAsia="en-US"/>
        </w:rPr>
        <w:t>.</w:t>
      </w:r>
      <w:r w:rsidRPr="004A7A81">
        <w:rPr>
          <w:rFonts w:eastAsia="Calibri" w:cs="Arial"/>
          <w:b/>
          <w:sz w:val="24"/>
          <w:szCs w:val="24"/>
          <w:lang w:eastAsia="en-US"/>
        </w:rPr>
        <w:t xml:space="preserve"> V van Dyk (DA) </w:t>
      </w:r>
      <w:r w:rsidR="003D7DE9" w:rsidRPr="003D7DE9">
        <w:rPr>
          <w:rFonts w:eastAsia="Calibri" w:cs="Arial"/>
          <w:b/>
          <w:sz w:val="24"/>
          <w:szCs w:val="24"/>
          <w:lang w:eastAsia="en-US"/>
        </w:rPr>
        <w:t>asked the Minister of Public Works and Infrastructure</w:t>
      </w:r>
      <w:r w:rsidR="00283A4C" w:rsidRPr="00EE3997">
        <w:rPr>
          <w:rFonts w:eastAsia="Calibri" w:cs="Arial"/>
          <w:b/>
          <w:sz w:val="24"/>
          <w:szCs w:val="24"/>
          <w:lang w:eastAsia="en-US"/>
        </w:rPr>
        <w:fldChar w:fldCharType="begin"/>
      </w:r>
      <w:r w:rsidR="003D7DE9" w:rsidRPr="00EE3997">
        <w:rPr>
          <w:rFonts w:eastAsia="Calibri" w:cs="Arial"/>
          <w:sz w:val="24"/>
          <w:szCs w:val="24"/>
          <w:lang w:eastAsia="en-US"/>
        </w:rPr>
        <w:instrText xml:space="preserve"> XE "</w:instrText>
      </w:r>
      <w:r w:rsidR="003D7DE9" w:rsidRPr="00EE3997">
        <w:rPr>
          <w:rFonts w:eastAsia="Calibri" w:cs="Arial"/>
          <w:b/>
          <w:sz w:val="24"/>
          <w:szCs w:val="24"/>
          <w:lang w:eastAsia="en-US"/>
        </w:rPr>
        <w:instrText>Public Works and Infrastructure</w:instrText>
      </w:r>
      <w:r w:rsidR="003D7DE9" w:rsidRPr="00EE3997">
        <w:rPr>
          <w:rFonts w:eastAsia="Calibri" w:cs="Arial"/>
          <w:sz w:val="24"/>
          <w:szCs w:val="24"/>
          <w:lang w:eastAsia="en-US"/>
        </w:rPr>
        <w:instrText>"</w:instrText>
      </w:r>
      <w:r w:rsidR="00283A4C" w:rsidRPr="00EE3997">
        <w:rPr>
          <w:rFonts w:eastAsia="Calibri" w:cs="Arial"/>
          <w:b/>
          <w:sz w:val="24"/>
          <w:szCs w:val="24"/>
          <w:lang w:eastAsia="en-US"/>
        </w:rPr>
        <w:fldChar w:fldCharType="end"/>
      </w:r>
      <w:r w:rsidR="003D7DE9" w:rsidRPr="00EE3997">
        <w:rPr>
          <w:rFonts w:eastAsia="Calibri" w:cs="Arial"/>
          <w:b/>
          <w:sz w:val="24"/>
          <w:szCs w:val="24"/>
          <w:lang w:eastAsia="en-US"/>
        </w:rPr>
        <w:t>:</w:t>
      </w:r>
    </w:p>
    <w:p w:rsidR="004A7A81" w:rsidRPr="004A7A81" w:rsidRDefault="004A7A81" w:rsidP="004A7A81">
      <w:pPr>
        <w:autoSpaceDE w:val="0"/>
        <w:autoSpaceDN w:val="0"/>
        <w:adjustRightInd w:val="0"/>
        <w:spacing w:before="100" w:beforeAutospacing="1" w:after="100" w:afterAutospacing="1" w:line="259" w:lineRule="auto"/>
        <w:ind w:left="1439" w:right="26" w:hanging="730"/>
        <w:rPr>
          <w:rFonts w:eastAsia="Calibri" w:cs="Arial"/>
          <w:sz w:val="24"/>
          <w:szCs w:val="24"/>
          <w:lang w:eastAsia="en-US"/>
        </w:rPr>
      </w:pPr>
      <w:r w:rsidRPr="004A7A81">
        <w:rPr>
          <w:rFonts w:eastAsia="Calibri" w:cs="Arial"/>
          <w:sz w:val="24"/>
          <w:szCs w:val="24"/>
          <w:lang w:eastAsia="en-US"/>
        </w:rPr>
        <w:t>(1)</w:t>
      </w:r>
      <w:r w:rsidRPr="004A7A81">
        <w:rPr>
          <w:rFonts w:eastAsia="Calibri" w:cs="Arial"/>
          <w:sz w:val="24"/>
          <w:szCs w:val="24"/>
          <w:lang w:eastAsia="en-US"/>
        </w:rPr>
        <w:tab/>
        <w:t>With reference to the reply of the Minister of Sport, Arts and Culture to question 299 on 19 March 2021, which indicates that she has been appointed as the custodian of the immovable assets which vested within the national sphere of government and is thus the caretaker of the state-owned building Iziko Old Townhouse (IOTH) in terms of the Government Immovable Asset Management Act, Act 19 of 2007 (details furnished), (a) on what date will the (i) electrical and other problems of the Old Town House be fixed and (ii) building be reopened to the public, (b) who is the person responsible for maintenance of the specified house and (c) what has she found to be the reasons that the maintenance of the IOTH has not been done;</w:t>
      </w:r>
    </w:p>
    <w:p w:rsidR="005E5B4C" w:rsidRPr="004A7A81" w:rsidRDefault="004A7A81" w:rsidP="004A7A81">
      <w:pPr>
        <w:spacing w:line="259" w:lineRule="auto"/>
        <w:ind w:left="1439" w:right="26" w:hanging="730"/>
        <w:outlineLvl w:val="0"/>
        <w:rPr>
          <w:rFonts w:cs="Arial"/>
          <w:b/>
          <w:sz w:val="24"/>
          <w:szCs w:val="24"/>
          <w:lang w:val="en-GB" w:eastAsia="en-US"/>
        </w:rPr>
      </w:pPr>
      <w:r w:rsidRPr="005F1B7F">
        <w:rPr>
          <w:rFonts w:eastAsia="Calibri" w:cs="Arial"/>
          <w:sz w:val="24"/>
          <w:szCs w:val="24"/>
          <w:lang w:eastAsia="en-US"/>
        </w:rPr>
        <w:t>(2)</w:t>
      </w:r>
      <w:r w:rsidRPr="005F1B7F">
        <w:rPr>
          <w:rFonts w:eastAsia="Calibri" w:cs="Arial"/>
          <w:sz w:val="24"/>
          <w:szCs w:val="24"/>
          <w:lang w:eastAsia="en-US"/>
        </w:rPr>
        <w:tab/>
        <w:t>whether there is a timeline for the completion of the upgrading; if not, why not; if so, wha</w:t>
      </w:r>
      <w:r>
        <w:rPr>
          <w:rFonts w:eastAsia="Calibri" w:cs="Arial"/>
          <w:sz w:val="24"/>
          <w:szCs w:val="24"/>
          <w:lang w:eastAsia="en-US"/>
        </w:rPr>
        <w:t>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5F1B7F">
        <w:rPr>
          <w:rFonts w:eastAsia="Calibri" w:cs="Arial"/>
          <w:b/>
          <w:sz w:val="24"/>
          <w:szCs w:val="24"/>
          <w:lang w:eastAsia="en-US"/>
        </w:rPr>
        <w:t>NW2521E</w:t>
      </w:r>
    </w:p>
    <w:p w:rsidR="00827605" w:rsidRDefault="00745B02" w:rsidP="004A7A81">
      <w:pPr>
        <w:spacing w:line="259" w:lineRule="auto"/>
        <w:ind w:right="26"/>
        <w:outlineLvl w:val="0"/>
        <w:rPr>
          <w:b/>
          <w:bCs/>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A7747F" w:rsidRDefault="00745B02" w:rsidP="00CD1764">
      <w:pPr>
        <w:spacing w:line="360" w:lineRule="auto"/>
        <w:rPr>
          <w:bCs/>
          <w:sz w:val="24"/>
          <w:szCs w:val="24"/>
        </w:rPr>
      </w:pPr>
      <w:r w:rsidRPr="00A7747F">
        <w:rPr>
          <w:b/>
          <w:bCs/>
          <w:sz w:val="24"/>
          <w:szCs w:val="24"/>
        </w:rPr>
        <w:t xml:space="preserve">The Minister of </w:t>
      </w:r>
      <w:r w:rsidR="00922748" w:rsidRPr="00A7747F">
        <w:rPr>
          <w:b/>
          <w:bCs/>
          <w:sz w:val="24"/>
          <w:szCs w:val="24"/>
        </w:rPr>
        <w:t>Public Works and Infrastructure</w:t>
      </w:r>
      <w:r w:rsidR="00A7747F">
        <w:rPr>
          <w:b/>
          <w:bCs/>
          <w:sz w:val="24"/>
          <w:szCs w:val="24"/>
        </w:rPr>
        <w:t>:</w:t>
      </w:r>
    </w:p>
    <w:p w:rsidR="00AE3765" w:rsidRDefault="00AE3765" w:rsidP="00AE3765">
      <w:pPr>
        <w:rPr>
          <w:bCs/>
          <w:color w:val="000000" w:themeColor="text1"/>
          <w:sz w:val="24"/>
          <w:szCs w:val="24"/>
        </w:rPr>
      </w:pPr>
    </w:p>
    <w:p w:rsidR="00AE3765" w:rsidRDefault="00AE3765" w:rsidP="00AE3765">
      <w:pPr>
        <w:rPr>
          <w:bCs/>
          <w:color w:val="000000" w:themeColor="text1"/>
          <w:sz w:val="24"/>
          <w:szCs w:val="24"/>
        </w:rPr>
      </w:pPr>
      <w:r>
        <w:rPr>
          <w:bCs/>
          <w:color w:val="000000" w:themeColor="text1"/>
          <w:sz w:val="24"/>
          <w:szCs w:val="24"/>
        </w:rPr>
        <w:t>(1)</w:t>
      </w:r>
      <w:r>
        <w:rPr>
          <w:bCs/>
          <w:color w:val="000000" w:themeColor="text1"/>
          <w:sz w:val="24"/>
          <w:szCs w:val="24"/>
        </w:rPr>
        <w:tab/>
        <w:t>a)</w:t>
      </w:r>
      <w:r>
        <w:rPr>
          <w:bCs/>
          <w:color w:val="000000" w:themeColor="text1"/>
          <w:sz w:val="24"/>
          <w:szCs w:val="24"/>
        </w:rPr>
        <w:tab/>
      </w:r>
    </w:p>
    <w:p w:rsidR="00AE3765" w:rsidRDefault="00AE3765" w:rsidP="00AE3765">
      <w:pPr>
        <w:ind w:left="2160" w:hanging="720"/>
        <w:rPr>
          <w:bCs/>
          <w:color w:val="000000" w:themeColor="text1"/>
          <w:sz w:val="24"/>
          <w:szCs w:val="24"/>
        </w:rPr>
      </w:pPr>
      <w:r>
        <w:rPr>
          <w:bCs/>
          <w:color w:val="000000" w:themeColor="text1"/>
          <w:sz w:val="24"/>
          <w:szCs w:val="24"/>
        </w:rPr>
        <w:t>(i)</w:t>
      </w:r>
      <w:r>
        <w:rPr>
          <w:bCs/>
          <w:color w:val="000000" w:themeColor="text1"/>
          <w:sz w:val="24"/>
          <w:szCs w:val="24"/>
        </w:rPr>
        <w:tab/>
      </w:r>
      <w:r w:rsidR="00A7747F">
        <w:rPr>
          <w:bCs/>
          <w:color w:val="000000" w:themeColor="text1"/>
          <w:sz w:val="24"/>
          <w:szCs w:val="24"/>
        </w:rPr>
        <w:t>I have been informed by the Department that t</w:t>
      </w:r>
      <w:r>
        <w:rPr>
          <w:bCs/>
          <w:color w:val="000000" w:themeColor="text1"/>
          <w:sz w:val="24"/>
          <w:szCs w:val="24"/>
        </w:rPr>
        <w:t>he following repairs are funded by the Department of Sport Arts and Culture:</w:t>
      </w:r>
    </w:p>
    <w:p w:rsidR="00AE3765" w:rsidRDefault="00AE3765" w:rsidP="00AE3765">
      <w:pPr>
        <w:rPr>
          <w:bCs/>
          <w:color w:val="000000" w:themeColor="text1"/>
          <w:sz w:val="24"/>
          <w:szCs w:val="24"/>
        </w:rPr>
      </w:pPr>
    </w:p>
    <w:p w:rsidR="00AE3765" w:rsidRDefault="00AE3765" w:rsidP="00AE3765">
      <w:pPr>
        <w:ind w:left="2160"/>
        <w:rPr>
          <w:bCs/>
          <w:color w:val="000000" w:themeColor="text1"/>
          <w:sz w:val="24"/>
          <w:szCs w:val="24"/>
        </w:rPr>
      </w:pPr>
      <w:r w:rsidRPr="00BD47E9">
        <w:rPr>
          <w:b/>
          <w:bCs/>
          <w:color w:val="000000" w:themeColor="text1"/>
          <w:sz w:val="24"/>
          <w:szCs w:val="24"/>
          <w:u w:val="single"/>
        </w:rPr>
        <w:t>Phase 1</w:t>
      </w:r>
      <w:r>
        <w:rPr>
          <w:bCs/>
          <w:color w:val="000000" w:themeColor="text1"/>
          <w:sz w:val="24"/>
          <w:szCs w:val="24"/>
        </w:rPr>
        <w:t xml:space="preserve">:  Repair and maintenance was completed by 30 March 2022 and this was the external painting of the entire building &amp; boundary wall including repairs of </w:t>
      </w:r>
      <w:r w:rsidR="00A7747F">
        <w:rPr>
          <w:bCs/>
          <w:color w:val="000000" w:themeColor="text1"/>
          <w:sz w:val="24"/>
          <w:szCs w:val="24"/>
        </w:rPr>
        <w:t xml:space="preserve">the </w:t>
      </w:r>
      <w:r>
        <w:rPr>
          <w:bCs/>
          <w:color w:val="000000" w:themeColor="text1"/>
          <w:sz w:val="24"/>
          <w:szCs w:val="24"/>
        </w:rPr>
        <w:t>ceiling that collapsed, bird proofing, replacement of broken windows and window frames, sanding and varnishing of doors.</w:t>
      </w:r>
    </w:p>
    <w:p w:rsidR="00AE3765" w:rsidRDefault="00AE3765" w:rsidP="00AE3765">
      <w:pPr>
        <w:jc w:val="left"/>
        <w:rPr>
          <w:bCs/>
          <w:color w:val="000000" w:themeColor="text1"/>
          <w:sz w:val="24"/>
          <w:szCs w:val="24"/>
        </w:rPr>
      </w:pPr>
    </w:p>
    <w:p w:rsidR="00AE3765" w:rsidRDefault="00AE3765" w:rsidP="00AE3765">
      <w:pPr>
        <w:ind w:left="2160"/>
        <w:rPr>
          <w:bCs/>
          <w:color w:val="000000" w:themeColor="text1"/>
          <w:sz w:val="24"/>
          <w:szCs w:val="24"/>
        </w:rPr>
      </w:pPr>
      <w:r w:rsidRPr="00BD47E9">
        <w:rPr>
          <w:b/>
          <w:bCs/>
          <w:color w:val="000000" w:themeColor="text1"/>
          <w:sz w:val="24"/>
          <w:szCs w:val="24"/>
          <w:u w:val="single"/>
        </w:rPr>
        <w:t>Phase 2</w:t>
      </w:r>
      <w:r>
        <w:rPr>
          <w:bCs/>
          <w:color w:val="000000" w:themeColor="text1"/>
          <w:sz w:val="24"/>
          <w:szCs w:val="24"/>
        </w:rPr>
        <w:t xml:space="preserve">:  Further repairs </w:t>
      </w:r>
      <w:r w:rsidR="00A7747F">
        <w:rPr>
          <w:bCs/>
          <w:color w:val="000000" w:themeColor="text1"/>
          <w:sz w:val="24"/>
          <w:szCs w:val="24"/>
        </w:rPr>
        <w:t>and maintenance are in progress. The</w:t>
      </w:r>
      <w:r>
        <w:rPr>
          <w:bCs/>
          <w:color w:val="000000" w:themeColor="text1"/>
          <w:sz w:val="24"/>
          <w:szCs w:val="24"/>
        </w:rPr>
        <w:t xml:space="preserve"> contractor is on site undertaking the work</w:t>
      </w:r>
      <w:r w:rsidR="00384AC8">
        <w:rPr>
          <w:bCs/>
          <w:color w:val="000000" w:themeColor="text1"/>
          <w:sz w:val="24"/>
          <w:szCs w:val="24"/>
        </w:rPr>
        <w:t>, including the electrical upgrade</w:t>
      </w:r>
      <w:r>
        <w:rPr>
          <w:bCs/>
          <w:color w:val="000000" w:themeColor="text1"/>
          <w:sz w:val="24"/>
          <w:szCs w:val="24"/>
        </w:rPr>
        <w:t xml:space="preserve">.  The estimated completion for all the infrastructural work is end of November 2022. </w:t>
      </w:r>
    </w:p>
    <w:p w:rsidR="00AE3765" w:rsidRDefault="00AE3765" w:rsidP="00AE3765">
      <w:pPr>
        <w:jc w:val="left"/>
        <w:rPr>
          <w:bCs/>
          <w:color w:val="000000" w:themeColor="text1"/>
          <w:sz w:val="24"/>
          <w:szCs w:val="24"/>
        </w:rPr>
      </w:pPr>
    </w:p>
    <w:p w:rsidR="00AE3765" w:rsidRDefault="00AE3765" w:rsidP="00AE3765">
      <w:pPr>
        <w:ind w:left="2160" w:hanging="720"/>
        <w:rPr>
          <w:bCs/>
          <w:color w:val="000000" w:themeColor="text1"/>
          <w:sz w:val="24"/>
          <w:szCs w:val="24"/>
        </w:rPr>
      </w:pPr>
      <w:r>
        <w:rPr>
          <w:bCs/>
          <w:color w:val="000000" w:themeColor="text1"/>
          <w:sz w:val="24"/>
          <w:szCs w:val="24"/>
        </w:rPr>
        <w:t>(ii)</w:t>
      </w:r>
      <w:r>
        <w:rPr>
          <w:bCs/>
          <w:color w:val="000000" w:themeColor="text1"/>
          <w:sz w:val="24"/>
          <w:szCs w:val="24"/>
        </w:rPr>
        <w:tab/>
        <w:t>The estimated completion for all the infrastructural work is end November 2022.  Thereafter the artworks, other collections and new installations will be reinstalled by the Curatorial Team.  The aim is to reopen the IOTH to the public during Heritage Week 2023.</w:t>
      </w:r>
    </w:p>
    <w:p w:rsidR="00AE3765" w:rsidRDefault="00AE3765" w:rsidP="00AE3765">
      <w:pPr>
        <w:jc w:val="left"/>
        <w:rPr>
          <w:bCs/>
          <w:color w:val="000000" w:themeColor="text1"/>
          <w:sz w:val="24"/>
          <w:szCs w:val="24"/>
        </w:rPr>
      </w:pPr>
    </w:p>
    <w:p w:rsidR="00AE3765" w:rsidRDefault="00AE3765" w:rsidP="00EF638D">
      <w:pPr>
        <w:ind w:firstLine="720"/>
        <w:rPr>
          <w:bCs/>
          <w:color w:val="000000" w:themeColor="text1"/>
          <w:sz w:val="24"/>
          <w:szCs w:val="24"/>
        </w:rPr>
      </w:pPr>
      <w:r>
        <w:rPr>
          <w:bCs/>
          <w:color w:val="000000" w:themeColor="text1"/>
          <w:sz w:val="24"/>
          <w:szCs w:val="24"/>
        </w:rPr>
        <w:t>b)</w:t>
      </w:r>
      <w:r>
        <w:rPr>
          <w:bCs/>
          <w:color w:val="000000" w:themeColor="text1"/>
          <w:sz w:val="24"/>
          <w:szCs w:val="24"/>
        </w:rPr>
        <w:tab/>
        <w:t>The client is responsible for maintenance work up to R1</w:t>
      </w:r>
      <w:r w:rsidR="00A7747F">
        <w:rPr>
          <w:bCs/>
          <w:color w:val="000000" w:themeColor="text1"/>
          <w:sz w:val="24"/>
          <w:szCs w:val="24"/>
        </w:rPr>
        <w:t xml:space="preserve"> million</w:t>
      </w:r>
      <w:r w:rsidR="00EF638D">
        <w:rPr>
          <w:bCs/>
          <w:color w:val="000000" w:themeColor="text1"/>
          <w:sz w:val="24"/>
          <w:szCs w:val="24"/>
        </w:rPr>
        <w:t xml:space="preserve">. </w:t>
      </w:r>
      <w:bookmarkStart w:id="0" w:name="_GoBack"/>
      <w:bookmarkEnd w:id="0"/>
    </w:p>
    <w:p w:rsidR="00AE3765" w:rsidRDefault="00AE3765" w:rsidP="00AE3765">
      <w:pPr>
        <w:rPr>
          <w:bCs/>
          <w:color w:val="000000" w:themeColor="text1"/>
          <w:sz w:val="24"/>
          <w:szCs w:val="24"/>
        </w:rPr>
      </w:pPr>
    </w:p>
    <w:p w:rsidR="00AE3765" w:rsidRDefault="00AE3765" w:rsidP="00AE3765">
      <w:pPr>
        <w:rPr>
          <w:bCs/>
          <w:color w:val="000000" w:themeColor="text1"/>
          <w:sz w:val="24"/>
          <w:szCs w:val="24"/>
        </w:rPr>
      </w:pPr>
    </w:p>
    <w:p w:rsidR="00AE3765" w:rsidRDefault="00AE3765" w:rsidP="00AE3765">
      <w:pPr>
        <w:ind w:left="1440" w:hanging="720"/>
        <w:rPr>
          <w:bCs/>
          <w:color w:val="000000" w:themeColor="text1"/>
          <w:sz w:val="24"/>
          <w:szCs w:val="24"/>
        </w:rPr>
      </w:pPr>
      <w:r>
        <w:rPr>
          <w:bCs/>
          <w:color w:val="000000" w:themeColor="text1"/>
          <w:sz w:val="24"/>
          <w:szCs w:val="24"/>
        </w:rPr>
        <w:t>c)</w:t>
      </w:r>
      <w:r>
        <w:rPr>
          <w:bCs/>
          <w:color w:val="000000" w:themeColor="text1"/>
          <w:sz w:val="24"/>
          <w:szCs w:val="24"/>
        </w:rPr>
        <w:tab/>
        <w:t>As indicated above repairs and maintenance are in progress, the contractor is on site undertaking the work.</w:t>
      </w:r>
    </w:p>
    <w:p w:rsidR="00AE3765" w:rsidRDefault="00AE3765" w:rsidP="00AE3765">
      <w:pPr>
        <w:rPr>
          <w:bCs/>
          <w:color w:val="000000" w:themeColor="text1"/>
          <w:sz w:val="24"/>
          <w:szCs w:val="24"/>
        </w:rPr>
      </w:pPr>
    </w:p>
    <w:p w:rsidR="00AE3765" w:rsidRDefault="00AE3765" w:rsidP="00AE3765">
      <w:pPr>
        <w:rPr>
          <w:bCs/>
          <w:color w:val="000000" w:themeColor="text1"/>
          <w:sz w:val="24"/>
          <w:szCs w:val="24"/>
        </w:rPr>
      </w:pPr>
      <w:r>
        <w:rPr>
          <w:bCs/>
          <w:color w:val="000000" w:themeColor="text1"/>
          <w:sz w:val="24"/>
          <w:szCs w:val="24"/>
        </w:rPr>
        <w:t>(2)</w:t>
      </w:r>
      <w:r>
        <w:rPr>
          <w:bCs/>
          <w:color w:val="000000" w:themeColor="text1"/>
          <w:sz w:val="24"/>
          <w:szCs w:val="24"/>
        </w:rPr>
        <w:tab/>
        <w:t>The estimated completion for all the infrastructural work is end November 2022</w:t>
      </w:r>
    </w:p>
    <w:p w:rsidR="00ED1C67" w:rsidRDefault="00ED1C67" w:rsidP="00ED1C67">
      <w:pPr>
        <w:autoSpaceDE w:val="0"/>
        <w:autoSpaceDN w:val="0"/>
        <w:adjustRightInd w:val="0"/>
        <w:jc w:val="left"/>
        <w:rPr>
          <w:rFonts w:cs="Arial"/>
          <w:color w:val="000000"/>
          <w:sz w:val="24"/>
          <w:szCs w:val="24"/>
          <w:lang w:val="en-US" w:eastAsia="en-US"/>
        </w:rPr>
      </w:pPr>
    </w:p>
    <w:p w:rsidR="00F23142" w:rsidRDefault="00F23142" w:rsidP="00ED1C67">
      <w:pPr>
        <w:autoSpaceDE w:val="0"/>
        <w:autoSpaceDN w:val="0"/>
        <w:adjustRightInd w:val="0"/>
        <w:jc w:val="left"/>
        <w:rPr>
          <w:rFonts w:cs="Arial"/>
          <w:color w:val="000000"/>
          <w:sz w:val="24"/>
          <w:szCs w:val="24"/>
          <w:lang w:val="en-US" w:eastAsia="en-US"/>
        </w:rPr>
      </w:pPr>
    </w:p>
    <w:p w:rsidR="00EE3997" w:rsidRDefault="00EE3997" w:rsidP="00ED1C67">
      <w:pPr>
        <w:autoSpaceDE w:val="0"/>
        <w:autoSpaceDN w:val="0"/>
        <w:adjustRightInd w:val="0"/>
        <w:jc w:val="left"/>
        <w:rPr>
          <w:rFonts w:cs="Arial"/>
          <w:color w:val="000000"/>
          <w:sz w:val="24"/>
          <w:szCs w:val="24"/>
          <w:lang w:val="en-US" w:eastAsia="en-US"/>
        </w:rPr>
      </w:pPr>
    </w:p>
    <w:sectPr w:rsidR="00EE399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20" w:rsidRDefault="00D41D20" w:rsidP="00B01072">
      <w:r>
        <w:separator/>
      </w:r>
    </w:p>
  </w:endnote>
  <w:endnote w:type="continuationSeparator" w:id="0">
    <w:p w:rsidR="00D41D20" w:rsidRDefault="00D41D2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7F" w:rsidRPr="00745B02" w:rsidRDefault="00A7747F"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2147</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4A7A81">
      <w:rPr>
        <w:rFonts w:eastAsiaTheme="majorEastAsia" w:cs="Arial"/>
        <w:b/>
        <w:bCs/>
        <w:sz w:val="18"/>
        <w:szCs w:val="18"/>
        <w:lang w:val="en-US"/>
      </w:rPr>
      <w:t>Mrs</w:t>
    </w:r>
    <w:r>
      <w:rPr>
        <w:rFonts w:eastAsiaTheme="majorEastAsia" w:cs="Arial"/>
        <w:b/>
        <w:bCs/>
        <w:sz w:val="18"/>
        <w:szCs w:val="18"/>
        <w:lang w:val="en-US"/>
      </w:rPr>
      <w:t>.</w:t>
    </w:r>
    <w:r w:rsidRPr="004A7A81">
      <w:rPr>
        <w:rFonts w:eastAsiaTheme="majorEastAsia" w:cs="Arial"/>
        <w:b/>
        <w:bCs/>
        <w:sz w:val="18"/>
        <w:szCs w:val="18"/>
        <w:lang w:val="en-US"/>
      </w:rPr>
      <w:t xml:space="preserve"> V van Dyk (DA)</w:t>
    </w:r>
    <w:r w:rsidRPr="00745B02">
      <w:rPr>
        <w:rFonts w:eastAsiaTheme="majorEastAsia" w:cs="Arial"/>
        <w:b/>
        <w:bCs/>
        <w:sz w:val="18"/>
        <w:szCs w:val="18"/>
        <w:lang w:val="en-US"/>
      </w:rPr>
      <w:tab/>
      <w:t xml:space="preserve">PAGE </w:t>
    </w:r>
    <w:r w:rsidR="00283A4C" w:rsidRPr="00283A4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83A4C" w:rsidRPr="00283A4C">
      <w:rPr>
        <w:rFonts w:eastAsiaTheme="majorEastAsia" w:cs="Arial"/>
        <w:b/>
        <w:bCs/>
        <w:sz w:val="18"/>
        <w:szCs w:val="18"/>
        <w:lang w:val="en-US"/>
      </w:rPr>
      <w:fldChar w:fldCharType="separate"/>
    </w:r>
    <w:r w:rsidR="00D41D20">
      <w:rPr>
        <w:rFonts w:eastAsiaTheme="majorEastAsia" w:cs="Arial"/>
        <w:b/>
        <w:bCs/>
        <w:noProof/>
        <w:sz w:val="18"/>
        <w:szCs w:val="18"/>
        <w:lang w:val="en-US"/>
      </w:rPr>
      <w:t>1</w:t>
    </w:r>
    <w:r w:rsidR="00283A4C" w:rsidRPr="00745B02">
      <w:rPr>
        <w:rFonts w:eastAsiaTheme="majorEastAsia" w:cs="Arial"/>
        <w:b/>
        <w:sz w:val="18"/>
        <w:szCs w:val="18"/>
      </w:rPr>
      <w:fldChar w:fldCharType="end"/>
    </w:r>
  </w:p>
  <w:p w:rsidR="00A7747F" w:rsidRPr="00745B02" w:rsidRDefault="00A7747F" w:rsidP="00745B02">
    <w:pPr>
      <w:pStyle w:val="Footer"/>
      <w:pBdr>
        <w:top w:val="thinThickSmallGap" w:sz="24" w:space="0" w:color="622423" w:themeColor="accent2" w:themeShade="7F"/>
      </w:pBdr>
      <w:rPr>
        <w:rFonts w:eastAsiaTheme="majorEastAsia" w:cs="Arial"/>
        <w:b/>
        <w:sz w:val="18"/>
        <w:szCs w:val="18"/>
        <w:lang w:val="en-US"/>
      </w:rPr>
    </w:pPr>
  </w:p>
  <w:p w:rsidR="00A7747F" w:rsidRPr="000B4F40" w:rsidRDefault="00A774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20" w:rsidRDefault="00D41D20" w:rsidP="00B01072">
      <w:r>
        <w:separator/>
      </w:r>
    </w:p>
  </w:footnote>
  <w:footnote w:type="continuationSeparator" w:id="0">
    <w:p w:rsidR="00D41D20" w:rsidRDefault="00D41D2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3A4C"/>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3B9B"/>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4AC8"/>
    <w:rsid w:val="00385CC5"/>
    <w:rsid w:val="00387867"/>
    <w:rsid w:val="0039066D"/>
    <w:rsid w:val="003930E2"/>
    <w:rsid w:val="0039540D"/>
    <w:rsid w:val="00395C0D"/>
    <w:rsid w:val="00396314"/>
    <w:rsid w:val="003A0AD7"/>
    <w:rsid w:val="003A3C9B"/>
    <w:rsid w:val="003A4BA6"/>
    <w:rsid w:val="003B587F"/>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46C0"/>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A7A81"/>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0CE1"/>
    <w:rsid w:val="004D1573"/>
    <w:rsid w:val="004D2249"/>
    <w:rsid w:val="004D2A34"/>
    <w:rsid w:val="004D2F24"/>
    <w:rsid w:val="004D48E8"/>
    <w:rsid w:val="004E13C8"/>
    <w:rsid w:val="004E27A5"/>
    <w:rsid w:val="004E39EC"/>
    <w:rsid w:val="004E434F"/>
    <w:rsid w:val="004E73A5"/>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1F9C"/>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589"/>
    <w:rsid w:val="005D1762"/>
    <w:rsid w:val="005D2822"/>
    <w:rsid w:val="005D4B8C"/>
    <w:rsid w:val="005D5B0B"/>
    <w:rsid w:val="005D718C"/>
    <w:rsid w:val="005D7816"/>
    <w:rsid w:val="005E0845"/>
    <w:rsid w:val="005E2D86"/>
    <w:rsid w:val="005E4EAD"/>
    <w:rsid w:val="005E535A"/>
    <w:rsid w:val="005E5B4C"/>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E7232"/>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267"/>
    <w:rsid w:val="007C5479"/>
    <w:rsid w:val="007C71C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17AB8"/>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602A"/>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1B2C"/>
    <w:rsid w:val="00A7275E"/>
    <w:rsid w:val="00A7652D"/>
    <w:rsid w:val="00A76E6E"/>
    <w:rsid w:val="00A7747F"/>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765"/>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47A9"/>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47E9"/>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1F96"/>
    <w:rsid w:val="00C423BE"/>
    <w:rsid w:val="00C433E7"/>
    <w:rsid w:val="00C438C9"/>
    <w:rsid w:val="00C45CDF"/>
    <w:rsid w:val="00C47F8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04D9"/>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11A"/>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4A17"/>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1D20"/>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4F0"/>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34A"/>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997"/>
    <w:rsid w:val="00EE3DC1"/>
    <w:rsid w:val="00EE4352"/>
    <w:rsid w:val="00EE465F"/>
    <w:rsid w:val="00EE4942"/>
    <w:rsid w:val="00EE7160"/>
    <w:rsid w:val="00EF2079"/>
    <w:rsid w:val="00EF3E7D"/>
    <w:rsid w:val="00EF608A"/>
    <w:rsid w:val="00EF6106"/>
    <w:rsid w:val="00EF638D"/>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2BCD"/>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6570-116E-44FB-B158-6828934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2022-06-09T10:45:00Z</cp:lastPrinted>
  <dcterms:created xsi:type="dcterms:W3CDTF">2022-06-13T12:23:00Z</dcterms:created>
  <dcterms:modified xsi:type="dcterms:W3CDTF">2022-06-13T12:23:00Z</dcterms:modified>
</cp:coreProperties>
</file>