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 xml:space="preserve">QUESTION FOR </w:t>
      </w:r>
      <w:r w:rsidR="00FF1C6D">
        <w:rPr>
          <w:rFonts w:ascii="Arial" w:eastAsia="Arial Unicode MS" w:hAnsi="Arial" w:cs="Arial"/>
          <w:b/>
          <w:bCs/>
          <w:bdr w:val="nil"/>
          <w:lang w:val="en-US"/>
        </w:rPr>
        <w:t>ORAL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 xml:space="preserve">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A311B">
        <w:rPr>
          <w:rFonts w:ascii="Arial" w:eastAsia="Arial Unicode MS" w:hAnsi="Arial" w:cs="Arial"/>
          <w:b/>
          <w:bCs/>
          <w:bdr w:val="nil"/>
          <w:lang w:val="en-US"/>
        </w:rPr>
        <w:t>2135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A311B">
        <w:rPr>
          <w:rFonts w:ascii="Arial" w:eastAsia="Arial Unicode MS" w:hAnsi="Arial" w:cs="Arial"/>
          <w:b/>
          <w:bCs/>
          <w:bdr w:val="nil"/>
          <w:lang w:val="en-US"/>
        </w:rPr>
        <w:t xml:space="preserve">2 June </w:t>
      </w:r>
      <w:r w:rsidR="0088350C">
        <w:rPr>
          <w:rFonts w:ascii="Arial" w:eastAsia="Arial Unicode MS" w:hAnsi="Arial" w:cs="Arial"/>
          <w:b/>
          <w:bCs/>
          <w:bdr w:val="nil"/>
          <w:lang w:val="en-US"/>
        </w:rPr>
        <w:t>2023</w:t>
      </w:r>
    </w:p>
    <w:p w:rsidR="00DB6BD3" w:rsidRPr="00DB6BD3" w:rsidRDefault="00D2403D" w:rsidP="00DB1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5994"/>
        </w:tabs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FF1C6D">
        <w:rPr>
          <w:rFonts w:ascii="Arial" w:eastAsia="Arial Unicode MS" w:hAnsi="Arial" w:cs="Arial"/>
          <w:b/>
          <w:bCs/>
          <w:bdr w:val="nil"/>
          <w:lang w:val="en-US"/>
        </w:rPr>
        <w:t>20</w:t>
      </w:r>
      <w:r w:rsidR="00DB177D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D4285B">
        <w:rPr>
          <w:rFonts w:ascii="Arial" w:eastAsia="Arial Unicode MS" w:hAnsi="Arial" w:cs="Arial"/>
          <w:b/>
          <w:bCs/>
          <w:bdr w:val="nil"/>
          <w:lang w:val="en-US"/>
        </w:rPr>
        <w:t>16 June 2023</w:t>
      </w:r>
    </w:p>
    <w:p w:rsid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88350C" w:rsidRPr="00DB6BD3" w:rsidRDefault="0088350C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305940" w:rsidP="0088350C">
      <w:pPr>
        <w:spacing w:after="120" w:line="276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305940">
        <w:rPr>
          <w:rFonts w:ascii="Arial" w:eastAsia="Calibri" w:hAnsi="Arial" w:cs="Arial"/>
          <w:b/>
          <w:lang w:val="af-ZA"/>
        </w:rPr>
        <w:t>Mr A Matumba (EFF)</w:t>
      </w:r>
      <w:r w:rsidR="00837F6C"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3D4147" w:rsidRPr="003D4147" w:rsidRDefault="00C30D1C" w:rsidP="006E152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0"/>
        <w:jc w:val="both"/>
        <w:rPr>
          <w:rFonts w:ascii="Arial" w:eastAsia="Calibri" w:hAnsi="Arial" w:cs="Arial"/>
        </w:rPr>
      </w:pPr>
      <w:r w:rsidRPr="00C30D1C">
        <w:rPr>
          <w:rFonts w:ascii="Arial" w:eastAsia="Calibri" w:hAnsi="Arial" w:cs="Arial"/>
        </w:rPr>
        <w:t xml:space="preserve">Whether she has taken any steps to ensure that the (a) Director-General and (b) Deputy Director-General of Destination Development face consequence management regarding what happened to </w:t>
      </w:r>
      <w:proofErr w:type="spellStart"/>
      <w:r w:rsidRPr="00C30D1C">
        <w:rPr>
          <w:rFonts w:ascii="Arial" w:eastAsia="Calibri" w:hAnsi="Arial" w:cs="Arial"/>
        </w:rPr>
        <w:t>Manyane</w:t>
      </w:r>
      <w:proofErr w:type="spellEnd"/>
      <w:r w:rsidRPr="00C30D1C">
        <w:rPr>
          <w:rFonts w:ascii="Arial" w:eastAsia="Calibri" w:hAnsi="Arial" w:cs="Arial"/>
        </w:rPr>
        <w:t xml:space="preserve"> Lodge and many other similar projects where no consequences management took place; if not, why not; if so, what are the relevant details in this regard?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C30D1C">
        <w:rPr>
          <w:rFonts w:ascii="Arial" w:eastAsia="Calibri" w:hAnsi="Arial" w:cs="Arial"/>
        </w:rPr>
        <w:t>NO2425E</w:t>
      </w:r>
      <w:r w:rsidR="003D4147" w:rsidRPr="003D4147">
        <w:rPr>
          <w:rFonts w:ascii="Arial" w:eastAsia="Calibri" w:hAnsi="Arial" w:cs="Arial"/>
        </w:rPr>
        <w:tab/>
      </w:r>
    </w:p>
    <w:p w:rsidR="00223A43" w:rsidRDefault="00223A4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B82C25" w:rsidRPr="00DB4704" w:rsidRDefault="00B82C25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423162" w:rsidRPr="00423162" w:rsidRDefault="00685634" w:rsidP="0042316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I have been informed that t</w:t>
      </w:r>
      <w:r w:rsidR="00423162" w:rsidRPr="00423162">
        <w:rPr>
          <w:rFonts w:ascii="Arial" w:eastAsia="Calibri" w:hAnsi="Arial" w:cs="Arial"/>
          <w:lang w:val="en-GB"/>
        </w:rPr>
        <w:t xml:space="preserve">he audit outcome for </w:t>
      </w:r>
      <w:r>
        <w:rPr>
          <w:rFonts w:ascii="Arial" w:eastAsia="Calibri" w:hAnsi="Arial" w:cs="Arial"/>
          <w:lang w:val="en-GB"/>
        </w:rPr>
        <w:t xml:space="preserve">the </w:t>
      </w:r>
      <w:r w:rsidR="00423162" w:rsidRPr="00423162">
        <w:rPr>
          <w:rFonts w:ascii="Arial" w:eastAsia="Calibri" w:hAnsi="Arial" w:cs="Arial"/>
          <w:lang w:val="en-GB"/>
        </w:rPr>
        <w:t xml:space="preserve">2018/2019 financial year identified fruitless and wasteful expenditure in relation to the implementation of the infrastructure projects, included was the </w:t>
      </w:r>
      <w:r w:rsidR="00423162" w:rsidRPr="00423162">
        <w:rPr>
          <w:rFonts w:ascii="Arial" w:eastAsia="Calibri" w:hAnsi="Arial" w:cs="Arial"/>
          <w:u w:val="single"/>
          <w:lang w:val="en-GB"/>
        </w:rPr>
        <w:t>NW – Manyane Lodge Project</w:t>
      </w:r>
      <w:r w:rsidR="00423162" w:rsidRPr="00423162">
        <w:rPr>
          <w:rFonts w:ascii="Arial" w:eastAsia="Calibri" w:hAnsi="Arial" w:cs="Arial"/>
          <w:lang w:val="en-GB"/>
        </w:rPr>
        <w:t>. The AGSA recommended that management should investigate the circumstances related to the reported expenditure.</w:t>
      </w:r>
    </w:p>
    <w:p w:rsidR="00423162" w:rsidRPr="00423162" w:rsidRDefault="00423162" w:rsidP="0042316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lang w:val="en-GB"/>
        </w:rPr>
      </w:pPr>
    </w:p>
    <w:p w:rsidR="00423162" w:rsidRPr="00423162" w:rsidRDefault="00423162" w:rsidP="0042316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lang w:val="en-GB"/>
        </w:rPr>
      </w:pPr>
      <w:r w:rsidRPr="00423162">
        <w:rPr>
          <w:rFonts w:ascii="Arial" w:eastAsia="Calibri" w:hAnsi="Arial" w:cs="Arial"/>
          <w:lang w:val="en-GB"/>
        </w:rPr>
        <w:t>The Accounting Officer, in consultation with the then Executive Authority</w:t>
      </w:r>
      <w:r w:rsidR="00573CDD">
        <w:rPr>
          <w:rFonts w:ascii="Arial" w:eastAsia="Calibri" w:hAnsi="Arial" w:cs="Arial"/>
          <w:lang w:val="en-GB"/>
        </w:rPr>
        <w:t xml:space="preserve">, </w:t>
      </w:r>
      <w:r w:rsidRPr="00423162">
        <w:rPr>
          <w:rFonts w:ascii="Arial" w:eastAsia="Calibri" w:hAnsi="Arial" w:cs="Arial"/>
          <w:lang w:val="en-GB"/>
        </w:rPr>
        <w:t xml:space="preserve">Minister </w:t>
      </w:r>
      <w:proofErr w:type="spellStart"/>
      <w:r w:rsidRPr="00423162">
        <w:rPr>
          <w:rFonts w:ascii="Arial" w:eastAsia="Calibri" w:hAnsi="Arial" w:cs="Arial"/>
          <w:lang w:val="en-GB"/>
        </w:rPr>
        <w:t>Kubayi</w:t>
      </w:r>
      <w:proofErr w:type="spellEnd"/>
      <w:r w:rsidRPr="00423162">
        <w:rPr>
          <w:rFonts w:ascii="Arial" w:eastAsia="Calibri" w:hAnsi="Arial" w:cs="Arial"/>
          <w:lang w:val="en-GB"/>
        </w:rPr>
        <w:t xml:space="preserve">, commissioned a forensic investigation in line with </w:t>
      </w:r>
      <w:r w:rsidRPr="00423162">
        <w:rPr>
          <w:rFonts w:ascii="Arial" w:eastAsia="Calibri" w:hAnsi="Arial" w:cs="Arial"/>
          <w:b/>
          <w:lang w:val="en-GB"/>
        </w:rPr>
        <w:t>Section 38(1) of the PFMA</w:t>
      </w:r>
      <w:r w:rsidRPr="00423162">
        <w:rPr>
          <w:rFonts w:ascii="Arial" w:eastAsia="Calibri" w:hAnsi="Arial" w:cs="Arial"/>
          <w:lang w:val="en-GB"/>
        </w:rPr>
        <w:t xml:space="preserve"> which defines the following responsibilities in relation to the fruitless and wasteful expenditure:</w:t>
      </w:r>
    </w:p>
    <w:p w:rsidR="00423162" w:rsidRPr="00423162" w:rsidRDefault="00423162" w:rsidP="0042316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lang w:val="en-GB"/>
        </w:rPr>
      </w:pPr>
    </w:p>
    <w:p w:rsidR="00423162" w:rsidRPr="00423162" w:rsidRDefault="00423162" w:rsidP="0042316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</w:tabs>
        <w:spacing w:after="0" w:line="240" w:lineRule="auto"/>
        <w:ind w:left="990" w:hanging="630"/>
        <w:jc w:val="both"/>
        <w:rPr>
          <w:rFonts w:ascii="Arial" w:eastAsia="Calibri" w:hAnsi="Arial" w:cs="Arial"/>
          <w:lang w:val="en-GB"/>
        </w:rPr>
      </w:pPr>
      <w:r w:rsidRPr="00423162">
        <w:rPr>
          <w:rFonts w:ascii="Arial" w:eastAsia="Calibri" w:hAnsi="Arial" w:cs="Arial"/>
          <w:b/>
          <w:lang w:val="en-US"/>
        </w:rPr>
        <w:t>Section 38 (1) (c) (ii)</w:t>
      </w:r>
      <w:r w:rsidRPr="00423162">
        <w:rPr>
          <w:rFonts w:ascii="Arial" w:eastAsia="Calibri" w:hAnsi="Arial" w:cs="Arial"/>
          <w:lang w:val="en-US"/>
        </w:rPr>
        <w:t xml:space="preserve"> The accounting officer must take effective and appropriate steps to prevent fruitless and wasteful expenditure;</w:t>
      </w:r>
    </w:p>
    <w:p w:rsidR="00423162" w:rsidRPr="00423162" w:rsidRDefault="00423162" w:rsidP="0042316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</w:tabs>
        <w:spacing w:after="0" w:line="240" w:lineRule="auto"/>
        <w:ind w:left="990" w:hanging="630"/>
        <w:jc w:val="both"/>
        <w:rPr>
          <w:rFonts w:ascii="Arial" w:eastAsia="Calibri" w:hAnsi="Arial" w:cs="Arial"/>
          <w:lang w:val="en-GB"/>
        </w:rPr>
      </w:pPr>
      <w:r w:rsidRPr="00423162">
        <w:rPr>
          <w:rFonts w:ascii="Arial" w:eastAsia="Calibri" w:hAnsi="Arial" w:cs="Arial"/>
          <w:b/>
          <w:lang w:val="en-US"/>
        </w:rPr>
        <w:t>Section 38 (1) (g)</w:t>
      </w:r>
      <w:r w:rsidRPr="00423162">
        <w:rPr>
          <w:rFonts w:ascii="Arial" w:eastAsia="Calibri" w:hAnsi="Arial" w:cs="Arial"/>
          <w:lang w:val="en-US"/>
        </w:rPr>
        <w:t xml:space="preserve"> The accounting officer must on discovery of fruitless and wasteful expenditure, immediately report, in writing, particulars of the expenditure to the relevant treasury; and</w:t>
      </w:r>
    </w:p>
    <w:p w:rsidR="00423162" w:rsidRPr="00423162" w:rsidRDefault="00423162" w:rsidP="0042316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</w:tabs>
        <w:spacing w:after="0" w:line="240" w:lineRule="auto"/>
        <w:ind w:left="990" w:hanging="630"/>
        <w:jc w:val="both"/>
        <w:rPr>
          <w:rFonts w:ascii="Arial" w:eastAsia="Calibri" w:hAnsi="Arial" w:cs="Arial"/>
          <w:lang w:val="en-GB"/>
        </w:rPr>
      </w:pPr>
      <w:r w:rsidRPr="00423162">
        <w:rPr>
          <w:rFonts w:ascii="Arial" w:eastAsia="Calibri" w:hAnsi="Arial" w:cs="Arial"/>
          <w:b/>
          <w:lang w:val="en-US"/>
        </w:rPr>
        <w:t>Section 38 (1) (h):</w:t>
      </w:r>
      <w:r w:rsidRPr="00423162">
        <w:rPr>
          <w:rFonts w:ascii="Arial" w:eastAsia="Calibri" w:hAnsi="Arial" w:cs="Arial"/>
          <w:lang w:val="en-US"/>
        </w:rPr>
        <w:t xml:space="preserve"> The accounting officer must take effective and appropriate disciplinary steps against any official in the service of the department or constitutional institution who makes or permits fruitless and wasteful expenditure.</w:t>
      </w:r>
    </w:p>
    <w:p w:rsidR="00423162" w:rsidRPr="00423162" w:rsidRDefault="00423162" w:rsidP="0042316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lang w:val="en-GB"/>
        </w:rPr>
      </w:pPr>
    </w:p>
    <w:p w:rsidR="00423162" w:rsidRDefault="00423162" w:rsidP="0042316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lang w:val="en-GB"/>
        </w:rPr>
      </w:pPr>
      <w:r w:rsidRPr="00423162">
        <w:rPr>
          <w:rFonts w:ascii="Arial" w:eastAsia="Calibri" w:hAnsi="Arial" w:cs="Arial"/>
          <w:lang w:val="en-GB"/>
        </w:rPr>
        <w:t xml:space="preserve">The forensic investigation yielded that certain officials did not comply with the requirements of </w:t>
      </w:r>
      <w:r>
        <w:rPr>
          <w:rFonts w:ascii="Arial" w:eastAsia="Calibri" w:hAnsi="Arial" w:cs="Arial"/>
          <w:b/>
          <w:lang w:val="en-GB"/>
        </w:rPr>
        <w:t>S</w:t>
      </w:r>
      <w:r w:rsidRPr="00423162">
        <w:rPr>
          <w:rFonts w:ascii="Arial" w:eastAsia="Calibri" w:hAnsi="Arial" w:cs="Arial"/>
          <w:b/>
          <w:lang w:val="en-GB"/>
        </w:rPr>
        <w:t>ection 45(a) to (c) of the PFMA</w:t>
      </w:r>
      <w:r w:rsidRPr="00423162">
        <w:rPr>
          <w:rFonts w:ascii="Arial" w:eastAsia="Calibri" w:hAnsi="Arial" w:cs="Arial"/>
          <w:lang w:val="en-GB"/>
        </w:rPr>
        <w:t xml:space="preserve"> which obligate the following in relation to the responsibilities of other officials:</w:t>
      </w:r>
    </w:p>
    <w:p w:rsidR="00423162" w:rsidRPr="00423162" w:rsidRDefault="00423162" w:rsidP="0042316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lang w:val="en-GB"/>
        </w:rPr>
      </w:pPr>
    </w:p>
    <w:p w:rsidR="00423162" w:rsidRPr="00423162" w:rsidRDefault="00423162" w:rsidP="0042316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423162">
        <w:rPr>
          <w:rFonts w:ascii="Arial" w:eastAsia="Calibri" w:hAnsi="Arial" w:cs="Arial"/>
          <w:b/>
          <w:lang w:val="en-US"/>
        </w:rPr>
        <w:t>Section 45 (a)</w:t>
      </w:r>
      <w:r w:rsidRPr="00423162">
        <w:rPr>
          <w:rFonts w:ascii="Arial" w:eastAsia="Calibri" w:hAnsi="Arial" w:cs="Arial"/>
          <w:lang w:val="en-US"/>
        </w:rPr>
        <w:t xml:space="preserve"> </w:t>
      </w:r>
      <w:r w:rsidR="00F938B2" w:rsidRPr="00423162">
        <w:rPr>
          <w:rFonts w:ascii="Arial" w:eastAsia="Calibri" w:hAnsi="Arial" w:cs="Arial"/>
          <w:lang w:val="en-US"/>
        </w:rPr>
        <w:t>An official in a department</w:t>
      </w:r>
      <w:r w:rsidRPr="00423162">
        <w:rPr>
          <w:rFonts w:ascii="Arial" w:eastAsia="Calibri" w:hAnsi="Arial" w:cs="Arial"/>
          <w:lang w:val="en-US"/>
        </w:rPr>
        <w:t xml:space="preserve"> </w:t>
      </w:r>
      <w:r w:rsidR="00F938B2" w:rsidRPr="00423162">
        <w:rPr>
          <w:rFonts w:ascii="Arial" w:eastAsia="Calibri" w:hAnsi="Arial" w:cs="Arial"/>
          <w:lang w:val="en-US"/>
        </w:rPr>
        <w:t xml:space="preserve">must ensure that the system of financial management and internal control established for that department is carried out within the area of responsibility of that official; </w:t>
      </w:r>
    </w:p>
    <w:p w:rsidR="00423162" w:rsidRPr="00423162" w:rsidRDefault="00423162" w:rsidP="0042316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423162">
        <w:rPr>
          <w:rFonts w:ascii="Arial" w:eastAsia="Calibri" w:hAnsi="Arial" w:cs="Arial"/>
          <w:b/>
          <w:lang w:val="en-US"/>
        </w:rPr>
        <w:lastRenderedPageBreak/>
        <w:t>Section 45 (b)</w:t>
      </w:r>
      <w:r w:rsidRPr="00423162">
        <w:rPr>
          <w:rFonts w:ascii="Arial" w:eastAsia="Calibri" w:hAnsi="Arial" w:cs="Arial"/>
          <w:lang w:val="en-US"/>
        </w:rPr>
        <w:t xml:space="preserve"> </w:t>
      </w:r>
      <w:r w:rsidR="00F938B2" w:rsidRPr="00423162">
        <w:rPr>
          <w:rFonts w:ascii="Arial" w:eastAsia="Calibri" w:hAnsi="Arial" w:cs="Arial"/>
          <w:lang w:val="en-US"/>
        </w:rPr>
        <w:t>An official in a department</w:t>
      </w:r>
      <w:r w:rsidRPr="00423162">
        <w:rPr>
          <w:rFonts w:ascii="Arial" w:eastAsia="Calibri" w:hAnsi="Arial" w:cs="Arial"/>
          <w:lang w:val="en-US"/>
        </w:rPr>
        <w:t xml:space="preserve"> </w:t>
      </w:r>
      <w:r w:rsidR="00F938B2" w:rsidRPr="00423162">
        <w:rPr>
          <w:rFonts w:ascii="Arial" w:eastAsia="Calibri" w:hAnsi="Arial" w:cs="Arial"/>
          <w:lang w:val="en-US"/>
        </w:rPr>
        <w:t xml:space="preserve">is responsible for the effective, efficient, economical and transparent use of financial and other resources within that official’s area of responsibility; </w:t>
      </w:r>
      <w:r w:rsidRPr="00423162">
        <w:rPr>
          <w:rFonts w:ascii="Arial" w:eastAsia="Calibri" w:hAnsi="Arial" w:cs="Arial"/>
          <w:lang w:val="en-US"/>
        </w:rPr>
        <w:t>and</w:t>
      </w:r>
    </w:p>
    <w:p w:rsidR="00423162" w:rsidRPr="00423162" w:rsidRDefault="00423162" w:rsidP="0042316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423162">
        <w:rPr>
          <w:rFonts w:ascii="Arial" w:eastAsia="Calibri" w:hAnsi="Arial" w:cs="Arial"/>
          <w:b/>
          <w:lang w:val="en-US"/>
        </w:rPr>
        <w:t>Section 45 (c)</w:t>
      </w:r>
      <w:r w:rsidRPr="00423162">
        <w:rPr>
          <w:rFonts w:ascii="Arial" w:eastAsia="Calibri" w:hAnsi="Arial" w:cs="Arial"/>
          <w:lang w:val="en-US"/>
        </w:rPr>
        <w:t xml:space="preserve"> </w:t>
      </w:r>
      <w:r w:rsidR="00F938B2" w:rsidRPr="00423162">
        <w:rPr>
          <w:rFonts w:ascii="Arial" w:eastAsia="Calibri" w:hAnsi="Arial" w:cs="Arial"/>
          <w:lang w:val="en-US"/>
        </w:rPr>
        <w:t>An official in a department</w:t>
      </w:r>
      <w:r w:rsidRPr="00423162">
        <w:rPr>
          <w:rFonts w:ascii="Arial" w:eastAsia="Calibri" w:hAnsi="Arial" w:cs="Arial"/>
          <w:lang w:val="en-US"/>
        </w:rPr>
        <w:t xml:space="preserve"> </w:t>
      </w:r>
      <w:r w:rsidR="00F938B2" w:rsidRPr="00423162">
        <w:rPr>
          <w:rFonts w:ascii="Arial" w:eastAsia="Calibri" w:hAnsi="Arial" w:cs="Arial"/>
          <w:lang w:val="en-US"/>
        </w:rPr>
        <w:t>must take effective and appropriate steps to prevent, within that official’s area of responsibility, any unauthorised expenditure, irregular expenditure and fruitless and wasteful expenditure</w:t>
      </w:r>
      <w:r w:rsidRPr="00423162">
        <w:rPr>
          <w:rFonts w:ascii="Arial" w:eastAsia="Calibri" w:hAnsi="Arial" w:cs="Arial"/>
          <w:lang w:val="en-US"/>
        </w:rPr>
        <w:t>.</w:t>
      </w:r>
    </w:p>
    <w:p w:rsidR="00423162" w:rsidRPr="00423162" w:rsidRDefault="00423162" w:rsidP="0042316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b/>
          <w:lang w:val="en-US"/>
        </w:rPr>
      </w:pPr>
    </w:p>
    <w:p w:rsidR="00423162" w:rsidRPr="00423162" w:rsidRDefault="00423162" w:rsidP="0042316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lang w:val="en-GB"/>
        </w:rPr>
      </w:pPr>
      <w:r w:rsidRPr="00423162">
        <w:rPr>
          <w:rFonts w:ascii="Arial" w:eastAsia="Calibri" w:hAnsi="Arial" w:cs="Arial"/>
          <w:lang w:val="en-GB"/>
        </w:rPr>
        <w:t>The reported findings also went into each official’s own alleged transgressions per project.</w:t>
      </w:r>
    </w:p>
    <w:p w:rsidR="00423162" w:rsidRPr="00423162" w:rsidRDefault="00423162" w:rsidP="0042316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lang w:val="en-GB"/>
        </w:rPr>
      </w:pPr>
    </w:p>
    <w:p w:rsidR="00423162" w:rsidRPr="00423162" w:rsidRDefault="00423162" w:rsidP="0042316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lang w:val="en-GB"/>
        </w:rPr>
      </w:pPr>
      <w:r w:rsidRPr="00423162">
        <w:rPr>
          <w:rFonts w:ascii="Arial" w:eastAsia="Calibri" w:hAnsi="Arial" w:cs="Arial"/>
          <w:lang w:val="en-GB"/>
        </w:rPr>
        <w:t>The Deputy Director-General who was responsible for the programme, at that time, has since re</w:t>
      </w:r>
      <w:r w:rsidR="0058083C">
        <w:rPr>
          <w:rFonts w:ascii="Arial" w:eastAsia="Calibri" w:hAnsi="Arial" w:cs="Arial"/>
          <w:lang w:val="en-GB"/>
        </w:rPr>
        <w:t>tir</w:t>
      </w:r>
      <w:r w:rsidRPr="00423162">
        <w:rPr>
          <w:rFonts w:ascii="Arial" w:eastAsia="Calibri" w:hAnsi="Arial" w:cs="Arial"/>
          <w:lang w:val="en-GB"/>
        </w:rPr>
        <w:t xml:space="preserve">ed from the public service </w:t>
      </w:r>
      <w:r w:rsidR="0058083C">
        <w:rPr>
          <w:rFonts w:ascii="Arial" w:eastAsia="Calibri" w:hAnsi="Arial" w:cs="Arial"/>
          <w:lang w:val="en-GB"/>
        </w:rPr>
        <w:t>effective</w:t>
      </w:r>
      <w:r w:rsidRPr="00423162">
        <w:rPr>
          <w:rFonts w:ascii="Arial" w:eastAsia="Calibri" w:hAnsi="Arial" w:cs="Arial"/>
          <w:lang w:val="en-GB"/>
        </w:rPr>
        <w:t xml:space="preserve"> July 2020. Similarly, the responsible Accounting Officer at the time of the projects, also left the public service </w:t>
      </w:r>
      <w:r w:rsidR="00573CDD">
        <w:rPr>
          <w:rFonts w:ascii="Arial" w:eastAsia="Calibri" w:hAnsi="Arial" w:cs="Arial"/>
          <w:lang w:val="en-GB"/>
        </w:rPr>
        <w:t>in</w:t>
      </w:r>
      <w:r w:rsidRPr="0058083C">
        <w:rPr>
          <w:rFonts w:ascii="Arial" w:eastAsia="Calibri" w:hAnsi="Arial" w:cs="Arial"/>
          <w:lang w:val="en-GB"/>
        </w:rPr>
        <w:t xml:space="preserve"> 2015</w:t>
      </w:r>
      <w:r w:rsidRPr="00423162">
        <w:rPr>
          <w:rFonts w:ascii="Arial" w:eastAsia="Calibri" w:hAnsi="Arial" w:cs="Arial"/>
          <w:lang w:val="en-GB"/>
        </w:rPr>
        <w:t xml:space="preserve">. </w:t>
      </w:r>
      <w:r w:rsidR="00F938B2" w:rsidRPr="00423162">
        <w:rPr>
          <w:rFonts w:ascii="Arial" w:eastAsia="Calibri" w:hAnsi="Arial" w:cs="Arial"/>
          <w:lang w:val="en-GB"/>
        </w:rPr>
        <w:t>All other implicated officials are undergoing disciplinary processes, which are at various stages.</w:t>
      </w:r>
    </w:p>
    <w:p w:rsidR="001A63A0" w:rsidRPr="00423162" w:rsidRDefault="001A63A0" w:rsidP="0042316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lang w:val="en-GB"/>
        </w:rPr>
      </w:pPr>
    </w:p>
    <w:p w:rsidR="00423162" w:rsidRPr="00423162" w:rsidRDefault="00423162" w:rsidP="0042316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lang w:val="en-GB"/>
        </w:rPr>
      </w:pPr>
      <w:r w:rsidRPr="00423162">
        <w:rPr>
          <w:rFonts w:ascii="Arial" w:eastAsia="Calibri" w:hAnsi="Arial" w:cs="Arial"/>
          <w:lang w:val="en-GB"/>
        </w:rPr>
        <w:t xml:space="preserve">The current Accounting Officer reported this matter to the South African Police Services (SAPS) </w:t>
      </w:r>
      <w:r w:rsidR="00573CDD">
        <w:rPr>
          <w:rFonts w:ascii="Arial" w:eastAsia="Calibri" w:hAnsi="Arial" w:cs="Arial"/>
          <w:lang w:val="en-GB"/>
        </w:rPr>
        <w:t xml:space="preserve">in September 2020 </w:t>
      </w:r>
      <w:r w:rsidRPr="00423162">
        <w:rPr>
          <w:rFonts w:ascii="Arial" w:eastAsia="Calibri" w:hAnsi="Arial" w:cs="Arial"/>
          <w:lang w:val="en-GB"/>
        </w:rPr>
        <w:t xml:space="preserve">and it is currently under further investigation processes by the </w:t>
      </w:r>
      <w:r w:rsidR="00573CDD">
        <w:rPr>
          <w:rFonts w:ascii="Arial" w:eastAsia="Calibri" w:hAnsi="Arial" w:cs="Arial"/>
          <w:lang w:val="en-GB"/>
        </w:rPr>
        <w:t>Directorate for Priority Crime Investigations, also known as The Hawks</w:t>
      </w:r>
      <w:r w:rsidRPr="00423162">
        <w:rPr>
          <w:rFonts w:ascii="Arial" w:eastAsia="Calibri" w:hAnsi="Arial" w:cs="Arial"/>
          <w:lang w:val="en-GB"/>
        </w:rPr>
        <w:t>. Furthermore, the Accounting Officer has initiated the process of civil claims against the implementing agents through the State Attorney</w:t>
      </w:r>
      <w:r w:rsidR="00573CDD">
        <w:rPr>
          <w:rFonts w:ascii="Arial" w:eastAsia="Calibri" w:hAnsi="Arial" w:cs="Arial"/>
          <w:lang w:val="en-GB"/>
        </w:rPr>
        <w:t xml:space="preserve"> in July 2020 and July 2021</w:t>
      </w:r>
      <w:r w:rsidRPr="00423162">
        <w:rPr>
          <w:rFonts w:ascii="Arial" w:eastAsia="Calibri" w:hAnsi="Arial" w:cs="Arial"/>
          <w:lang w:val="en-GB"/>
        </w:rPr>
        <w:t>.</w:t>
      </w:r>
    </w:p>
    <w:p w:rsidR="001A63A0" w:rsidRPr="00423162" w:rsidRDefault="001A63A0" w:rsidP="0042316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Arial" w:eastAsia="Calibri" w:hAnsi="Arial" w:cs="Arial"/>
          <w:lang w:val="en-GB"/>
        </w:rPr>
      </w:pPr>
    </w:p>
    <w:p w:rsidR="0087498A" w:rsidRPr="0058083C" w:rsidRDefault="00423162" w:rsidP="0042316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Arial" w:eastAsia="Calibri" w:hAnsi="Arial" w:cs="Arial"/>
        </w:rPr>
      </w:pPr>
      <w:r w:rsidRPr="0058083C">
        <w:rPr>
          <w:rFonts w:ascii="Arial" w:eastAsia="Calibri" w:hAnsi="Arial" w:cs="Arial"/>
          <w:lang w:val="en-GB"/>
        </w:rPr>
        <w:t xml:space="preserve">It is important to note that both the current Accounting Officer and Deputy Director-General: Destination Development were not </w:t>
      </w:r>
      <w:r w:rsidR="00573CDD">
        <w:rPr>
          <w:rFonts w:ascii="Arial" w:eastAsia="Calibri" w:hAnsi="Arial" w:cs="Arial"/>
          <w:lang w:val="en-GB"/>
        </w:rPr>
        <w:t>implicated</w:t>
      </w:r>
      <w:r w:rsidR="0058083C">
        <w:rPr>
          <w:rFonts w:ascii="Arial" w:eastAsia="Calibri" w:hAnsi="Arial" w:cs="Arial"/>
          <w:lang w:val="en-GB"/>
        </w:rPr>
        <w:t xml:space="preserve"> </w:t>
      </w:r>
      <w:r w:rsidR="00573CDD">
        <w:rPr>
          <w:rFonts w:ascii="Arial" w:eastAsia="Calibri" w:hAnsi="Arial" w:cs="Arial"/>
          <w:lang w:val="en-GB"/>
        </w:rPr>
        <w:t>in</w:t>
      </w:r>
      <w:r w:rsidR="0058083C">
        <w:rPr>
          <w:rFonts w:ascii="Arial" w:eastAsia="Calibri" w:hAnsi="Arial" w:cs="Arial"/>
          <w:lang w:val="en-GB"/>
        </w:rPr>
        <w:t xml:space="preserve"> the outcome of the investigation, because they were not involved in the project.</w:t>
      </w:r>
    </w:p>
    <w:p w:rsidR="0087498A" w:rsidRDefault="0087498A" w:rsidP="00935C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305940" w:rsidRDefault="00305940" w:rsidP="00935C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305940" w:rsidRDefault="00305940" w:rsidP="00935C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305940" w:rsidRDefault="00305940" w:rsidP="00935C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305940" w:rsidRDefault="00305940" w:rsidP="00935C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305940" w:rsidRDefault="00305940" w:rsidP="00935C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A55137" w:rsidRDefault="00A55137" w:rsidP="00935C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A55137" w:rsidRDefault="00A55137" w:rsidP="00935C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837F6C" w:rsidRDefault="00837F6C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AA4CFC" w:rsidRPr="00AA4CFC" w:rsidRDefault="00AA4CFC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AA4CFC" w:rsidRDefault="00AA4CFC" w:rsidP="00935CF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</w:p>
    <w:p w:rsidR="00AA4CFC" w:rsidRPr="00AA4CFC" w:rsidRDefault="00AA4CFC" w:rsidP="00935CF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</w:p>
    <w:p w:rsidR="00955AB7" w:rsidRPr="00955AB7" w:rsidRDefault="00955AB7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955AB7" w:rsidRPr="00DB4704" w:rsidRDefault="00955AB7" w:rsidP="00935CF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</w:p>
    <w:p w:rsidR="002D3423" w:rsidRPr="00770F3C" w:rsidRDefault="002D3423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Arial" w:eastAsia="Calibri" w:hAnsi="Arial" w:cs="Arial"/>
          <w:lang w:val="en-GB"/>
        </w:rPr>
      </w:pPr>
    </w:p>
    <w:p w:rsidR="00950663" w:rsidRDefault="00950663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950663" w:rsidRDefault="00950663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950663" w:rsidRPr="00950663" w:rsidRDefault="00950663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950663" w:rsidRDefault="00950663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88350C" w:rsidRDefault="0088350C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DF0B18" w:rsidRDefault="00DF0B18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DF0B18" w:rsidRDefault="00DF0B18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DF0B18" w:rsidRDefault="00DF0B18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DF0B18" w:rsidRDefault="00DF0B18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DF0B18" w:rsidRDefault="00DF0B18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DF0B18" w:rsidRDefault="00DF0B18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88350C" w:rsidRDefault="0088350C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88350C" w:rsidRPr="00770F3C" w:rsidRDefault="0088350C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2D3423" w:rsidRDefault="002D3423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E03CDF" w:rsidRDefault="00E03CDF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047D27" w:rsidRDefault="00047D27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0E4139" w:rsidRDefault="000E4139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0E4139" w:rsidRDefault="000E4139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0E4139" w:rsidRPr="00047D27" w:rsidRDefault="000E4139" w:rsidP="00935C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sectPr w:rsidR="000E4139" w:rsidRPr="00047D27" w:rsidSect="001A63A0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3E" w:rsidRDefault="00656C3E">
      <w:pPr>
        <w:spacing w:after="0" w:line="240" w:lineRule="auto"/>
      </w:pPr>
      <w:r>
        <w:separator/>
      </w:r>
    </w:p>
  </w:endnote>
  <w:endnote w:type="continuationSeparator" w:id="0">
    <w:p w:rsidR="00656C3E" w:rsidRDefault="0065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color w:val="auto"/>
        <w:sz w:val="22"/>
        <w:szCs w:val="22"/>
        <w:bdr w:val="none" w:sz="0" w:space="0" w:color="auto"/>
        <w:lang w:val="en-ZA" w:eastAsia="en-US"/>
      </w:r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6A311B" w:rsidRPr="006016C0" w:rsidRDefault="00DB6BD3" w:rsidP="006A311B">
        <w:pPr>
          <w:pStyle w:val="HeaderFooter"/>
          <w:jc w:val="center"/>
          <w:rPr>
            <w:rFonts w:ascii="Arial Narrow" w:hAnsi="Arial Narrow"/>
            <w:sz w:val="18"/>
            <w:szCs w:val="18"/>
          </w:rPr>
        </w:pPr>
        <w:r>
          <w:t xml:space="preserve">                                                               </w:t>
        </w:r>
        <w:r w:rsidR="006A311B">
          <w:rPr>
            <w:rFonts w:ascii="Arial Narrow" w:hAnsi="Arial Narrow"/>
            <w:sz w:val="18"/>
            <w:szCs w:val="18"/>
          </w:rPr>
          <w:t>2135 (</w:t>
        </w:r>
        <w:r w:rsidR="006A311B" w:rsidRPr="00973D39">
          <w:rPr>
            <w:rFonts w:ascii="Times New Roman" w:eastAsia="Calibri" w:hAnsi="Times New Roman" w:cs="Times New Roman"/>
            <w:sz w:val="20"/>
            <w:szCs w:val="20"/>
          </w:rPr>
          <w:t>N</w:t>
        </w:r>
        <w:r w:rsidR="006A311B">
          <w:rPr>
            <w:rFonts w:ascii="Times New Roman" w:eastAsia="Calibri" w:hAnsi="Times New Roman" w:cs="Times New Roman"/>
            <w:sz w:val="20"/>
            <w:szCs w:val="20"/>
          </w:rPr>
          <w:t>W</w:t>
        </w:r>
        <w:r w:rsidR="006A311B" w:rsidRPr="00973D39">
          <w:rPr>
            <w:rFonts w:ascii="Times New Roman" w:eastAsia="Calibri" w:hAnsi="Times New Roman" w:cs="Times New Roman"/>
            <w:sz w:val="20"/>
            <w:szCs w:val="20"/>
          </w:rPr>
          <w:t>2425E</w:t>
        </w:r>
        <w:r w:rsidR="006A311B">
          <w:rPr>
            <w:rFonts w:ascii="Times New Roman" w:eastAsia="Calibri" w:hAnsi="Times New Roman" w:cs="Times New Roman"/>
            <w:sz w:val="20"/>
            <w:szCs w:val="20"/>
          </w:rPr>
          <w:t>)</w:t>
        </w:r>
      </w:p>
      <w:p w:rsidR="001A63A0" w:rsidRPr="00013AC6" w:rsidRDefault="00DB6BD3" w:rsidP="001A63A0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ab/>
        </w:r>
        <w:r w:rsidR="00AA44B6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AA44B6" w:rsidRPr="00013AC6">
          <w:rPr>
            <w:rFonts w:ascii="Arial Narrow" w:hAnsi="Arial Narrow"/>
          </w:rPr>
          <w:fldChar w:fldCharType="separate"/>
        </w:r>
        <w:r w:rsidR="001A7E2F">
          <w:rPr>
            <w:rFonts w:ascii="Arial Narrow" w:hAnsi="Arial Narrow"/>
            <w:noProof/>
          </w:rPr>
          <w:t>2</w:t>
        </w:r>
        <w:r w:rsidR="00AA44B6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1A63A0" w:rsidRPr="00013AC6" w:rsidRDefault="001A63A0" w:rsidP="001A63A0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A0" w:rsidRDefault="001A63A0">
    <w:pPr>
      <w:pStyle w:val="Footer1"/>
      <w:jc w:val="right"/>
    </w:pPr>
  </w:p>
  <w:p w:rsidR="001A63A0" w:rsidRPr="006016C0" w:rsidRDefault="006A311B" w:rsidP="001A63A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2135 (</w:t>
    </w:r>
    <w:r w:rsidRPr="00973D39">
      <w:rPr>
        <w:rFonts w:ascii="Times New Roman" w:eastAsia="Calibri" w:hAnsi="Times New Roman" w:cs="Times New Roman"/>
        <w:sz w:val="20"/>
        <w:szCs w:val="20"/>
      </w:rPr>
      <w:t>N</w:t>
    </w:r>
    <w:r>
      <w:rPr>
        <w:rFonts w:ascii="Times New Roman" w:eastAsia="Calibri" w:hAnsi="Times New Roman" w:cs="Times New Roman"/>
        <w:sz w:val="20"/>
        <w:szCs w:val="20"/>
      </w:rPr>
      <w:t>W</w:t>
    </w:r>
    <w:r w:rsidRPr="00973D39">
      <w:rPr>
        <w:rFonts w:ascii="Times New Roman" w:eastAsia="Calibri" w:hAnsi="Times New Roman" w:cs="Times New Roman"/>
        <w:sz w:val="20"/>
        <w:szCs w:val="20"/>
      </w:rPr>
      <w:t>2425E</w:t>
    </w:r>
    <w:r>
      <w:rPr>
        <w:rFonts w:ascii="Times New Roman" w:eastAsia="Calibri" w:hAnsi="Times New Roman" w:cs="Times New Roman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3E" w:rsidRDefault="00656C3E">
      <w:pPr>
        <w:spacing w:after="0" w:line="240" w:lineRule="auto"/>
      </w:pPr>
      <w:r>
        <w:separator/>
      </w:r>
    </w:p>
  </w:footnote>
  <w:footnote w:type="continuationSeparator" w:id="0">
    <w:p w:rsidR="00656C3E" w:rsidRDefault="0065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244"/>
    <w:multiLevelType w:val="hybridMultilevel"/>
    <w:tmpl w:val="97A8B28A"/>
    <w:lvl w:ilvl="0" w:tplc="660C44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B0649"/>
    <w:multiLevelType w:val="hybridMultilevel"/>
    <w:tmpl w:val="70420124"/>
    <w:lvl w:ilvl="0" w:tplc="613C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128B"/>
    <w:multiLevelType w:val="hybridMultilevel"/>
    <w:tmpl w:val="64F208E2"/>
    <w:lvl w:ilvl="0" w:tplc="450651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51054"/>
    <w:multiLevelType w:val="hybridMultilevel"/>
    <w:tmpl w:val="20EA0ABC"/>
    <w:lvl w:ilvl="0" w:tplc="072CA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4">
    <w:nsid w:val="5E1D374A"/>
    <w:multiLevelType w:val="hybridMultilevel"/>
    <w:tmpl w:val="FA3ED566"/>
    <w:lvl w:ilvl="0" w:tplc="6BB0C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E4AB4"/>
    <w:multiLevelType w:val="hybridMultilevel"/>
    <w:tmpl w:val="3D541A52"/>
    <w:lvl w:ilvl="0" w:tplc="1BFE4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F7FE3"/>
    <w:multiLevelType w:val="hybridMultilevel"/>
    <w:tmpl w:val="64F208E2"/>
    <w:lvl w:ilvl="0" w:tplc="450651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46316"/>
    <w:multiLevelType w:val="hybridMultilevel"/>
    <w:tmpl w:val="F03E1EA0"/>
    <w:lvl w:ilvl="0" w:tplc="7C5A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16"/>
  </w:num>
  <w:num w:numId="11">
    <w:abstractNumId w:val="4"/>
  </w:num>
  <w:num w:numId="12">
    <w:abstractNumId w:val="21"/>
  </w:num>
  <w:num w:numId="13">
    <w:abstractNumId w:val="7"/>
  </w:num>
  <w:num w:numId="14">
    <w:abstractNumId w:val="0"/>
  </w:num>
  <w:num w:numId="15">
    <w:abstractNumId w:val="20"/>
  </w:num>
  <w:num w:numId="16">
    <w:abstractNumId w:val="17"/>
  </w:num>
  <w:num w:numId="17">
    <w:abstractNumId w:val="2"/>
  </w:num>
  <w:num w:numId="18">
    <w:abstractNumId w:val="1"/>
  </w:num>
  <w:num w:numId="19">
    <w:abstractNumId w:val="5"/>
  </w:num>
  <w:num w:numId="20">
    <w:abstractNumId w:val="14"/>
  </w:num>
  <w:num w:numId="21">
    <w:abstractNumId w:val="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1D10"/>
    <w:rsid w:val="00047D27"/>
    <w:rsid w:val="00070A90"/>
    <w:rsid w:val="00076CE0"/>
    <w:rsid w:val="000857D8"/>
    <w:rsid w:val="000E3E94"/>
    <w:rsid w:val="000E4139"/>
    <w:rsid w:val="000F1151"/>
    <w:rsid w:val="00102624"/>
    <w:rsid w:val="001059FF"/>
    <w:rsid w:val="00131155"/>
    <w:rsid w:val="00141A6F"/>
    <w:rsid w:val="00151D19"/>
    <w:rsid w:val="00193F9C"/>
    <w:rsid w:val="001A63A0"/>
    <w:rsid w:val="001A7E2F"/>
    <w:rsid w:val="001B2BE2"/>
    <w:rsid w:val="001C7E21"/>
    <w:rsid w:val="00223A43"/>
    <w:rsid w:val="002245E3"/>
    <w:rsid w:val="002C461C"/>
    <w:rsid w:val="002D3423"/>
    <w:rsid w:val="003032AF"/>
    <w:rsid w:val="0030462B"/>
    <w:rsid w:val="00305940"/>
    <w:rsid w:val="00306388"/>
    <w:rsid w:val="0035411E"/>
    <w:rsid w:val="003B2E4F"/>
    <w:rsid w:val="003B3F96"/>
    <w:rsid w:val="003D4147"/>
    <w:rsid w:val="003D7F28"/>
    <w:rsid w:val="00423162"/>
    <w:rsid w:val="0046047D"/>
    <w:rsid w:val="004862C0"/>
    <w:rsid w:val="00486EC9"/>
    <w:rsid w:val="00490A93"/>
    <w:rsid w:val="004A5358"/>
    <w:rsid w:val="004C4166"/>
    <w:rsid w:val="004F2C4A"/>
    <w:rsid w:val="004F54C9"/>
    <w:rsid w:val="00565ADA"/>
    <w:rsid w:val="00573CDD"/>
    <w:rsid w:val="005777D1"/>
    <w:rsid w:val="0058083C"/>
    <w:rsid w:val="0059697F"/>
    <w:rsid w:val="005D1DA3"/>
    <w:rsid w:val="005F1119"/>
    <w:rsid w:val="006010A3"/>
    <w:rsid w:val="00615126"/>
    <w:rsid w:val="0061799C"/>
    <w:rsid w:val="006335F8"/>
    <w:rsid w:val="00656C3E"/>
    <w:rsid w:val="00685634"/>
    <w:rsid w:val="006A311B"/>
    <w:rsid w:val="006A6231"/>
    <w:rsid w:val="006B20E2"/>
    <w:rsid w:val="006C5E6C"/>
    <w:rsid w:val="006D1BD2"/>
    <w:rsid w:val="006E152C"/>
    <w:rsid w:val="007345DF"/>
    <w:rsid w:val="007531B0"/>
    <w:rsid w:val="00765093"/>
    <w:rsid w:val="00770F3C"/>
    <w:rsid w:val="00777955"/>
    <w:rsid w:val="007A257C"/>
    <w:rsid w:val="00807DBA"/>
    <w:rsid w:val="00810D60"/>
    <w:rsid w:val="008137D4"/>
    <w:rsid w:val="00837F6C"/>
    <w:rsid w:val="00857718"/>
    <w:rsid w:val="0087498A"/>
    <w:rsid w:val="0088350C"/>
    <w:rsid w:val="008A1044"/>
    <w:rsid w:val="008C442B"/>
    <w:rsid w:val="008F34B4"/>
    <w:rsid w:val="00935CF9"/>
    <w:rsid w:val="009413A3"/>
    <w:rsid w:val="00950663"/>
    <w:rsid w:val="00955AB7"/>
    <w:rsid w:val="00977B49"/>
    <w:rsid w:val="009827D4"/>
    <w:rsid w:val="009849DC"/>
    <w:rsid w:val="009863F2"/>
    <w:rsid w:val="009945BD"/>
    <w:rsid w:val="00A128B2"/>
    <w:rsid w:val="00A55137"/>
    <w:rsid w:val="00A96F2D"/>
    <w:rsid w:val="00AA44B6"/>
    <w:rsid w:val="00AA4CFC"/>
    <w:rsid w:val="00AA5F57"/>
    <w:rsid w:val="00B24E20"/>
    <w:rsid w:val="00B432FC"/>
    <w:rsid w:val="00B61129"/>
    <w:rsid w:val="00B82C25"/>
    <w:rsid w:val="00BA7422"/>
    <w:rsid w:val="00BE11D3"/>
    <w:rsid w:val="00BE328D"/>
    <w:rsid w:val="00C03FFF"/>
    <w:rsid w:val="00C30D1C"/>
    <w:rsid w:val="00C634E0"/>
    <w:rsid w:val="00C809F5"/>
    <w:rsid w:val="00CE0094"/>
    <w:rsid w:val="00CE1CD0"/>
    <w:rsid w:val="00CE637C"/>
    <w:rsid w:val="00D2403D"/>
    <w:rsid w:val="00D319C1"/>
    <w:rsid w:val="00D350AE"/>
    <w:rsid w:val="00D4285B"/>
    <w:rsid w:val="00D44311"/>
    <w:rsid w:val="00D47B6A"/>
    <w:rsid w:val="00D51C53"/>
    <w:rsid w:val="00D8750E"/>
    <w:rsid w:val="00D87EF1"/>
    <w:rsid w:val="00D9442B"/>
    <w:rsid w:val="00DA6EE7"/>
    <w:rsid w:val="00DB177D"/>
    <w:rsid w:val="00DB4704"/>
    <w:rsid w:val="00DB6BD3"/>
    <w:rsid w:val="00DC1973"/>
    <w:rsid w:val="00DD3F26"/>
    <w:rsid w:val="00DE4655"/>
    <w:rsid w:val="00DF0B18"/>
    <w:rsid w:val="00E03CDF"/>
    <w:rsid w:val="00E57333"/>
    <w:rsid w:val="00E665D2"/>
    <w:rsid w:val="00E81EBD"/>
    <w:rsid w:val="00F37A82"/>
    <w:rsid w:val="00F51F48"/>
    <w:rsid w:val="00F938B2"/>
    <w:rsid w:val="00FD70AE"/>
    <w:rsid w:val="00FE56CB"/>
    <w:rsid w:val="00FF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2023-06-12T11:29:00Z</cp:lastPrinted>
  <dcterms:created xsi:type="dcterms:W3CDTF">2023-07-03T11:38:00Z</dcterms:created>
  <dcterms:modified xsi:type="dcterms:W3CDTF">2023-07-03T11:38:00Z</dcterms:modified>
</cp:coreProperties>
</file>