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7A476C"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-194310</wp:posOffset>
            </wp:positionV>
            <wp:extent cx="1325245" cy="117348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173480"/>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255F01" w:rsidP="00E21D6C">
      <w:pPr>
        <w:jc w:val="center"/>
        <w:rPr>
          <w:rFonts w:ascii="Arial" w:hAnsi="Arial" w:cs="Arial"/>
          <w:b/>
          <w:bCs/>
          <w:sz w:val="22"/>
          <w:szCs w:val="22"/>
        </w:rPr>
      </w:pPr>
      <w:r>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8E7570" w:rsidRDefault="007252FF" w:rsidP="00E91F82">
      <w:pPr>
        <w:jc w:val="center"/>
        <w:rPr>
          <w:rFonts w:ascii="Arial" w:hAnsi="Arial" w:cs="Arial"/>
          <w:b/>
          <w:sz w:val="22"/>
          <w:szCs w:val="22"/>
        </w:rPr>
      </w:pPr>
      <w:r w:rsidRPr="008E7570">
        <w:rPr>
          <w:rFonts w:ascii="Arial" w:hAnsi="Arial" w:cs="Arial"/>
          <w:b/>
          <w:sz w:val="22"/>
          <w:szCs w:val="22"/>
        </w:rPr>
        <w:t xml:space="preserve">QUESTION FOR </w:t>
      </w:r>
      <w:r w:rsidR="00255F01">
        <w:rPr>
          <w:rFonts w:ascii="Arial" w:hAnsi="Arial" w:cs="Arial"/>
          <w:b/>
          <w:sz w:val="22"/>
          <w:szCs w:val="22"/>
        </w:rPr>
        <w:t>WRITTEN</w:t>
      </w:r>
      <w:r w:rsidRPr="008E7570">
        <w:rPr>
          <w:rFonts w:ascii="Arial" w:hAnsi="Arial" w:cs="Arial"/>
          <w:b/>
          <w:sz w:val="22"/>
          <w:szCs w:val="22"/>
        </w:rPr>
        <w:t xml:space="preserve"> REPLY</w:t>
      </w:r>
    </w:p>
    <w:p w:rsidR="007252FF" w:rsidRPr="008E7570" w:rsidRDefault="007252FF" w:rsidP="00E91F82">
      <w:pPr>
        <w:ind w:left="709"/>
        <w:jc w:val="center"/>
        <w:rPr>
          <w:rFonts w:ascii="Arial" w:hAnsi="Arial" w:cs="Arial"/>
          <w:b/>
          <w:sz w:val="22"/>
          <w:szCs w:val="22"/>
        </w:rPr>
      </w:pPr>
    </w:p>
    <w:p w:rsidR="007252FF" w:rsidRDefault="007252FF" w:rsidP="00E91F82">
      <w:pPr>
        <w:jc w:val="center"/>
        <w:rPr>
          <w:rFonts w:ascii="Arial" w:hAnsi="Arial" w:cs="Arial"/>
          <w:b/>
          <w:sz w:val="22"/>
          <w:szCs w:val="22"/>
        </w:rPr>
      </w:pPr>
      <w:r w:rsidRPr="006D72A5">
        <w:rPr>
          <w:rFonts w:ascii="Arial" w:hAnsi="Arial" w:cs="Arial"/>
          <w:b/>
          <w:sz w:val="22"/>
          <w:szCs w:val="22"/>
        </w:rPr>
        <w:t xml:space="preserve">QUESTION NO.: </w:t>
      </w:r>
      <w:r w:rsidR="00255F01">
        <w:rPr>
          <w:rFonts w:ascii="Arial" w:hAnsi="Arial" w:cs="Arial"/>
          <w:b/>
          <w:sz w:val="22"/>
          <w:szCs w:val="22"/>
        </w:rPr>
        <w:t>21</w:t>
      </w:r>
      <w:r w:rsidR="0030277F">
        <w:rPr>
          <w:rFonts w:ascii="Arial" w:hAnsi="Arial" w:cs="Arial"/>
          <w:b/>
          <w:sz w:val="22"/>
          <w:szCs w:val="22"/>
        </w:rPr>
        <w:t>31</w:t>
      </w:r>
      <w:r w:rsidR="00255F01">
        <w:rPr>
          <w:rFonts w:ascii="Arial" w:hAnsi="Arial" w:cs="Arial"/>
          <w:b/>
          <w:sz w:val="22"/>
          <w:szCs w:val="22"/>
        </w:rPr>
        <w:t xml:space="preserve"> {</w:t>
      </w:r>
      <w:r w:rsidR="00C07706">
        <w:rPr>
          <w:rFonts w:ascii="Arial" w:hAnsi="Arial" w:cs="Arial"/>
          <w:b/>
          <w:sz w:val="22"/>
          <w:szCs w:val="22"/>
        </w:rPr>
        <w:t>2</w:t>
      </w:r>
      <w:r w:rsidR="0030277F">
        <w:rPr>
          <w:rFonts w:ascii="Arial" w:hAnsi="Arial" w:cs="Arial"/>
          <w:b/>
          <w:sz w:val="22"/>
          <w:szCs w:val="22"/>
        </w:rPr>
        <w:t>95</w:t>
      </w:r>
      <w:r w:rsidR="00255F01">
        <w:rPr>
          <w:rFonts w:ascii="Arial" w:hAnsi="Arial" w:cs="Arial"/>
          <w:b/>
          <w:sz w:val="22"/>
          <w:szCs w:val="22"/>
        </w:rPr>
        <w:t>}</w:t>
      </w:r>
    </w:p>
    <w:p w:rsidR="00F24A7D" w:rsidRDefault="00F24A7D" w:rsidP="006C7F97">
      <w:pPr>
        <w:jc w:val="both"/>
        <w:rPr>
          <w:rFonts w:ascii="Arial" w:hAnsi="Arial" w:cs="Arial"/>
          <w:b/>
          <w:sz w:val="22"/>
          <w:szCs w:val="22"/>
        </w:rPr>
      </w:pPr>
    </w:p>
    <w:p w:rsidR="00CF2BA4" w:rsidRPr="00E91F82" w:rsidRDefault="00E91F82" w:rsidP="006C7F97">
      <w:pPr>
        <w:jc w:val="both"/>
        <w:rPr>
          <w:rFonts w:ascii="Arial" w:hAnsi="Arial" w:cs="Arial"/>
          <w:b/>
          <w:sz w:val="22"/>
          <w:szCs w:val="22"/>
          <w:u w:val="single"/>
        </w:rPr>
      </w:pPr>
      <w:r w:rsidRPr="00E91F82">
        <w:rPr>
          <w:rFonts w:ascii="Arial" w:hAnsi="Arial" w:cs="Arial"/>
          <w:b/>
          <w:sz w:val="22"/>
          <w:szCs w:val="22"/>
          <w:u w:val="single"/>
        </w:rPr>
        <w:t>QUESTION:</w:t>
      </w:r>
      <w:r w:rsidR="00CF2BA4" w:rsidRPr="00E91F82">
        <w:rPr>
          <w:rFonts w:ascii="Arial" w:hAnsi="Arial" w:cs="Arial"/>
          <w:b/>
          <w:sz w:val="22"/>
          <w:szCs w:val="22"/>
          <w:u w:val="single"/>
        </w:rPr>
        <w:t xml:space="preserve"> </w:t>
      </w:r>
    </w:p>
    <w:p w:rsidR="0030277F" w:rsidRPr="0030277F" w:rsidRDefault="00255F01" w:rsidP="0030277F">
      <w:pPr>
        <w:spacing w:before="100" w:beforeAutospacing="1" w:after="100" w:afterAutospacing="1"/>
        <w:ind w:left="709" w:hanging="709"/>
        <w:jc w:val="both"/>
        <w:rPr>
          <w:rFonts w:ascii="Arial" w:hAnsi="Arial" w:cs="Arial"/>
          <w:b/>
          <w:bCs/>
          <w:color w:val="000000"/>
          <w:sz w:val="22"/>
          <w:szCs w:val="22"/>
          <w:lang w:val="en-ZA"/>
        </w:rPr>
      </w:pPr>
      <w:bookmarkStart w:id="0" w:name="_Hlk119936111"/>
      <w:r>
        <w:rPr>
          <w:rFonts w:ascii="Arial" w:hAnsi="Arial" w:cs="Arial"/>
          <w:b/>
          <w:bCs/>
          <w:color w:val="000000"/>
          <w:sz w:val="22"/>
          <w:szCs w:val="22"/>
          <w:lang w:val="en-GB"/>
        </w:rPr>
        <w:t>21</w:t>
      </w:r>
      <w:r w:rsidR="0030277F">
        <w:rPr>
          <w:rFonts w:ascii="Arial" w:hAnsi="Arial" w:cs="Arial"/>
          <w:b/>
          <w:bCs/>
          <w:color w:val="000000"/>
          <w:sz w:val="22"/>
          <w:szCs w:val="22"/>
          <w:lang w:val="en-GB"/>
        </w:rPr>
        <w:t>31</w:t>
      </w:r>
      <w:r>
        <w:rPr>
          <w:rFonts w:ascii="Arial" w:hAnsi="Arial" w:cs="Arial"/>
          <w:b/>
          <w:bCs/>
          <w:color w:val="000000"/>
          <w:sz w:val="22"/>
          <w:szCs w:val="22"/>
          <w:lang w:val="en-GB"/>
        </w:rPr>
        <w:t xml:space="preserve"> {</w:t>
      </w:r>
      <w:r w:rsidR="005F4A9B" w:rsidRPr="005F4A9B">
        <w:rPr>
          <w:rFonts w:ascii="Arial" w:hAnsi="Arial" w:cs="Arial"/>
          <w:b/>
          <w:bCs/>
          <w:color w:val="000000"/>
          <w:sz w:val="22"/>
          <w:szCs w:val="22"/>
          <w:lang w:val="en-GB"/>
        </w:rPr>
        <w:t>2</w:t>
      </w:r>
      <w:r w:rsidR="0030277F">
        <w:rPr>
          <w:rFonts w:ascii="Arial" w:hAnsi="Arial" w:cs="Arial"/>
          <w:b/>
          <w:bCs/>
          <w:color w:val="000000"/>
          <w:sz w:val="22"/>
          <w:szCs w:val="22"/>
          <w:lang w:val="en-GB"/>
        </w:rPr>
        <w:t>95</w:t>
      </w:r>
      <w:r>
        <w:rPr>
          <w:rFonts w:ascii="Arial" w:hAnsi="Arial" w:cs="Arial"/>
          <w:b/>
          <w:bCs/>
          <w:color w:val="000000"/>
          <w:sz w:val="22"/>
          <w:szCs w:val="22"/>
          <w:lang w:val="en-GB"/>
        </w:rPr>
        <w:t>}</w:t>
      </w:r>
      <w:r w:rsidR="005F4A9B" w:rsidRPr="005F4A9B">
        <w:rPr>
          <w:rFonts w:ascii="Arial" w:hAnsi="Arial" w:cs="Arial"/>
          <w:b/>
          <w:bCs/>
          <w:color w:val="000000"/>
          <w:sz w:val="22"/>
          <w:szCs w:val="22"/>
          <w:lang w:val="en-GB"/>
        </w:rPr>
        <w:t xml:space="preserve">. </w:t>
      </w:r>
      <w:bookmarkStart w:id="1" w:name="_Hlk136541367"/>
      <w:r w:rsidR="0030277F" w:rsidRPr="0030277F">
        <w:rPr>
          <w:rFonts w:ascii="Tahoma" w:hAnsi="Tahoma" w:cs="Tahoma"/>
          <w:b/>
          <w:bCs/>
          <w:color w:val="000000"/>
          <w:sz w:val="22"/>
          <w:szCs w:val="22"/>
          <w:lang w:val="en-GB"/>
        </w:rPr>
        <w:t xml:space="preserve">Ms O M C Maotwe (EFF) to ask the Minister of Public Enterprises: </w:t>
      </w:r>
    </w:p>
    <w:p w:rsidR="0030277F" w:rsidRPr="00FA5D04" w:rsidRDefault="0030277F" w:rsidP="0030277F">
      <w:pPr>
        <w:pStyle w:val="Default"/>
        <w:spacing w:line="276" w:lineRule="auto"/>
        <w:jc w:val="both"/>
        <w:rPr>
          <w:sz w:val="22"/>
          <w:szCs w:val="22"/>
          <w:lang w:val="en-GB"/>
        </w:rPr>
      </w:pPr>
      <w:bookmarkStart w:id="2" w:name="_Hlk136537831"/>
      <w:bookmarkStart w:id="3" w:name="_Hlk136530716"/>
      <w:r w:rsidRPr="00FA5D04">
        <w:rPr>
          <w:sz w:val="22"/>
          <w:szCs w:val="22"/>
          <w:lang w:val="en-GB"/>
        </w:rPr>
        <w:t xml:space="preserve">With reference to the Mining Indaba that was held in Cape Town earlier this year, wherein mining experts indicated that the mining industry had lost about R51 billion in 12 months because of Transnet’s inability to have functional railway lines and a sufficient number of working locomotives, and in view of the recent announcement by Transnet that they have suspended loading in Durban and the Reef because of network unavailability, which may cause further problems, what (a) is the full nature of the problems at Transnet that prevent them from functioning at optimal capacity and (b) steps has he taken to resolve the specified problems?          </w:t>
      </w:r>
    </w:p>
    <w:bookmarkEnd w:id="2"/>
    <w:p w:rsidR="0030277F" w:rsidRPr="0030277F" w:rsidRDefault="0030277F" w:rsidP="0030277F">
      <w:pPr>
        <w:pStyle w:val="Default"/>
        <w:spacing w:line="276" w:lineRule="auto"/>
        <w:jc w:val="both"/>
        <w:rPr>
          <w:rFonts w:ascii="Tahoma" w:hAnsi="Tahoma" w:cs="Tahoma"/>
          <w:sz w:val="22"/>
          <w:szCs w:val="22"/>
        </w:rPr>
      </w:pPr>
      <w:r w:rsidRPr="0030277F">
        <w:rPr>
          <w:rFonts w:ascii="Tahoma" w:hAnsi="Tahoma" w:cs="Tahoma"/>
          <w:b/>
          <w:bCs/>
          <w:sz w:val="22"/>
          <w:szCs w:val="22"/>
          <w:lang w:val="en-GB"/>
        </w:rPr>
        <w:t xml:space="preserve">         </w:t>
      </w:r>
    </w:p>
    <w:bookmarkEnd w:id="1"/>
    <w:bookmarkEnd w:id="3"/>
    <w:p w:rsidR="0093636F" w:rsidRPr="00E91F82" w:rsidRDefault="00CF2BA4" w:rsidP="005F4A9B">
      <w:pPr>
        <w:pStyle w:val="Default"/>
        <w:spacing w:line="360" w:lineRule="auto"/>
        <w:rPr>
          <w:b/>
          <w:bCs/>
          <w:sz w:val="22"/>
          <w:szCs w:val="22"/>
          <w:u w:val="single"/>
        </w:rPr>
      </w:pPr>
      <w:r w:rsidRPr="00E91F82">
        <w:rPr>
          <w:b/>
          <w:bCs/>
          <w:sz w:val="22"/>
          <w:szCs w:val="22"/>
          <w:u w:val="single"/>
        </w:rPr>
        <w:t xml:space="preserve">REPLY: </w:t>
      </w:r>
    </w:p>
    <w:p w:rsidR="009D0E36" w:rsidRPr="005F4A9B" w:rsidRDefault="00CF2BA4" w:rsidP="005F4A9B">
      <w:pPr>
        <w:pStyle w:val="Default"/>
        <w:spacing w:line="360" w:lineRule="auto"/>
        <w:rPr>
          <w:b/>
          <w:bCs/>
          <w:sz w:val="22"/>
          <w:szCs w:val="22"/>
        </w:rPr>
      </w:pPr>
      <w:r>
        <w:rPr>
          <w:b/>
          <w:bCs/>
          <w:sz w:val="22"/>
          <w:szCs w:val="22"/>
        </w:rPr>
        <w:t xml:space="preserve">According to the information received from </w:t>
      </w:r>
      <w:r w:rsidRPr="005F4A9B">
        <w:rPr>
          <w:b/>
          <w:bCs/>
          <w:sz w:val="22"/>
          <w:szCs w:val="22"/>
        </w:rPr>
        <w:t xml:space="preserve">Transnet </w:t>
      </w:r>
    </w:p>
    <w:p w:rsidR="0030277F" w:rsidRPr="00FA5D04" w:rsidRDefault="0030277F" w:rsidP="00FA5D04">
      <w:pPr>
        <w:pStyle w:val="Default"/>
        <w:numPr>
          <w:ilvl w:val="0"/>
          <w:numId w:val="22"/>
        </w:numPr>
        <w:ind w:hanging="720"/>
        <w:jc w:val="both"/>
        <w:rPr>
          <w:sz w:val="22"/>
          <w:szCs w:val="22"/>
        </w:rPr>
      </w:pPr>
      <w:r w:rsidRPr="00FA5D04">
        <w:rPr>
          <w:sz w:val="22"/>
          <w:szCs w:val="22"/>
        </w:rPr>
        <w:t xml:space="preserve">Transnet Freight Rail faces three major challenges that impact its ability to deliver reliable rail services to all its customers on virtually all the corridors, with some more impacted than others. </w:t>
      </w:r>
    </w:p>
    <w:p w:rsidR="0030277F" w:rsidRPr="00FA5D04" w:rsidRDefault="0030277F" w:rsidP="0030277F">
      <w:pPr>
        <w:pStyle w:val="Default"/>
        <w:numPr>
          <w:ilvl w:val="1"/>
          <w:numId w:val="23"/>
        </w:numPr>
        <w:jc w:val="both"/>
        <w:rPr>
          <w:sz w:val="22"/>
          <w:szCs w:val="22"/>
          <w:lang w:val="en-ZA" w:eastAsia="en-ZA"/>
        </w:rPr>
      </w:pPr>
      <w:r w:rsidRPr="00FA5D04">
        <w:rPr>
          <w:b/>
          <w:bCs/>
          <w:sz w:val="22"/>
          <w:szCs w:val="22"/>
          <w:lang w:val="en-ZA" w:eastAsia="en-ZA"/>
        </w:rPr>
        <w:t>Locomotive</w:t>
      </w:r>
      <w:r w:rsidRPr="00FA5D04">
        <w:rPr>
          <w:sz w:val="22"/>
          <w:szCs w:val="22"/>
          <w:lang w:val="en-ZA" w:eastAsia="en-ZA"/>
        </w:rPr>
        <w:t xml:space="preserve"> availability and reliability have decreased significantly on all the key corridors but especially on the North and North-East corridors that primarily rails coal, chrome and magnetite. In 2017/18 when TFR railed 226 million tonnes (mt), TFR had a total of 2215 locomotives available whereas in 2022/23 it has 1533 locomotives available and 364 so called long-standing locomotives at the end of May 2023. </w:t>
      </w:r>
    </w:p>
    <w:p w:rsidR="0030277F" w:rsidRPr="00FA5D04" w:rsidRDefault="0030277F" w:rsidP="0030277F">
      <w:pPr>
        <w:pStyle w:val="Default"/>
        <w:ind w:left="1440"/>
        <w:jc w:val="both"/>
        <w:rPr>
          <w:sz w:val="22"/>
          <w:szCs w:val="22"/>
        </w:rPr>
      </w:pPr>
    </w:p>
    <w:p w:rsidR="0030277F" w:rsidRDefault="0030277F" w:rsidP="0030277F">
      <w:pPr>
        <w:pStyle w:val="Default"/>
        <w:ind w:left="1440"/>
        <w:jc w:val="both"/>
        <w:rPr>
          <w:sz w:val="22"/>
          <w:szCs w:val="22"/>
        </w:rPr>
      </w:pPr>
      <w:r w:rsidRPr="00FA5D04">
        <w:rPr>
          <w:sz w:val="22"/>
          <w:szCs w:val="22"/>
          <w:lang w:val="en-ZA" w:eastAsia="en-ZA"/>
        </w:rPr>
        <w:t xml:space="preserve">The tender to return to service the long-standing locomotives has closed with Alstom and Wabtec proposing a return to operations schedule for the speedy return to service of their locomotives. Negotiations with CRRC loco </w:t>
      </w:r>
      <w:r w:rsidR="00E91F82">
        <w:rPr>
          <w:sz w:val="22"/>
          <w:szCs w:val="22"/>
          <w:lang w:val="en-ZA" w:eastAsia="en-ZA"/>
        </w:rPr>
        <w:t>are ongoing</w:t>
      </w:r>
      <w:r w:rsidRPr="00FA5D04">
        <w:rPr>
          <w:sz w:val="22"/>
          <w:szCs w:val="22"/>
          <w:lang w:val="en-ZA" w:eastAsia="en-ZA"/>
        </w:rPr>
        <w:t>. The impact of reduced locomotive availability is estimated to cost TFR approximately R16 million per day in lost revenue.</w:t>
      </w:r>
      <w:r w:rsidRPr="00FA5D04">
        <w:rPr>
          <w:sz w:val="22"/>
          <w:szCs w:val="22"/>
        </w:rPr>
        <w:t xml:space="preserve">   </w:t>
      </w:r>
    </w:p>
    <w:p w:rsidR="00E91F82" w:rsidRPr="00FA5D04" w:rsidRDefault="00E91F82" w:rsidP="0030277F">
      <w:pPr>
        <w:pStyle w:val="Default"/>
        <w:ind w:left="1440"/>
        <w:jc w:val="both"/>
        <w:rPr>
          <w:sz w:val="22"/>
          <w:szCs w:val="22"/>
        </w:rPr>
      </w:pPr>
    </w:p>
    <w:p w:rsidR="0030277F" w:rsidRPr="00FA5D04" w:rsidRDefault="0030277F" w:rsidP="0030277F">
      <w:pPr>
        <w:pStyle w:val="Default"/>
        <w:numPr>
          <w:ilvl w:val="1"/>
          <w:numId w:val="23"/>
        </w:numPr>
        <w:jc w:val="both"/>
        <w:rPr>
          <w:sz w:val="22"/>
          <w:szCs w:val="22"/>
          <w:lang w:val="en-ZA" w:eastAsia="en-ZA"/>
        </w:rPr>
      </w:pPr>
      <w:r w:rsidRPr="00FA5D04">
        <w:rPr>
          <w:b/>
          <w:bCs/>
          <w:sz w:val="22"/>
          <w:szCs w:val="22"/>
          <w:lang w:val="en-ZA" w:eastAsia="en-ZA"/>
        </w:rPr>
        <w:t>Infrastructure:</w:t>
      </w:r>
      <w:r w:rsidRPr="00FA5D04">
        <w:rPr>
          <w:sz w:val="22"/>
          <w:szCs w:val="22"/>
          <w:lang w:val="en-ZA" w:eastAsia="en-ZA"/>
        </w:rPr>
        <w:t xml:space="preserve"> Systemic underinvestment over the years has resulted in decreased reliability of infrastructure leading to increased derailments and speed restrictions that reduce available capacity on rail.  To ensure the </w:t>
      </w:r>
      <w:r w:rsidRPr="00FA5D04">
        <w:rPr>
          <w:sz w:val="22"/>
          <w:szCs w:val="22"/>
          <w:lang w:val="en-ZA" w:eastAsia="en-ZA"/>
        </w:rPr>
        <w:lastRenderedPageBreak/>
        <w:t xml:space="preserve">availability of cash to fund the maintenance of infrastructure, TFR is working on submitting an application to the interim rail regulator for full cost recovery tariffs.  Furthermore, Transnet has taken the decision for TFR to exit all loss-making flows to ensure the profitability of all corridors.  Lastly the operating lease on the container corridor is intended to curtail the losses on this corridor. </w:t>
      </w:r>
    </w:p>
    <w:p w:rsidR="0030277F" w:rsidRPr="00FA5D04" w:rsidRDefault="0030277F" w:rsidP="0030277F">
      <w:pPr>
        <w:pStyle w:val="ListParagraph"/>
        <w:autoSpaceDE w:val="0"/>
        <w:autoSpaceDN w:val="0"/>
        <w:adjustRightInd w:val="0"/>
        <w:ind w:left="1080"/>
        <w:jc w:val="both"/>
        <w:rPr>
          <w:rFonts w:ascii="Arial" w:hAnsi="Arial" w:cs="Arial"/>
          <w:b/>
          <w:bCs/>
          <w:lang w:val="en-ZA" w:eastAsia="en-ZA"/>
        </w:rPr>
      </w:pPr>
    </w:p>
    <w:p w:rsidR="0030277F" w:rsidRPr="00FA5D04" w:rsidRDefault="0030277F" w:rsidP="0030277F">
      <w:pPr>
        <w:autoSpaceDE w:val="0"/>
        <w:autoSpaceDN w:val="0"/>
        <w:adjustRightInd w:val="0"/>
        <w:ind w:left="1420" w:hanging="740"/>
        <w:jc w:val="both"/>
        <w:rPr>
          <w:rFonts w:ascii="Arial" w:hAnsi="Arial" w:cs="Arial"/>
          <w:sz w:val="22"/>
          <w:szCs w:val="22"/>
          <w:lang w:val="en-ZA" w:eastAsia="en-ZA"/>
        </w:rPr>
      </w:pPr>
      <w:r w:rsidRPr="00FA5D04">
        <w:rPr>
          <w:rFonts w:ascii="Arial" w:hAnsi="Arial" w:cs="Arial"/>
          <w:sz w:val="22"/>
          <w:szCs w:val="22"/>
          <w:lang w:val="en-ZA" w:eastAsia="en-ZA"/>
        </w:rPr>
        <w:t xml:space="preserve">1.3 </w:t>
      </w:r>
      <w:r w:rsidRPr="00FA5D04">
        <w:rPr>
          <w:rFonts w:ascii="Arial" w:hAnsi="Arial" w:cs="Arial"/>
          <w:sz w:val="22"/>
          <w:szCs w:val="22"/>
          <w:lang w:val="en-ZA" w:eastAsia="en-ZA"/>
        </w:rPr>
        <w:tab/>
      </w:r>
      <w:r w:rsidRPr="00FA5D04">
        <w:rPr>
          <w:rFonts w:ascii="Arial" w:hAnsi="Arial" w:cs="Arial"/>
          <w:b/>
          <w:bCs/>
          <w:sz w:val="22"/>
          <w:szCs w:val="22"/>
          <w:lang w:val="en-ZA" w:eastAsia="en-ZA"/>
        </w:rPr>
        <w:t>Security:</w:t>
      </w:r>
      <w:r w:rsidRPr="00FA5D04">
        <w:rPr>
          <w:rFonts w:ascii="Arial" w:hAnsi="Arial" w:cs="Arial"/>
          <w:sz w:val="22"/>
          <w:szCs w:val="22"/>
          <w:lang w:val="en-ZA" w:eastAsia="en-ZA"/>
        </w:rPr>
        <w:t xml:space="preserve"> Crippling theft &amp; vandalism of key infrastructure and locomotives </w:t>
      </w:r>
      <w:r w:rsidRPr="00FA5D04">
        <w:rPr>
          <w:rFonts w:ascii="Arial" w:hAnsi="Arial" w:cs="Arial"/>
          <w:color w:val="000000"/>
          <w:sz w:val="22"/>
          <w:szCs w:val="22"/>
          <w:lang w:val="en-ZA" w:eastAsia="en-ZA"/>
        </w:rPr>
        <w:t xml:space="preserve">resulting in significant operational disruptions and additional unbudgeted costs associated with these repairs further reducing the funds available for scheduled maintenance.  During the Covid shutdown period theft of copper cable escalated significantly. During the period 2016/17 </w:t>
      </w:r>
      <w:r w:rsidRPr="00FA5D04">
        <w:rPr>
          <w:rFonts w:ascii="Arial" w:hAnsi="Arial" w:cs="Arial"/>
          <w:sz w:val="22"/>
          <w:szCs w:val="22"/>
          <w:lang w:val="en-ZA" w:eastAsia="en-ZA"/>
        </w:rPr>
        <w:t>to 2021/22, security related incidents increased by 179%.</w:t>
      </w:r>
    </w:p>
    <w:p w:rsidR="0030277F" w:rsidRPr="00FA5D04" w:rsidRDefault="0030277F" w:rsidP="0030277F">
      <w:pPr>
        <w:pStyle w:val="ListParagraph"/>
        <w:autoSpaceDE w:val="0"/>
        <w:autoSpaceDN w:val="0"/>
        <w:adjustRightInd w:val="0"/>
        <w:ind w:left="1080"/>
        <w:jc w:val="both"/>
        <w:rPr>
          <w:rFonts w:ascii="Arial" w:hAnsi="Arial" w:cs="Arial"/>
          <w:lang w:val="en-ZA" w:eastAsia="en-ZA"/>
        </w:rPr>
      </w:pPr>
    </w:p>
    <w:p w:rsidR="0030277F" w:rsidRPr="00FA5D04" w:rsidRDefault="0030277F" w:rsidP="00FA5D04">
      <w:pPr>
        <w:pStyle w:val="ListParagraph"/>
        <w:autoSpaceDE w:val="0"/>
        <w:autoSpaceDN w:val="0"/>
        <w:adjustRightInd w:val="0"/>
        <w:ind w:left="709"/>
        <w:jc w:val="both"/>
        <w:rPr>
          <w:rFonts w:ascii="Arial" w:hAnsi="Arial" w:cs="Arial"/>
          <w:lang w:val="en-ZA" w:eastAsia="en-ZA"/>
        </w:rPr>
      </w:pPr>
      <w:r w:rsidRPr="00FA5D04">
        <w:rPr>
          <w:rFonts w:ascii="Arial" w:hAnsi="Arial" w:cs="Arial"/>
          <w:lang w:val="en-ZA" w:eastAsia="en-ZA"/>
        </w:rPr>
        <w:t xml:space="preserve">TFR implemented various security initiatives ranging from the introduction of drones to support surveillance, customer partnerships to increase the deployment of security resources, specialised task teams in identified hotspot areas and various other initiatives that resulted in a 30% reduction in cable theft incidents during the 2022/23 financial year. Notwithstanding the improvement over the past year, the incidents remain high. Over 1000 km of copper cable was stolen during the 2022/23 financial year, costing TFR R310m to replace which is a reduction from the loss of nearly 1500km the previous year at a replacement cost of R462 million. </w:t>
      </w:r>
    </w:p>
    <w:p w:rsidR="0030277F" w:rsidRPr="00FA5D04" w:rsidRDefault="0030277F" w:rsidP="0030277F">
      <w:pPr>
        <w:pStyle w:val="ListParagraph"/>
        <w:autoSpaceDE w:val="0"/>
        <w:autoSpaceDN w:val="0"/>
        <w:adjustRightInd w:val="0"/>
        <w:ind w:left="1080"/>
        <w:jc w:val="both"/>
        <w:rPr>
          <w:rFonts w:ascii="Arial" w:hAnsi="Arial" w:cs="Arial"/>
          <w:lang w:val="en-ZA" w:eastAsia="en-ZA"/>
        </w:rPr>
      </w:pPr>
    </w:p>
    <w:p w:rsidR="0030277F" w:rsidRPr="00FA5D04" w:rsidRDefault="0030277F" w:rsidP="00FA5D04">
      <w:pPr>
        <w:pStyle w:val="ListParagraph"/>
        <w:autoSpaceDE w:val="0"/>
        <w:autoSpaceDN w:val="0"/>
        <w:adjustRightInd w:val="0"/>
        <w:ind w:left="709"/>
        <w:jc w:val="both"/>
        <w:rPr>
          <w:rFonts w:ascii="Arial" w:hAnsi="Arial" w:cs="Arial"/>
          <w:lang w:val="en-ZA" w:eastAsia="en-ZA"/>
        </w:rPr>
      </w:pPr>
      <w:r w:rsidRPr="00FA5D04">
        <w:rPr>
          <w:rFonts w:ascii="Arial" w:hAnsi="Arial" w:cs="Arial"/>
          <w:lang w:val="en-ZA" w:eastAsia="en-ZA"/>
        </w:rPr>
        <w:t xml:space="preserve">In 2021/22 and 2022/23, the majority (44% and 39%) of the cable theft incidents occurred on the Container Corridor. The scale of the theft of Overhead Track and Equipment (OHTE) is also the highest on the Container Corridor – 522km for the past year compared to an average of 130km per corridor for the rest of the system. During May 2023, the Container Corridor was severely impacted by unprecedented levels of theft and vandalism, resulting in a significant loss in available capacity. The situation was further exacerbated by the heavy rains during the same period that made repairing the network difficult. Operations have since resumed and improved following the implementation of additional security measures. TFR security has deployed ground forces in the targeted hotspot areas. This is an interim measure as engagements continue with law enforcement agencies to assist in the policing of the rail infrastructure. </w:t>
      </w:r>
    </w:p>
    <w:p w:rsidR="0030277F" w:rsidRPr="00FA5D04" w:rsidRDefault="0030277F" w:rsidP="0030277F">
      <w:pPr>
        <w:pStyle w:val="ListParagraph"/>
        <w:autoSpaceDE w:val="0"/>
        <w:autoSpaceDN w:val="0"/>
        <w:adjustRightInd w:val="0"/>
        <w:ind w:left="1080"/>
        <w:jc w:val="both"/>
        <w:rPr>
          <w:rFonts w:ascii="Arial" w:hAnsi="Arial" w:cs="Arial"/>
          <w:lang w:val="en-ZA" w:eastAsia="en-ZA"/>
        </w:rPr>
      </w:pPr>
    </w:p>
    <w:p w:rsidR="0030277F" w:rsidRPr="00FA5D04" w:rsidRDefault="0030277F" w:rsidP="00FA5D04">
      <w:pPr>
        <w:pStyle w:val="ListParagraph"/>
        <w:autoSpaceDE w:val="0"/>
        <w:autoSpaceDN w:val="0"/>
        <w:adjustRightInd w:val="0"/>
        <w:ind w:left="709"/>
        <w:jc w:val="both"/>
        <w:rPr>
          <w:rFonts w:ascii="Arial" w:hAnsi="Arial" w:cs="Arial"/>
          <w:lang w:val="en-ZA" w:eastAsia="en-ZA"/>
        </w:rPr>
      </w:pPr>
      <w:r w:rsidRPr="00FA5D04">
        <w:rPr>
          <w:rFonts w:ascii="Arial" w:hAnsi="Arial" w:cs="Arial"/>
          <w:lang w:val="en-ZA" w:eastAsia="en-ZA"/>
        </w:rPr>
        <w:t xml:space="preserve">TFR in isolation is not able to deal with the theft and vandalism of the rail infrastructure and made recommendations via the Industry Crime Forum (ICF) to the Non-Ferrous Metal Crime Combating Committee (NFMCCC) to support the following recommendations to the Natjoint: </w:t>
      </w:r>
    </w:p>
    <w:p w:rsidR="0030277F" w:rsidRPr="00FA5D04" w:rsidRDefault="0030277F" w:rsidP="0030277F">
      <w:pPr>
        <w:pStyle w:val="ListParagraph"/>
        <w:autoSpaceDE w:val="0"/>
        <w:autoSpaceDN w:val="0"/>
        <w:adjustRightInd w:val="0"/>
        <w:ind w:left="1080"/>
        <w:jc w:val="both"/>
        <w:rPr>
          <w:rFonts w:ascii="Arial" w:hAnsi="Arial" w:cs="Arial"/>
          <w:lang w:val="en-ZA" w:eastAsia="en-ZA"/>
        </w:rPr>
      </w:pPr>
    </w:p>
    <w:p w:rsidR="0030277F" w:rsidRPr="00FA5D04" w:rsidRDefault="0030277F" w:rsidP="008B5ACF">
      <w:pPr>
        <w:pStyle w:val="ListParagraph"/>
        <w:numPr>
          <w:ilvl w:val="1"/>
          <w:numId w:val="24"/>
        </w:numPr>
        <w:autoSpaceDE w:val="0"/>
        <w:autoSpaceDN w:val="0"/>
        <w:adjustRightInd w:val="0"/>
        <w:jc w:val="both"/>
        <w:rPr>
          <w:rFonts w:ascii="Arial" w:hAnsi="Arial" w:cs="Arial"/>
          <w:lang w:val="en-ZA" w:eastAsia="en-ZA"/>
        </w:rPr>
      </w:pPr>
      <w:r w:rsidRPr="00FA5D04">
        <w:rPr>
          <w:rFonts w:ascii="Arial" w:hAnsi="Arial" w:cs="Arial"/>
          <w:lang w:val="en-ZA" w:eastAsia="en-ZA"/>
        </w:rPr>
        <w:t xml:space="preserve">The establishment of a dedicated crime court for criminal matters involving essential infrastructure, </w:t>
      </w:r>
    </w:p>
    <w:p w:rsidR="0030277F" w:rsidRPr="00FA5D04" w:rsidRDefault="0030277F" w:rsidP="008B5ACF">
      <w:pPr>
        <w:pStyle w:val="ListParagraph"/>
        <w:numPr>
          <w:ilvl w:val="1"/>
          <w:numId w:val="24"/>
        </w:numPr>
        <w:autoSpaceDE w:val="0"/>
        <w:autoSpaceDN w:val="0"/>
        <w:adjustRightInd w:val="0"/>
        <w:jc w:val="both"/>
        <w:rPr>
          <w:rFonts w:ascii="Arial" w:hAnsi="Arial" w:cs="Arial"/>
          <w:lang w:val="en-ZA" w:eastAsia="en-ZA"/>
        </w:rPr>
      </w:pPr>
      <w:r w:rsidRPr="00FA5D04">
        <w:rPr>
          <w:rFonts w:ascii="Arial" w:hAnsi="Arial" w:cs="Arial"/>
          <w:lang w:val="en-ZA" w:eastAsia="en-ZA"/>
        </w:rPr>
        <w:t xml:space="preserve">The establishment of dedicated specialised essential infrastructure task team (EEIT) units in each of the provinces, which includes members from visible policing, crime intelligence, and crime detection, dedicated to the protection of essential infrastructure and; </w:t>
      </w:r>
    </w:p>
    <w:p w:rsidR="0030277F" w:rsidRPr="00FA5D04" w:rsidRDefault="0030277F" w:rsidP="008B5ACF">
      <w:pPr>
        <w:pStyle w:val="ListParagraph"/>
        <w:numPr>
          <w:ilvl w:val="1"/>
          <w:numId w:val="24"/>
        </w:numPr>
        <w:autoSpaceDE w:val="0"/>
        <w:autoSpaceDN w:val="0"/>
        <w:adjustRightInd w:val="0"/>
        <w:jc w:val="both"/>
        <w:rPr>
          <w:rFonts w:ascii="Arial" w:hAnsi="Arial" w:cs="Arial"/>
          <w:lang w:val="en-ZA" w:eastAsia="en-ZA"/>
        </w:rPr>
      </w:pPr>
      <w:r w:rsidRPr="00FA5D04">
        <w:rPr>
          <w:rFonts w:ascii="Arial" w:hAnsi="Arial" w:cs="Arial"/>
          <w:lang w:val="en-ZA" w:eastAsia="en-ZA"/>
        </w:rPr>
        <w:t>For every SAPS station nationally to make available a dedicated small unit from visible policing, crime intelligence, and crime detection to focus on essential infrastructure related crime.</w:t>
      </w:r>
    </w:p>
    <w:p w:rsidR="0030277F" w:rsidRPr="00FA5D04" w:rsidRDefault="0030277F" w:rsidP="0030277F">
      <w:pPr>
        <w:pStyle w:val="ListParagraph"/>
        <w:autoSpaceDE w:val="0"/>
        <w:autoSpaceDN w:val="0"/>
        <w:adjustRightInd w:val="0"/>
        <w:ind w:left="1080"/>
        <w:jc w:val="both"/>
        <w:rPr>
          <w:rFonts w:ascii="Arial" w:hAnsi="Arial" w:cs="Arial"/>
          <w:lang w:val="en-ZA" w:eastAsia="en-ZA"/>
        </w:rPr>
      </w:pPr>
    </w:p>
    <w:p w:rsidR="0030277F" w:rsidRPr="00FA5D04" w:rsidRDefault="0030277F" w:rsidP="00FA5D04">
      <w:pPr>
        <w:pStyle w:val="ListParagraph"/>
        <w:numPr>
          <w:ilvl w:val="0"/>
          <w:numId w:val="22"/>
        </w:numPr>
        <w:autoSpaceDE w:val="0"/>
        <w:autoSpaceDN w:val="0"/>
        <w:adjustRightInd w:val="0"/>
        <w:ind w:hanging="720"/>
        <w:jc w:val="both"/>
        <w:rPr>
          <w:rFonts w:ascii="Arial" w:hAnsi="Arial" w:cs="Arial"/>
        </w:rPr>
      </w:pPr>
      <w:r w:rsidRPr="00FA5D04">
        <w:rPr>
          <w:rFonts w:ascii="Arial" w:hAnsi="Arial" w:cs="Arial"/>
          <w:b/>
          <w:bCs/>
          <w:color w:val="000000"/>
        </w:rPr>
        <w:t>Security:</w:t>
      </w:r>
      <w:r w:rsidRPr="00FA5D04">
        <w:rPr>
          <w:rFonts w:ascii="Arial" w:hAnsi="Arial" w:cs="Arial"/>
        </w:rPr>
        <w:t xml:space="preserve"> the tender of Outcomes based Security closed with the roll out beginning shortly.  In the case of the container corridor, given the potential operating lease, TFR has commenced the process to identify an Outcome Based Security service provider for 1 year on the Container Corridor.</w:t>
      </w:r>
    </w:p>
    <w:p w:rsidR="0030277F" w:rsidRPr="00FA5D04" w:rsidRDefault="0030277F" w:rsidP="0030277F">
      <w:pPr>
        <w:spacing w:line="276" w:lineRule="auto"/>
        <w:jc w:val="both"/>
        <w:rPr>
          <w:rFonts w:ascii="Arial" w:hAnsi="Arial" w:cs="Arial"/>
          <w:color w:val="000000"/>
          <w:sz w:val="22"/>
          <w:szCs w:val="22"/>
        </w:rPr>
      </w:pPr>
    </w:p>
    <w:p w:rsidR="0030277F" w:rsidRPr="00FA5D04" w:rsidRDefault="0030277F" w:rsidP="0030277F">
      <w:pPr>
        <w:spacing w:line="276" w:lineRule="auto"/>
        <w:jc w:val="both"/>
        <w:rPr>
          <w:rFonts w:ascii="Arial" w:hAnsi="Arial" w:cs="Arial"/>
          <w:color w:val="000000"/>
          <w:sz w:val="22"/>
          <w:szCs w:val="22"/>
        </w:rPr>
      </w:pPr>
    </w:p>
    <w:p w:rsidR="00C07706" w:rsidRPr="00FA5D04" w:rsidRDefault="00C07706" w:rsidP="005F4A9B">
      <w:pPr>
        <w:pStyle w:val="Default"/>
        <w:spacing w:line="360" w:lineRule="auto"/>
        <w:rPr>
          <w:b/>
          <w:bCs/>
          <w:sz w:val="22"/>
          <w:szCs w:val="22"/>
        </w:rPr>
      </w:pPr>
    </w:p>
    <w:p w:rsidR="00C07706" w:rsidRPr="00FA5D04" w:rsidRDefault="00C07706" w:rsidP="00C07706">
      <w:pPr>
        <w:spacing w:line="276" w:lineRule="auto"/>
        <w:jc w:val="both"/>
        <w:rPr>
          <w:rFonts w:ascii="Arial" w:hAnsi="Arial" w:cs="Arial"/>
          <w:color w:val="000000"/>
          <w:sz w:val="22"/>
          <w:szCs w:val="22"/>
        </w:rPr>
      </w:pPr>
    </w:p>
    <w:p w:rsidR="00C07706" w:rsidRPr="00C07706" w:rsidRDefault="00C07706" w:rsidP="00C07706">
      <w:pPr>
        <w:spacing w:line="276" w:lineRule="auto"/>
        <w:jc w:val="both"/>
        <w:rPr>
          <w:rFonts w:ascii="Tahoma" w:hAnsi="Tahoma" w:cs="Tahoma"/>
          <w:color w:val="000000"/>
          <w:sz w:val="22"/>
          <w:szCs w:val="22"/>
        </w:rPr>
      </w:pPr>
    </w:p>
    <w:p w:rsidR="00C07706" w:rsidRDefault="00C07706" w:rsidP="00C07706">
      <w:pPr>
        <w:pStyle w:val="Default"/>
        <w:spacing w:line="276" w:lineRule="auto"/>
        <w:rPr>
          <w:rFonts w:ascii="Tahoma" w:hAnsi="Tahoma" w:cs="Tahoma"/>
          <w:sz w:val="22"/>
          <w:szCs w:val="22"/>
        </w:rPr>
      </w:pPr>
    </w:p>
    <w:bookmarkEnd w:id="0"/>
    <w:p w:rsidR="00DE4554" w:rsidRPr="00896FF2" w:rsidRDefault="00DE4554" w:rsidP="00C77F7A">
      <w:pPr>
        <w:spacing w:line="360" w:lineRule="auto"/>
        <w:contextualSpacing/>
        <w:jc w:val="both"/>
        <w:rPr>
          <w:rFonts w:ascii="Arial" w:hAnsi="Arial" w:cs="Arial"/>
          <w:b/>
          <w:bCs/>
          <w:sz w:val="22"/>
          <w:szCs w:val="22"/>
          <w:lang w:val="en-ZA"/>
        </w:rPr>
      </w:pPr>
      <w:r w:rsidRPr="00896FF2">
        <w:rPr>
          <w:rFonts w:ascii="Arial" w:hAnsi="Arial" w:cs="Arial"/>
          <w:b/>
          <w:bCs/>
          <w:sz w:val="22"/>
          <w:szCs w:val="22"/>
          <w:lang w:val="en-ZA"/>
        </w:rPr>
        <w:t xml:space="preserve">Remarks:      </w:t>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00CF2BA4">
        <w:rPr>
          <w:rFonts w:ascii="Arial" w:hAnsi="Arial" w:cs="Arial"/>
          <w:b/>
          <w:bCs/>
          <w:sz w:val="22"/>
          <w:szCs w:val="22"/>
          <w:lang w:val="en-ZA"/>
        </w:rPr>
        <w:tab/>
      </w:r>
      <w:r w:rsidR="00CF2BA4">
        <w:rPr>
          <w:rFonts w:ascii="Arial" w:hAnsi="Arial" w:cs="Arial"/>
          <w:b/>
          <w:bCs/>
          <w:sz w:val="22"/>
          <w:szCs w:val="22"/>
          <w:lang w:val="en-ZA"/>
        </w:rPr>
        <w:tab/>
      </w:r>
      <w:r w:rsidRPr="00896FF2">
        <w:rPr>
          <w:rFonts w:ascii="Arial" w:hAnsi="Arial" w:cs="Arial"/>
          <w:b/>
          <w:bCs/>
          <w:sz w:val="22"/>
          <w:szCs w:val="22"/>
          <w:lang w:val="en-ZA"/>
        </w:rPr>
        <w:t xml:space="preserve">Reply: </w:t>
      </w:r>
      <w:r w:rsidRPr="00E91F82">
        <w:rPr>
          <w:rFonts w:ascii="Arial" w:hAnsi="Arial" w:cs="Arial"/>
          <w:b/>
          <w:bCs/>
          <w:sz w:val="22"/>
          <w:szCs w:val="22"/>
          <w:highlight w:val="yellow"/>
          <w:lang w:val="en-ZA"/>
        </w:rPr>
        <w:t>Approved</w:t>
      </w:r>
      <w:r w:rsidRPr="00896FF2">
        <w:rPr>
          <w:rFonts w:ascii="Arial" w:hAnsi="Arial" w:cs="Arial"/>
          <w:b/>
          <w:bCs/>
          <w:sz w:val="22"/>
          <w:szCs w:val="22"/>
          <w:lang w:val="en-ZA"/>
        </w:rPr>
        <w:t xml:space="preserve"> / Not Approved</w:t>
      </w:r>
    </w:p>
    <w:p w:rsidR="0026535D" w:rsidRDefault="0026535D" w:rsidP="00C77F7A">
      <w:pPr>
        <w:spacing w:line="360" w:lineRule="auto"/>
        <w:ind w:left="569" w:hanging="1"/>
        <w:rPr>
          <w:rFonts w:ascii="Tahoma" w:hAnsi="Tahoma" w:cs="Tahoma"/>
          <w:b/>
          <w:sz w:val="22"/>
          <w:szCs w:val="22"/>
        </w:rPr>
      </w:pPr>
    </w:p>
    <w:p w:rsidR="00F63893" w:rsidRPr="00896FF2" w:rsidRDefault="00F63893" w:rsidP="00C77F7A">
      <w:pPr>
        <w:spacing w:line="360" w:lineRule="auto"/>
        <w:ind w:left="569" w:hanging="1"/>
        <w:rPr>
          <w:rFonts w:ascii="Tahoma" w:hAnsi="Tahoma" w:cs="Tahoma"/>
          <w:b/>
          <w:sz w:val="22"/>
          <w:szCs w:val="22"/>
        </w:rPr>
      </w:pPr>
    </w:p>
    <w:p w:rsidR="00C95BA0" w:rsidRPr="00896FF2" w:rsidRDefault="00C95BA0" w:rsidP="00C77F7A">
      <w:pPr>
        <w:spacing w:line="360" w:lineRule="auto"/>
        <w:ind w:left="1440" w:hanging="1440"/>
        <w:jc w:val="both"/>
        <w:rPr>
          <w:rFonts w:ascii="Arial" w:hAnsi="Arial" w:cs="Arial"/>
          <w:bCs/>
          <w:sz w:val="22"/>
          <w:szCs w:val="22"/>
        </w:rPr>
      </w:pPr>
    </w:p>
    <w:p w:rsidR="007776BB" w:rsidRPr="00896FF2" w:rsidRDefault="00C07706" w:rsidP="00C77F7A">
      <w:pPr>
        <w:spacing w:line="360" w:lineRule="auto"/>
        <w:jc w:val="both"/>
        <w:rPr>
          <w:rFonts w:ascii="Arial" w:hAnsi="Arial" w:cs="Arial"/>
          <w:b/>
          <w:sz w:val="22"/>
          <w:szCs w:val="22"/>
        </w:rPr>
      </w:pPr>
      <w:r>
        <w:rPr>
          <w:rFonts w:ascii="Arial" w:hAnsi="Arial" w:cs="Arial"/>
          <w:b/>
          <w:sz w:val="22"/>
          <w:szCs w:val="22"/>
        </w:rPr>
        <w:t>Jacky Molisane</w:t>
      </w:r>
      <w:r w:rsidR="00CE6D28" w:rsidRPr="00896FF2">
        <w:rPr>
          <w:rFonts w:ascii="Arial" w:hAnsi="Arial" w:cs="Arial"/>
          <w:b/>
          <w:sz w:val="22"/>
          <w:szCs w:val="22"/>
        </w:rPr>
        <w:tab/>
      </w:r>
      <w:r w:rsidR="007776BB" w:rsidRPr="00896FF2">
        <w:rPr>
          <w:rFonts w:ascii="Arial" w:hAnsi="Arial" w:cs="Arial"/>
          <w:b/>
          <w:sz w:val="22"/>
          <w:szCs w:val="22"/>
        </w:rPr>
        <w:tab/>
      </w:r>
      <w:r w:rsidR="0097033F" w:rsidRPr="00896FF2">
        <w:rPr>
          <w:rFonts w:ascii="Arial" w:hAnsi="Arial" w:cs="Arial"/>
          <w:b/>
          <w:sz w:val="22"/>
          <w:szCs w:val="22"/>
        </w:rPr>
        <w:t xml:space="preserve"> </w:t>
      </w:r>
      <w:r w:rsidR="0072660B" w:rsidRPr="00896FF2">
        <w:rPr>
          <w:rFonts w:ascii="Arial" w:hAnsi="Arial" w:cs="Arial"/>
          <w:b/>
          <w:sz w:val="22"/>
          <w:szCs w:val="22"/>
        </w:rPr>
        <w:tab/>
      </w:r>
      <w:r w:rsidR="00CF2BA4">
        <w:rPr>
          <w:rFonts w:ascii="Arial" w:hAnsi="Arial" w:cs="Arial"/>
          <w:b/>
          <w:sz w:val="22"/>
          <w:szCs w:val="22"/>
        </w:rPr>
        <w:tab/>
      </w:r>
      <w:r w:rsidR="00CF2BA4">
        <w:rPr>
          <w:rFonts w:ascii="Arial" w:hAnsi="Arial" w:cs="Arial"/>
          <w:b/>
          <w:sz w:val="22"/>
          <w:szCs w:val="22"/>
        </w:rPr>
        <w:tab/>
      </w:r>
      <w:r w:rsidR="00DF7D97" w:rsidRPr="00896FF2">
        <w:rPr>
          <w:rFonts w:ascii="Arial" w:hAnsi="Arial" w:cs="Arial"/>
          <w:b/>
          <w:sz w:val="22"/>
          <w:szCs w:val="22"/>
        </w:rPr>
        <w:t>P</w:t>
      </w:r>
      <w:r w:rsidR="00767A5F" w:rsidRPr="00896FF2">
        <w:rPr>
          <w:rFonts w:ascii="Arial" w:hAnsi="Arial" w:cs="Arial"/>
          <w:b/>
          <w:sz w:val="22"/>
          <w:szCs w:val="22"/>
        </w:rPr>
        <w:t xml:space="preserve"> J </w:t>
      </w:r>
      <w:r w:rsidR="00DF7D97" w:rsidRPr="00896FF2">
        <w:rPr>
          <w:rFonts w:ascii="Arial" w:hAnsi="Arial" w:cs="Arial"/>
          <w:b/>
          <w:sz w:val="22"/>
          <w:szCs w:val="22"/>
        </w:rPr>
        <w:t>Gordhan</w:t>
      </w:r>
      <w:r w:rsidR="007776BB" w:rsidRPr="00896FF2">
        <w:rPr>
          <w:rFonts w:ascii="Arial" w:hAnsi="Arial" w:cs="Arial"/>
          <w:b/>
          <w:sz w:val="22"/>
          <w:szCs w:val="22"/>
        </w:rPr>
        <w:t>, MP</w:t>
      </w:r>
      <w:r w:rsidR="007776BB" w:rsidRPr="00896FF2">
        <w:rPr>
          <w:rFonts w:ascii="Arial" w:hAnsi="Arial" w:cs="Arial"/>
          <w:b/>
          <w:sz w:val="22"/>
          <w:szCs w:val="22"/>
        </w:rPr>
        <w:tab/>
      </w:r>
      <w:r w:rsidR="007776BB" w:rsidRPr="00896FF2">
        <w:rPr>
          <w:rFonts w:ascii="Arial" w:hAnsi="Arial" w:cs="Arial"/>
          <w:b/>
          <w:sz w:val="22"/>
          <w:szCs w:val="22"/>
        </w:rPr>
        <w:tab/>
      </w: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 xml:space="preserve">Acting </w:t>
      </w:r>
      <w:r w:rsidR="007776BB" w:rsidRPr="00896FF2">
        <w:rPr>
          <w:rFonts w:ascii="Arial" w:hAnsi="Arial" w:cs="Arial"/>
          <w:b/>
          <w:sz w:val="22"/>
          <w:szCs w:val="22"/>
        </w:rPr>
        <w:t>Director-General</w:t>
      </w:r>
      <w:r w:rsidR="007776BB" w:rsidRPr="00896FF2">
        <w:rPr>
          <w:rFonts w:ascii="Arial" w:hAnsi="Arial" w:cs="Arial"/>
          <w:b/>
          <w:sz w:val="22"/>
          <w:szCs w:val="22"/>
        </w:rPr>
        <w:tab/>
      </w:r>
      <w:r w:rsidR="007776BB" w:rsidRPr="00896FF2">
        <w:rPr>
          <w:rFonts w:ascii="Arial" w:hAnsi="Arial" w:cs="Arial"/>
          <w:b/>
          <w:sz w:val="22"/>
          <w:szCs w:val="22"/>
        </w:rPr>
        <w:tab/>
      </w:r>
      <w:r w:rsidR="00CF2BA4">
        <w:rPr>
          <w:rFonts w:ascii="Arial" w:hAnsi="Arial" w:cs="Arial"/>
          <w:b/>
          <w:sz w:val="22"/>
          <w:szCs w:val="22"/>
        </w:rPr>
        <w:tab/>
      </w:r>
      <w:r w:rsidR="00CF2BA4">
        <w:rPr>
          <w:rFonts w:ascii="Arial" w:hAnsi="Arial" w:cs="Arial"/>
          <w:b/>
          <w:sz w:val="22"/>
          <w:szCs w:val="22"/>
        </w:rPr>
        <w:tab/>
      </w:r>
      <w:r w:rsidR="007776BB" w:rsidRPr="00896FF2">
        <w:rPr>
          <w:rFonts w:ascii="Arial" w:hAnsi="Arial" w:cs="Arial"/>
          <w:b/>
          <w:sz w:val="22"/>
          <w:szCs w:val="22"/>
        </w:rPr>
        <w:t xml:space="preserve">Minister </w:t>
      </w:r>
    </w:p>
    <w:p w:rsidR="00D52F74" w:rsidRPr="00896FF2" w:rsidRDefault="007776BB" w:rsidP="008C2D50">
      <w:pPr>
        <w:spacing w:line="360" w:lineRule="auto"/>
        <w:jc w:val="both"/>
        <w:rPr>
          <w:rFonts w:ascii="Arial" w:hAnsi="Arial" w:cs="Arial"/>
          <w:b/>
          <w:sz w:val="22"/>
          <w:szCs w:val="22"/>
        </w:rPr>
      </w:pPr>
      <w:r w:rsidRPr="00896FF2">
        <w:rPr>
          <w:rFonts w:ascii="Arial" w:hAnsi="Arial" w:cs="Arial"/>
          <w:b/>
          <w:sz w:val="22"/>
          <w:szCs w:val="22"/>
        </w:rPr>
        <w:t>Date:</w:t>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00CF2BA4">
        <w:rPr>
          <w:rFonts w:ascii="Arial" w:hAnsi="Arial" w:cs="Arial"/>
          <w:b/>
          <w:sz w:val="22"/>
          <w:szCs w:val="22"/>
        </w:rPr>
        <w:tab/>
      </w:r>
      <w:r w:rsidR="00CF2BA4">
        <w:rPr>
          <w:rFonts w:ascii="Arial" w:hAnsi="Arial" w:cs="Arial"/>
          <w:b/>
          <w:sz w:val="22"/>
          <w:szCs w:val="22"/>
        </w:rPr>
        <w:tab/>
      </w:r>
      <w:r w:rsidRPr="00896FF2">
        <w:rPr>
          <w:rFonts w:ascii="Arial" w:hAnsi="Arial" w:cs="Arial"/>
          <w:b/>
          <w:sz w:val="22"/>
          <w:szCs w:val="22"/>
        </w:rPr>
        <w:t>Date:</w:t>
      </w:r>
    </w:p>
    <w:sectPr w:rsidR="00D52F74" w:rsidRPr="00896FF2">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98" w:rsidRDefault="009C2798" w:rsidP="002F7B6C">
      <w:r>
        <w:separator/>
      </w:r>
    </w:p>
  </w:endnote>
  <w:endnote w:type="continuationSeparator" w:id="0">
    <w:p w:rsidR="009C2798" w:rsidRDefault="009C279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9C2798">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98" w:rsidRDefault="009C2798" w:rsidP="002F7B6C">
      <w:r>
        <w:separator/>
      </w:r>
    </w:p>
  </w:footnote>
  <w:footnote w:type="continuationSeparator" w:id="0">
    <w:p w:rsidR="009C2798" w:rsidRDefault="009C279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1ADE7B41"/>
    <w:multiLevelType w:val="multilevel"/>
    <w:tmpl w:val="76F86E2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3A6563"/>
    <w:multiLevelType w:val="hybridMultilevel"/>
    <w:tmpl w:val="30F80546"/>
    <w:lvl w:ilvl="0" w:tplc="FEAA6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9564F1F"/>
    <w:multiLevelType w:val="hybridMultilevel"/>
    <w:tmpl w:val="28804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49CB393B"/>
    <w:multiLevelType w:val="hybridMultilevel"/>
    <w:tmpl w:val="65E44AB2"/>
    <w:lvl w:ilvl="0" w:tplc="90D6DEFE">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4">
    <w:nsid w:val="4C784E2D"/>
    <w:multiLevelType w:val="hybridMultilevel"/>
    <w:tmpl w:val="0042449A"/>
    <w:lvl w:ilvl="0" w:tplc="1C090017">
      <w:start w:val="2"/>
      <w:numFmt w:val="lowerLetter"/>
      <w:lvlText w:val="%1)"/>
      <w:lvlJc w:val="left"/>
      <w:pPr>
        <w:ind w:left="720" w:hanging="360"/>
      </w:pPr>
      <w:rPr>
        <w:rFonts w:hint="default"/>
      </w:rPr>
    </w:lvl>
    <w:lvl w:ilvl="1" w:tplc="483200E2">
      <w:numFmt w:val="bullet"/>
      <w:lvlText w:val="•"/>
      <w:lvlJc w:val="left"/>
      <w:pPr>
        <w:ind w:left="1440" w:hanging="360"/>
      </w:pPr>
      <w:rPr>
        <w:rFonts w:ascii="Tahoma" w:eastAsia="Times New Roman" w:hAnsi="Tahoma" w:cs="Tahoma"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8619B4"/>
    <w:multiLevelType w:val="hybridMultilevel"/>
    <w:tmpl w:val="E8721E1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7A76FC"/>
    <w:multiLevelType w:val="hybridMultilevel"/>
    <w:tmpl w:val="6C904FCC"/>
    <w:lvl w:ilvl="0" w:tplc="1F9E42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5C30A5"/>
    <w:multiLevelType w:val="multilevel"/>
    <w:tmpl w:val="BD748D72"/>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nsid w:val="5BC568AA"/>
    <w:multiLevelType w:val="hybridMultilevel"/>
    <w:tmpl w:val="3B4A01A8"/>
    <w:lvl w:ilvl="0" w:tplc="4670979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00034"/>
    <w:multiLevelType w:val="hybridMultilevel"/>
    <w:tmpl w:val="4FB8B682"/>
    <w:lvl w:ilvl="0" w:tplc="C824C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7"/>
  </w:num>
  <w:num w:numId="6">
    <w:abstractNumId w:val="11"/>
  </w:num>
  <w:num w:numId="7">
    <w:abstractNumId w:val="23"/>
  </w:num>
  <w:num w:numId="8">
    <w:abstractNumId w:val="0"/>
  </w:num>
  <w:num w:numId="9">
    <w:abstractNumId w:val="8"/>
  </w:num>
  <w:num w:numId="10">
    <w:abstractNumId w:val="4"/>
  </w:num>
  <w:num w:numId="11">
    <w:abstractNumId w:val="3"/>
  </w:num>
  <w:num w:numId="12">
    <w:abstractNumId w:val="6"/>
  </w:num>
  <w:num w:numId="13">
    <w:abstractNumId w:val="21"/>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4"/>
  </w:num>
  <w:num w:numId="19">
    <w:abstractNumId w:val="12"/>
  </w:num>
  <w:num w:numId="20">
    <w:abstractNumId w:val="15"/>
  </w:num>
  <w:num w:numId="21">
    <w:abstractNumId w:val="1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27880"/>
    <w:rsid w:val="00037BA8"/>
    <w:rsid w:val="00051C17"/>
    <w:rsid w:val="00053958"/>
    <w:rsid w:val="00063424"/>
    <w:rsid w:val="00064DE9"/>
    <w:rsid w:val="000761C1"/>
    <w:rsid w:val="00081503"/>
    <w:rsid w:val="00082DF7"/>
    <w:rsid w:val="000870D7"/>
    <w:rsid w:val="0008722C"/>
    <w:rsid w:val="00087FAE"/>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4A31"/>
    <w:rsid w:val="001A63AA"/>
    <w:rsid w:val="001B5577"/>
    <w:rsid w:val="001B58A0"/>
    <w:rsid w:val="001C48C1"/>
    <w:rsid w:val="001C5D73"/>
    <w:rsid w:val="001D6636"/>
    <w:rsid w:val="001D6AD9"/>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51886"/>
    <w:rsid w:val="00253EEE"/>
    <w:rsid w:val="00254AFA"/>
    <w:rsid w:val="002558F8"/>
    <w:rsid w:val="00255F01"/>
    <w:rsid w:val="00262CCB"/>
    <w:rsid w:val="00265166"/>
    <w:rsid w:val="0026535D"/>
    <w:rsid w:val="00265D54"/>
    <w:rsid w:val="002826FA"/>
    <w:rsid w:val="002860E0"/>
    <w:rsid w:val="00292E7A"/>
    <w:rsid w:val="002945C8"/>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277F"/>
    <w:rsid w:val="00304D24"/>
    <w:rsid w:val="00321F3F"/>
    <w:rsid w:val="00335B3C"/>
    <w:rsid w:val="00344369"/>
    <w:rsid w:val="003502E6"/>
    <w:rsid w:val="00363591"/>
    <w:rsid w:val="00366627"/>
    <w:rsid w:val="00375892"/>
    <w:rsid w:val="003828D9"/>
    <w:rsid w:val="0038311E"/>
    <w:rsid w:val="0039441D"/>
    <w:rsid w:val="00397F90"/>
    <w:rsid w:val="003A0568"/>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3D3F"/>
    <w:rsid w:val="00485879"/>
    <w:rsid w:val="004A79CE"/>
    <w:rsid w:val="004A7AC9"/>
    <w:rsid w:val="004B613E"/>
    <w:rsid w:val="004C4CB3"/>
    <w:rsid w:val="004C5539"/>
    <w:rsid w:val="004D14CD"/>
    <w:rsid w:val="004D461D"/>
    <w:rsid w:val="004D772A"/>
    <w:rsid w:val="004E1FD7"/>
    <w:rsid w:val="004E3AE1"/>
    <w:rsid w:val="005007A5"/>
    <w:rsid w:val="00501ED3"/>
    <w:rsid w:val="005037D8"/>
    <w:rsid w:val="005047F1"/>
    <w:rsid w:val="00514763"/>
    <w:rsid w:val="00517244"/>
    <w:rsid w:val="005240E0"/>
    <w:rsid w:val="00530AF1"/>
    <w:rsid w:val="00540B50"/>
    <w:rsid w:val="00543405"/>
    <w:rsid w:val="00543F78"/>
    <w:rsid w:val="0054476C"/>
    <w:rsid w:val="00550C83"/>
    <w:rsid w:val="00550D7F"/>
    <w:rsid w:val="00552E56"/>
    <w:rsid w:val="00557E9E"/>
    <w:rsid w:val="00561E22"/>
    <w:rsid w:val="0057074A"/>
    <w:rsid w:val="00572202"/>
    <w:rsid w:val="00577154"/>
    <w:rsid w:val="00584888"/>
    <w:rsid w:val="005A0F6D"/>
    <w:rsid w:val="005A234A"/>
    <w:rsid w:val="005A49C8"/>
    <w:rsid w:val="005B5054"/>
    <w:rsid w:val="005C2BD3"/>
    <w:rsid w:val="005C3BE9"/>
    <w:rsid w:val="005D4452"/>
    <w:rsid w:val="005D65B4"/>
    <w:rsid w:val="005E1F33"/>
    <w:rsid w:val="005E232A"/>
    <w:rsid w:val="005E53CB"/>
    <w:rsid w:val="005F4A9B"/>
    <w:rsid w:val="00600858"/>
    <w:rsid w:val="00617391"/>
    <w:rsid w:val="006228F7"/>
    <w:rsid w:val="00632C36"/>
    <w:rsid w:val="00634841"/>
    <w:rsid w:val="00641C50"/>
    <w:rsid w:val="00643BA9"/>
    <w:rsid w:val="006503D1"/>
    <w:rsid w:val="006522AE"/>
    <w:rsid w:val="006574A8"/>
    <w:rsid w:val="006639BE"/>
    <w:rsid w:val="00674548"/>
    <w:rsid w:val="00683DF1"/>
    <w:rsid w:val="00691516"/>
    <w:rsid w:val="00692C78"/>
    <w:rsid w:val="00693729"/>
    <w:rsid w:val="00696E74"/>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1BC1"/>
    <w:rsid w:val="00794BA1"/>
    <w:rsid w:val="007A0A55"/>
    <w:rsid w:val="007A205F"/>
    <w:rsid w:val="007A476C"/>
    <w:rsid w:val="007A5976"/>
    <w:rsid w:val="007B3B72"/>
    <w:rsid w:val="007B55B5"/>
    <w:rsid w:val="007C0571"/>
    <w:rsid w:val="007C59C4"/>
    <w:rsid w:val="007D3B93"/>
    <w:rsid w:val="007D51A4"/>
    <w:rsid w:val="007D5303"/>
    <w:rsid w:val="007D7502"/>
    <w:rsid w:val="007E303E"/>
    <w:rsid w:val="007E573D"/>
    <w:rsid w:val="007E662D"/>
    <w:rsid w:val="007F06CF"/>
    <w:rsid w:val="007F5018"/>
    <w:rsid w:val="00807B05"/>
    <w:rsid w:val="008127EF"/>
    <w:rsid w:val="008143D9"/>
    <w:rsid w:val="00817C05"/>
    <w:rsid w:val="00836F90"/>
    <w:rsid w:val="00841E05"/>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B5ACF"/>
    <w:rsid w:val="008C2D50"/>
    <w:rsid w:val="008E0C4E"/>
    <w:rsid w:val="008E17D4"/>
    <w:rsid w:val="008E4FAB"/>
    <w:rsid w:val="008E7570"/>
    <w:rsid w:val="008F31BE"/>
    <w:rsid w:val="008F4E54"/>
    <w:rsid w:val="008F620E"/>
    <w:rsid w:val="008F7C84"/>
    <w:rsid w:val="00900509"/>
    <w:rsid w:val="009101EB"/>
    <w:rsid w:val="00917F77"/>
    <w:rsid w:val="009212DC"/>
    <w:rsid w:val="00927FC8"/>
    <w:rsid w:val="00933A9C"/>
    <w:rsid w:val="0093636F"/>
    <w:rsid w:val="00947690"/>
    <w:rsid w:val="0095093B"/>
    <w:rsid w:val="00956CC7"/>
    <w:rsid w:val="00962645"/>
    <w:rsid w:val="0097033F"/>
    <w:rsid w:val="00975C64"/>
    <w:rsid w:val="00983134"/>
    <w:rsid w:val="00983745"/>
    <w:rsid w:val="009B001C"/>
    <w:rsid w:val="009B0740"/>
    <w:rsid w:val="009B7F8A"/>
    <w:rsid w:val="009C2798"/>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1AD"/>
    <w:rsid w:val="00A86D97"/>
    <w:rsid w:val="00A940D5"/>
    <w:rsid w:val="00A96A47"/>
    <w:rsid w:val="00AA10D7"/>
    <w:rsid w:val="00AA2FC2"/>
    <w:rsid w:val="00AB1C3D"/>
    <w:rsid w:val="00AC289D"/>
    <w:rsid w:val="00AC40F3"/>
    <w:rsid w:val="00AC63C4"/>
    <w:rsid w:val="00AD1830"/>
    <w:rsid w:val="00AD6E0F"/>
    <w:rsid w:val="00AE041D"/>
    <w:rsid w:val="00AE22E4"/>
    <w:rsid w:val="00AF23CA"/>
    <w:rsid w:val="00B06002"/>
    <w:rsid w:val="00B06F1A"/>
    <w:rsid w:val="00B10FBD"/>
    <w:rsid w:val="00B21B4E"/>
    <w:rsid w:val="00B32686"/>
    <w:rsid w:val="00B4224B"/>
    <w:rsid w:val="00B44ACF"/>
    <w:rsid w:val="00B52D1A"/>
    <w:rsid w:val="00B64C51"/>
    <w:rsid w:val="00B65996"/>
    <w:rsid w:val="00B725AD"/>
    <w:rsid w:val="00B84C5C"/>
    <w:rsid w:val="00B91B50"/>
    <w:rsid w:val="00B95821"/>
    <w:rsid w:val="00B977DB"/>
    <w:rsid w:val="00BC1138"/>
    <w:rsid w:val="00BC2946"/>
    <w:rsid w:val="00BC46C6"/>
    <w:rsid w:val="00BD652C"/>
    <w:rsid w:val="00BD73B4"/>
    <w:rsid w:val="00BE2C89"/>
    <w:rsid w:val="00C02B81"/>
    <w:rsid w:val="00C04A5B"/>
    <w:rsid w:val="00C05B52"/>
    <w:rsid w:val="00C07706"/>
    <w:rsid w:val="00C163FA"/>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2BA4"/>
    <w:rsid w:val="00CF5106"/>
    <w:rsid w:val="00CF5D4B"/>
    <w:rsid w:val="00D042B8"/>
    <w:rsid w:val="00D05C4D"/>
    <w:rsid w:val="00D1161C"/>
    <w:rsid w:val="00D15DA1"/>
    <w:rsid w:val="00D25608"/>
    <w:rsid w:val="00D25ED9"/>
    <w:rsid w:val="00D301BD"/>
    <w:rsid w:val="00D3372F"/>
    <w:rsid w:val="00D37BD8"/>
    <w:rsid w:val="00D415F5"/>
    <w:rsid w:val="00D45318"/>
    <w:rsid w:val="00D4715B"/>
    <w:rsid w:val="00D52F74"/>
    <w:rsid w:val="00D64949"/>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C49F2"/>
    <w:rsid w:val="00DC5942"/>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418EB"/>
    <w:rsid w:val="00E5649A"/>
    <w:rsid w:val="00E569CD"/>
    <w:rsid w:val="00E65B70"/>
    <w:rsid w:val="00E671CD"/>
    <w:rsid w:val="00E721B7"/>
    <w:rsid w:val="00E72CCA"/>
    <w:rsid w:val="00E73F7A"/>
    <w:rsid w:val="00E83AF7"/>
    <w:rsid w:val="00E83DB6"/>
    <w:rsid w:val="00E91F82"/>
    <w:rsid w:val="00E9248E"/>
    <w:rsid w:val="00E92965"/>
    <w:rsid w:val="00EA1621"/>
    <w:rsid w:val="00EA3573"/>
    <w:rsid w:val="00EA3DFB"/>
    <w:rsid w:val="00EB3D15"/>
    <w:rsid w:val="00EB769D"/>
    <w:rsid w:val="00ED3319"/>
    <w:rsid w:val="00ED359A"/>
    <w:rsid w:val="00ED6F63"/>
    <w:rsid w:val="00EE1975"/>
    <w:rsid w:val="00EE2568"/>
    <w:rsid w:val="00EE2A11"/>
    <w:rsid w:val="00EE4B89"/>
    <w:rsid w:val="00EF3F70"/>
    <w:rsid w:val="00EF5F14"/>
    <w:rsid w:val="00F0591A"/>
    <w:rsid w:val="00F169D5"/>
    <w:rsid w:val="00F2224F"/>
    <w:rsid w:val="00F24A7D"/>
    <w:rsid w:val="00F24B6C"/>
    <w:rsid w:val="00F25E93"/>
    <w:rsid w:val="00F33528"/>
    <w:rsid w:val="00F37A4D"/>
    <w:rsid w:val="00F544FA"/>
    <w:rsid w:val="00F63893"/>
    <w:rsid w:val="00F700EC"/>
    <w:rsid w:val="00F75EA0"/>
    <w:rsid w:val="00F80BD9"/>
    <w:rsid w:val="00F968DE"/>
    <w:rsid w:val="00F974E3"/>
    <w:rsid w:val="00FA1820"/>
    <w:rsid w:val="00FA4243"/>
    <w:rsid w:val="00FA5D04"/>
    <w:rsid w:val="00FC103B"/>
    <w:rsid w:val="00FC13E0"/>
    <w:rsid w:val="00FC5CDB"/>
    <w:rsid w:val="00FC7668"/>
    <w:rsid w:val="00FD115B"/>
    <w:rsid w:val="00FD7679"/>
    <w:rsid w:val="00FF317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429949">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56010432">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8D2F-D6A1-4372-9D01-F4F1C516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2023-06-06T09:08:00Z</cp:lastPrinted>
  <dcterms:created xsi:type="dcterms:W3CDTF">2023-06-27T13:10:00Z</dcterms:created>
  <dcterms:modified xsi:type="dcterms:W3CDTF">2023-06-27T13:10:00Z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00000000ABA0F881FC66C64B80CB458AD208EE3F04672B00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