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9"/>
      </w:tblGrid>
      <w:tr w:rsidR="008E74FB" w:rsidRPr="008E74FB" w:rsidTr="00BF1D9B">
        <w:tc>
          <w:tcPr>
            <w:tcW w:w="9819" w:type="dxa"/>
          </w:tcPr>
          <w:p w:rsidR="00BE13C3" w:rsidRPr="008E74FB" w:rsidRDefault="0030177D" w:rsidP="00BE13C3">
            <w:pPr>
              <w:jc w:val="center"/>
              <w:rPr>
                <w:rFonts w:cs="Arial"/>
                <w:b/>
                <w:color w:val="000000"/>
              </w:rPr>
            </w:pPr>
            <w:r>
              <w:rPr>
                <w:rFonts w:cs="Arial"/>
                <w:b/>
                <w:color w:val="000000"/>
              </w:rPr>
              <w:t xml:space="preserve"> </w:t>
            </w:r>
          </w:p>
          <w:p w:rsidR="00BE13C3" w:rsidRPr="008E74FB" w:rsidRDefault="00BE13C3" w:rsidP="00BE13C3">
            <w:pPr>
              <w:jc w:val="center"/>
              <w:rPr>
                <w:rFonts w:cs="Arial"/>
                <w:b/>
                <w:color w:val="000000"/>
              </w:rPr>
            </w:pPr>
            <w:r w:rsidRPr="008E74FB">
              <w:rPr>
                <w:rFonts w:cs="Arial"/>
                <w:b/>
                <w:color w:val="000000"/>
              </w:rPr>
              <w:t>PARLIAMENT OF THE REPUBLIC OF SOUTH AFRICA</w:t>
            </w:r>
          </w:p>
          <w:p w:rsidR="00BE13C3" w:rsidRPr="008E74FB" w:rsidRDefault="00BE13C3" w:rsidP="00BE13C3">
            <w:pPr>
              <w:ind w:left="540" w:hanging="540"/>
              <w:jc w:val="center"/>
              <w:rPr>
                <w:rFonts w:cs="Arial"/>
                <w:b/>
                <w:color w:val="000000"/>
              </w:rPr>
            </w:pPr>
            <w:r w:rsidRPr="008E74FB">
              <w:rPr>
                <w:rFonts w:cs="Arial"/>
                <w:b/>
                <w:color w:val="000000"/>
              </w:rPr>
              <w:t xml:space="preserve">NATIONAL </w:t>
            </w:r>
            <w:r w:rsidR="00E83F31" w:rsidRPr="008E74FB">
              <w:rPr>
                <w:rFonts w:cs="Arial"/>
                <w:b/>
                <w:color w:val="000000"/>
              </w:rPr>
              <w:t>ASSEMBLY</w:t>
            </w:r>
          </w:p>
          <w:p w:rsidR="00BE13C3" w:rsidRPr="008E74FB" w:rsidRDefault="00BE13C3" w:rsidP="00BE13C3">
            <w:pPr>
              <w:ind w:left="540" w:hanging="540"/>
              <w:jc w:val="center"/>
              <w:rPr>
                <w:rFonts w:cs="Arial"/>
                <w:color w:val="000000"/>
              </w:rPr>
            </w:pPr>
          </w:p>
        </w:tc>
      </w:tr>
    </w:tbl>
    <w:p w:rsidR="00BE13C3" w:rsidRPr="008E74FB" w:rsidRDefault="00BE13C3" w:rsidP="00BE13C3">
      <w:pPr>
        <w:ind w:left="540" w:hanging="540"/>
        <w:rPr>
          <w:rFonts w:cs="Arial"/>
          <w:color w:val="000000"/>
        </w:rPr>
      </w:pPr>
    </w:p>
    <w:p w:rsidR="00BE13C3" w:rsidRPr="00B70DAB" w:rsidRDefault="00BE13C3" w:rsidP="00BE13C3">
      <w:pPr>
        <w:ind w:left="540" w:hanging="540"/>
        <w:rPr>
          <w:rFonts w:cs="Arial"/>
          <w:color w:val="000000"/>
        </w:rPr>
      </w:pPr>
    </w:p>
    <w:p w:rsidR="00BE13C3" w:rsidRPr="00B70DAB" w:rsidRDefault="00B70DAB" w:rsidP="00B70DAB">
      <w:pPr>
        <w:spacing w:line="360" w:lineRule="auto"/>
        <w:ind w:left="540" w:hanging="540"/>
        <w:rPr>
          <w:rFonts w:cs="Arial"/>
          <w:b/>
          <w:color w:val="000000"/>
          <w:sz w:val="24"/>
          <w:szCs w:val="24"/>
        </w:rPr>
      </w:pPr>
      <w:r w:rsidRPr="00B70DAB">
        <w:rPr>
          <w:rFonts w:cs="Arial"/>
          <w:b/>
          <w:color w:val="000000"/>
          <w:sz w:val="24"/>
          <w:szCs w:val="24"/>
        </w:rPr>
        <w:t xml:space="preserve">QUESTION </w:t>
      </w:r>
      <w:r w:rsidR="00AF667D" w:rsidRPr="00B70DAB">
        <w:rPr>
          <w:rFonts w:cs="Arial"/>
          <w:b/>
          <w:color w:val="000000"/>
          <w:sz w:val="24"/>
          <w:szCs w:val="24"/>
        </w:rPr>
        <w:t xml:space="preserve">FOR </w:t>
      </w:r>
      <w:r w:rsidR="006B25BE" w:rsidRPr="00B70DAB">
        <w:rPr>
          <w:rFonts w:cs="Arial"/>
          <w:b/>
          <w:color w:val="000000"/>
          <w:sz w:val="24"/>
          <w:szCs w:val="24"/>
        </w:rPr>
        <w:t>WRITTEN</w:t>
      </w:r>
      <w:r w:rsidR="00AF667D" w:rsidRPr="00B70DAB">
        <w:rPr>
          <w:rFonts w:cs="Arial"/>
          <w:b/>
          <w:color w:val="000000"/>
          <w:sz w:val="24"/>
          <w:szCs w:val="24"/>
        </w:rPr>
        <w:t xml:space="preserve"> </w:t>
      </w:r>
      <w:r w:rsidR="00BE13C3" w:rsidRPr="00B70DAB">
        <w:rPr>
          <w:rFonts w:cs="Arial"/>
          <w:b/>
          <w:color w:val="000000"/>
          <w:sz w:val="24"/>
          <w:szCs w:val="24"/>
        </w:rPr>
        <w:t>REPLY</w:t>
      </w:r>
    </w:p>
    <w:p w:rsidR="005B0E32" w:rsidRPr="00B70DAB" w:rsidRDefault="00B70DAB" w:rsidP="00B70DAB">
      <w:pPr>
        <w:spacing w:line="360" w:lineRule="auto"/>
        <w:rPr>
          <w:rFonts w:cs="Arial"/>
          <w:b/>
          <w:color w:val="000000"/>
          <w:sz w:val="24"/>
          <w:szCs w:val="24"/>
        </w:rPr>
      </w:pPr>
      <w:r w:rsidRPr="00B70DAB">
        <w:rPr>
          <w:rFonts w:cs="Arial"/>
          <w:b/>
          <w:color w:val="000000"/>
          <w:sz w:val="24"/>
          <w:szCs w:val="24"/>
        </w:rPr>
        <w:t xml:space="preserve">PARLIAMENTARY </w:t>
      </w:r>
      <w:r w:rsidR="00BF1D9B" w:rsidRPr="00B70DAB">
        <w:rPr>
          <w:rFonts w:cs="Arial"/>
          <w:b/>
          <w:color w:val="000000"/>
          <w:sz w:val="24"/>
          <w:szCs w:val="24"/>
        </w:rPr>
        <w:t xml:space="preserve">QUESTION </w:t>
      </w:r>
      <w:r w:rsidRPr="00B70DAB">
        <w:rPr>
          <w:rFonts w:cs="Arial"/>
          <w:b/>
          <w:color w:val="000000"/>
          <w:sz w:val="24"/>
          <w:szCs w:val="24"/>
        </w:rPr>
        <w:t xml:space="preserve">NO: </w:t>
      </w:r>
      <w:r w:rsidR="00BF1D9B" w:rsidRPr="00B70DAB">
        <w:rPr>
          <w:rFonts w:cs="Arial"/>
          <w:b/>
          <w:color w:val="000000"/>
          <w:sz w:val="24"/>
          <w:szCs w:val="24"/>
        </w:rPr>
        <w:t>2129</w:t>
      </w:r>
    </w:p>
    <w:p w:rsidR="00B70DAB" w:rsidRPr="00B70DAB" w:rsidRDefault="00B70DAB" w:rsidP="00B70DAB">
      <w:pPr>
        <w:spacing w:line="360" w:lineRule="auto"/>
        <w:rPr>
          <w:rFonts w:cs="Arial"/>
          <w:b/>
          <w:color w:val="000000"/>
          <w:sz w:val="24"/>
          <w:szCs w:val="24"/>
        </w:rPr>
      </w:pPr>
      <w:r w:rsidRPr="00B70DAB">
        <w:rPr>
          <w:rFonts w:cs="Arial"/>
          <w:b/>
          <w:color w:val="000000"/>
          <w:sz w:val="24"/>
          <w:szCs w:val="24"/>
        </w:rPr>
        <w:t>DATE OF QUESTION: 03 SEPTEMBER 2021</w:t>
      </w:r>
    </w:p>
    <w:p w:rsidR="00B70DAB" w:rsidRPr="00B70DAB" w:rsidRDefault="00B70DAB" w:rsidP="00B70DAB">
      <w:pPr>
        <w:spacing w:line="360" w:lineRule="auto"/>
        <w:rPr>
          <w:rFonts w:cs="Arial"/>
          <w:b/>
          <w:color w:val="000000"/>
          <w:sz w:val="24"/>
          <w:szCs w:val="24"/>
        </w:rPr>
      </w:pPr>
      <w:r w:rsidRPr="00B70DAB">
        <w:rPr>
          <w:rFonts w:cs="Arial"/>
          <w:b/>
          <w:color w:val="000000"/>
          <w:sz w:val="24"/>
          <w:szCs w:val="24"/>
        </w:rPr>
        <w:t>DATE OF SUBMISSION: 17 SEPTEMBER 2021</w:t>
      </w:r>
    </w:p>
    <w:p w:rsidR="005B0E32" w:rsidRPr="008E74FB" w:rsidRDefault="005B0E32" w:rsidP="001E591A">
      <w:pPr>
        <w:rPr>
          <w:rFonts w:cs="Arial"/>
          <w:b/>
          <w:color w:val="000000"/>
          <w:sz w:val="24"/>
          <w:szCs w:val="24"/>
        </w:rPr>
      </w:pPr>
    </w:p>
    <w:p w:rsidR="00BF1D9B" w:rsidRDefault="00BF1D9B" w:rsidP="001E591A">
      <w:pPr>
        <w:jc w:val="both"/>
        <w:outlineLvl w:val="0"/>
        <w:rPr>
          <w:rFonts w:eastAsia="Calibri" w:cs="Arial"/>
          <w:b/>
          <w:color w:val="000000"/>
          <w:sz w:val="24"/>
          <w:szCs w:val="24"/>
          <w:lang w:val="en-GB"/>
        </w:rPr>
      </w:pPr>
      <w:r w:rsidRPr="008E74FB">
        <w:rPr>
          <w:rFonts w:eastAsia="Calibri" w:cs="Arial"/>
          <w:b/>
          <w:color w:val="000000"/>
          <w:sz w:val="24"/>
          <w:szCs w:val="24"/>
          <w:lang w:val="en-GB"/>
        </w:rPr>
        <w:t>Dr L A Schreiber (DA) to ask the Minister of Justice and Correctional Services</w:t>
      </w:r>
      <w:r w:rsidRPr="008E74FB">
        <w:rPr>
          <w:rFonts w:eastAsia="Calibri" w:cs="Arial"/>
          <w:b/>
          <w:color w:val="000000"/>
          <w:sz w:val="24"/>
          <w:szCs w:val="24"/>
          <w:lang w:val="en-GB"/>
        </w:rPr>
        <w:fldChar w:fldCharType="begin"/>
      </w:r>
      <w:r w:rsidRPr="008E74FB">
        <w:rPr>
          <w:rFonts w:eastAsia="Calibri" w:cs="Arial"/>
          <w:color w:val="000000"/>
        </w:rPr>
        <w:instrText xml:space="preserve"> XE "</w:instrText>
      </w:r>
      <w:r w:rsidRPr="008E74FB">
        <w:rPr>
          <w:rFonts w:eastAsia="Calibri" w:cs="Arial"/>
          <w:b/>
          <w:color w:val="000000"/>
          <w:sz w:val="24"/>
          <w:szCs w:val="24"/>
          <w:lang w:val="en-GB"/>
        </w:rPr>
        <w:instrText>Justice and Correctional Services</w:instrText>
      </w:r>
      <w:r w:rsidRPr="008E74FB">
        <w:rPr>
          <w:rFonts w:eastAsia="Calibri" w:cs="Arial"/>
          <w:color w:val="000000"/>
        </w:rPr>
        <w:instrText xml:space="preserve">" </w:instrText>
      </w:r>
      <w:r w:rsidRPr="008E74FB">
        <w:rPr>
          <w:rFonts w:eastAsia="Calibri" w:cs="Arial"/>
          <w:b/>
          <w:color w:val="000000"/>
          <w:sz w:val="24"/>
          <w:szCs w:val="24"/>
          <w:lang w:val="en-GB"/>
        </w:rPr>
        <w:fldChar w:fldCharType="end"/>
      </w:r>
      <w:r w:rsidRPr="008E74FB">
        <w:rPr>
          <w:rFonts w:eastAsia="Calibri" w:cs="Arial"/>
          <w:b/>
          <w:color w:val="000000"/>
          <w:sz w:val="24"/>
          <w:szCs w:val="24"/>
          <w:lang w:val="en-GB"/>
        </w:rPr>
        <w:t>:</w:t>
      </w:r>
    </w:p>
    <w:p w:rsidR="001E591A" w:rsidRPr="008E74FB" w:rsidRDefault="001E591A" w:rsidP="001E591A">
      <w:pPr>
        <w:jc w:val="both"/>
        <w:outlineLvl w:val="0"/>
        <w:rPr>
          <w:rFonts w:eastAsia="Calibri" w:cs="Arial"/>
          <w:b/>
          <w:color w:val="000000"/>
          <w:sz w:val="24"/>
          <w:szCs w:val="24"/>
          <w:lang w:val="en-GB"/>
        </w:rPr>
      </w:pPr>
    </w:p>
    <w:p w:rsidR="001E591A" w:rsidRDefault="001E591A" w:rsidP="001E591A">
      <w:pPr>
        <w:numPr>
          <w:ilvl w:val="0"/>
          <w:numId w:val="9"/>
        </w:numPr>
        <w:ind w:left="709" w:hanging="709"/>
        <w:jc w:val="both"/>
        <w:outlineLvl w:val="0"/>
        <w:rPr>
          <w:rFonts w:eastAsia="Calibri" w:cs="Arial"/>
          <w:sz w:val="24"/>
          <w:szCs w:val="24"/>
          <w:lang w:val="en-GB"/>
        </w:rPr>
      </w:pPr>
      <w:r w:rsidRPr="00BF1D9B">
        <w:rPr>
          <w:rFonts w:eastAsia="Calibri" w:cs="Arial"/>
          <w:sz w:val="24"/>
          <w:szCs w:val="24"/>
          <w:lang w:val="en-GB"/>
        </w:rPr>
        <w:t>Whether, with reference to the decision his department took in terms of paragraph 4.7 of Resolution 1/2016 of the Departmental Bargaini</w:t>
      </w:r>
      <w:r>
        <w:rPr>
          <w:rFonts w:eastAsia="Calibri" w:cs="Arial"/>
          <w:sz w:val="24"/>
          <w:szCs w:val="24"/>
          <w:lang w:val="en-GB"/>
        </w:rPr>
        <w:t>ng Chamber,</w:t>
      </w:r>
      <w:r w:rsidRPr="00BF1D9B">
        <w:rPr>
          <w:rFonts w:eastAsia="Calibri" w:cs="Arial"/>
          <w:sz w:val="24"/>
          <w:szCs w:val="24"/>
          <w:lang w:val="en-GB"/>
        </w:rPr>
        <w:t xml:space="preserve"> </w:t>
      </w:r>
      <w:r w:rsidRPr="00E93B9D">
        <w:rPr>
          <w:rFonts w:eastAsia="Calibri" w:cs="Arial"/>
          <w:sz w:val="24"/>
          <w:szCs w:val="24"/>
        </w:rPr>
        <w:t>Dr LA Schreiber</w:t>
      </w:r>
      <w:r w:rsidRPr="00BF1D9B">
        <w:rPr>
          <w:rFonts w:eastAsia="Calibri" w:cs="Arial"/>
          <w:sz w:val="24"/>
          <w:szCs w:val="24"/>
          <w:lang w:val="en-GB"/>
        </w:rPr>
        <w:t xml:space="preserve"> has been informed that in some cases, former officials have not yet received their payments, while in other cases the calculations used for the pay-outs of former officials were incorrect; if not, what is the position in this regard; if so, (a) what is the reason that (i) some former officials were not paid and (ii) other officials were paid incorrect amounts and (b) on what date will the outstanding payments to former officials be made;</w:t>
      </w:r>
    </w:p>
    <w:p w:rsidR="001E591A" w:rsidRPr="00BF1D9B" w:rsidRDefault="001E591A" w:rsidP="001E591A">
      <w:pPr>
        <w:ind w:left="930" w:hanging="221"/>
        <w:jc w:val="both"/>
        <w:outlineLvl w:val="0"/>
        <w:rPr>
          <w:rFonts w:eastAsia="Calibri" w:cs="Arial"/>
          <w:sz w:val="24"/>
          <w:szCs w:val="24"/>
          <w:lang w:val="en-GB"/>
        </w:rPr>
      </w:pPr>
    </w:p>
    <w:p w:rsidR="001E591A" w:rsidRPr="00BF1D9B" w:rsidRDefault="001E591A" w:rsidP="001E591A">
      <w:pPr>
        <w:ind w:left="709" w:hanging="709"/>
        <w:jc w:val="both"/>
        <w:outlineLvl w:val="0"/>
        <w:rPr>
          <w:rFonts w:eastAsia="Calibri" w:cs="Arial"/>
          <w:sz w:val="24"/>
          <w:szCs w:val="24"/>
          <w:lang w:val="en-GB"/>
        </w:rPr>
      </w:pPr>
      <w:r w:rsidRPr="00BF1D9B">
        <w:rPr>
          <w:rFonts w:eastAsia="Calibri" w:cs="Arial"/>
          <w:sz w:val="24"/>
          <w:szCs w:val="24"/>
          <w:lang w:val="en-GB"/>
        </w:rPr>
        <w:t>(2)</w:t>
      </w:r>
      <w:r w:rsidRPr="00BF1D9B">
        <w:rPr>
          <w:rFonts w:eastAsia="Calibri" w:cs="Arial"/>
          <w:sz w:val="24"/>
          <w:szCs w:val="24"/>
          <w:lang w:val="en-GB"/>
        </w:rPr>
        <w:tab/>
        <w:t>whether his department will pay interest to former officials who did not receive their payments by the deadline of March 2020, which was before the outbreak of the COVID-19 pandemic; if not, why not; if so, what are the relevant details;</w:t>
      </w:r>
    </w:p>
    <w:p w:rsidR="001E591A" w:rsidRDefault="001E591A" w:rsidP="001E591A">
      <w:pPr>
        <w:ind w:left="1440" w:hanging="720"/>
        <w:jc w:val="both"/>
        <w:outlineLvl w:val="0"/>
        <w:rPr>
          <w:rFonts w:eastAsia="Calibri" w:cs="Arial"/>
          <w:sz w:val="24"/>
          <w:szCs w:val="24"/>
          <w:lang w:val="en-GB"/>
        </w:rPr>
      </w:pPr>
    </w:p>
    <w:p w:rsidR="001E591A" w:rsidRPr="00BF1D9B" w:rsidRDefault="001E591A" w:rsidP="001E591A">
      <w:pPr>
        <w:ind w:left="709" w:hanging="709"/>
        <w:jc w:val="both"/>
        <w:outlineLvl w:val="0"/>
        <w:rPr>
          <w:rFonts w:eastAsia="Calibri" w:cs="Arial"/>
          <w:b/>
          <w:sz w:val="24"/>
          <w:szCs w:val="24"/>
          <w:lang w:val="en-GB"/>
        </w:rPr>
      </w:pPr>
      <w:r w:rsidRPr="00BF1D9B">
        <w:rPr>
          <w:rFonts w:eastAsia="Calibri" w:cs="Arial"/>
          <w:sz w:val="24"/>
          <w:szCs w:val="24"/>
          <w:lang w:val="en-GB"/>
        </w:rPr>
        <w:t>(3)</w:t>
      </w:r>
      <w:r w:rsidRPr="00BF1D9B">
        <w:rPr>
          <w:rFonts w:eastAsia="Calibri" w:cs="Arial"/>
          <w:sz w:val="24"/>
          <w:szCs w:val="24"/>
          <w:lang w:val="en-GB"/>
        </w:rPr>
        <w:tab/>
        <w:t>whether his department has different regulations and/or policy positions for serving officials who have already received their payments and for former officials who have not received their payments yet; if not, what is the position in this regard; if so, what are the relevant details?</w:t>
      </w:r>
      <w:r w:rsidRPr="00BF1D9B">
        <w:rPr>
          <w:rFonts w:eastAsia="Calibri" w:cs="Arial"/>
          <w:sz w:val="24"/>
          <w:szCs w:val="24"/>
          <w:lang w:val="en-GB"/>
        </w:rPr>
        <w:tab/>
      </w:r>
      <w:r w:rsidRPr="00BF1D9B">
        <w:rPr>
          <w:rFonts w:eastAsia="Calibri" w:cs="Arial"/>
          <w:sz w:val="24"/>
          <w:szCs w:val="24"/>
          <w:lang w:val="en-GB"/>
        </w:rPr>
        <w:tab/>
      </w:r>
      <w:r w:rsidRPr="00BF1D9B">
        <w:rPr>
          <w:rFonts w:eastAsia="Calibri" w:cs="Arial"/>
          <w:sz w:val="24"/>
          <w:szCs w:val="24"/>
          <w:lang w:val="en-GB"/>
        </w:rPr>
        <w:tab/>
      </w:r>
      <w:r>
        <w:rPr>
          <w:rFonts w:eastAsia="Calibri" w:cs="Arial"/>
          <w:sz w:val="24"/>
          <w:szCs w:val="24"/>
          <w:lang w:val="en-GB"/>
        </w:rPr>
        <w:tab/>
      </w:r>
      <w:r w:rsidRPr="00BF1D9B">
        <w:rPr>
          <w:rFonts w:eastAsia="Calibri" w:cs="Arial"/>
          <w:b/>
          <w:sz w:val="20"/>
          <w:szCs w:val="20"/>
          <w:lang w:val="en-GB"/>
        </w:rPr>
        <w:t>NW2416E</w:t>
      </w:r>
    </w:p>
    <w:p w:rsidR="00F070C6" w:rsidRDefault="00F070C6" w:rsidP="001E591A">
      <w:pPr>
        <w:jc w:val="both"/>
        <w:outlineLvl w:val="0"/>
        <w:rPr>
          <w:rFonts w:eastAsia="Calibri" w:cs="Arial"/>
          <w:color w:val="000000"/>
          <w:sz w:val="24"/>
          <w:szCs w:val="24"/>
          <w:lang w:val="en-GB"/>
        </w:rPr>
      </w:pPr>
    </w:p>
    <w:p w:rsidR="001E591A" w:rsidRDefault="001E591A" w:rsidP="001E591A">
      <w:pPr>
        <w:jc w:val="both"/>
        <w:outlineLvl w:val="0"/>
        <w:rPr>
          <w:rFonts w:eastAsia="Calibri" w:cs="Arial"/>
          <w:b/>
          <w:color w:val="000000"/>
          <w:sz w:val="24"/>
          <w:szCs w:val="24"/>
          <w:lang w:val="en-GB"/>
        </w:rPr>
      </w:pPr>
      <w:r w:rsidRPr="001E591A">
        <w:rPr>
          <w:rFonts w:eastAsia="Calibri" w:cs="Arial"/>
          <w:b/>
          <w:color w:val="000000"/>
          <w:sz w:val="24"/>
          <w:szCs w:val="24"/>
          <w:lang w:val="en-GB"/>
        </w:rPr>
        <w:t>REPLY:</w:t>
      </w:r>
    </w:p>
    <w:p w:rsidR="004913BB" w:rsidRDefault="004913BB" w:rsidP="001E591A">
      <w:pPr>
        <w:jc w:val="both"/>
        <w:outlineLvl w:val="0"/>
        <w:rPr>
          <w:rFonts w:eastAsia="Calibri" w:cs="Arial"/>
          <w:b/>
          <w:color w:val="000000"/>
          <w:sz w:val="24"/>
          <w:szCs w:val="24"/>
          <w:lang w:val="en-GB"/>
        </w:rPr>
      </w:pPr>
    </w:p>
    <w:p w:rsidR="00F070C6" w:rsidRDefault="00F070C6" w:rsidP="00147D5E">
      <w:pPr>
        <w:numPr>
          <w:ilvl w:val="0"/>
          <w:numId w:val="11"/>
        </w:numPr>
        <w:ind w:hanging="720"/>
        <w:jc w:val="both"/>
        <w:outlineLvl w:val="0"/>
        <w:rPr>
          <w:rFonts w:eastAsia="Calibri" w:cs="Arial"/>
          <w:sz w:val="24"/>
          <w:szCs w:val="24"/>
        </w:rPr>
      </w:pPr>
      <w:r>
        <w:rPr>
          <w:rFonts w:eastAsia="Calibri" w:cs="Arial"/>
          <w:color w:val="000000"/>
          <w:sz w:val="24"/>
          <w:szCs w:val="24"/>
          <w:lang w:val="en-GB"/>
        </w:rPr>
        <w:t>I</w:t>
      </w:r>
      <w:r w:rsidR="00147D5E">
        <w:rPr>
          <w:rFonts w:eastAsia="Calibri" w:cs="Arial"/>
          <w:color w:val="000000"/>
          <w:sz w:val="24"/>
          <w:szCs w:val="24"/>
          <w:lang w:val="en-GB"/>
        </w:rPr>
        <w:t xml:space="preserve">t should be noted that </w:t>
      </w:r>
      <w:r w:rsidR="004913BB">
        <w:rPr>
          <w:rFonts w:eastAsia="Calibri" w:cs="Arial"/>
          <w:sz w:val="24"/>
          <w:szCs w:val="24"/>
        </w:rPr>
        <w:t>not all former officials have received their payment</w:t>
      </w:r>
      <w:r w:rsidR="00147D5E">
        <w:rPr>
          <w:rFonts w:eastAsia="Calibri" w:cs="Arial"/>
          <w:sz w:val="24"/>
          <w:szCs w:val="24"/>
        </w:rPr>
        <w:t xml:space="preserve">.  This is </w:t>
      </w:r>
      <w:r w:rsidR="004913BB">
        <w:rPr>
          <w:rFonts w:eastAsia="Calibri" w:cs="Arial"/>
          <w:sz w:val="24"/>
          <w:szCs w:val="24"/>
        </w:rPr>
        <w:t xml:space="preserve">due </w:t>
      </w:r>
      <w:r w:rsidR="00147D5E">
        <w:rPr>
          <w:rFonts w:eastAsia="Calibri" w:cs="Arial"/>
          <w:sz w:val="24"/>
          <w:szCs w:val="24"/>
        </w:rPr>
        <w:t xml:space="preserve">to the system utilised to process </w:t>
      </w:r>
      <w:r w:rsidR="004913BB">
        <w:rPr>
          <w:rFonts w:eastAsia="Calibri" w:cs="Arial"/>
          <w:sz w:val="24"/>
          <w:szCs w:val="24"/>
        </w:rPr>
        <w:t xml:space="preserve">calculations </w:t>
      </w:r>
      <w:r w:rsidR="00147D5E">
        <w:rPr>
          <w:rFonts w:eastAsia="Calibri" w:cs="Arial"/>
          <w:sz w:val="24"/>
          <w:szCs w:val="24"/>
        </w:rPr>
        <w:t>providing</w:t>
      </w:r>
      <w:r w:rsidR="004913BB">
        <w:rPr>
          <w:rFonts w:eastAsia="Calibri" w:cs="Arial"/>
          <w:sz w:val="24"/>
          <w:szCs w:val="24"/>
        </w:rPr>
        <w:t xml:space="preserve"> incorrect </w:t>
      </w:r>
      <w:r w:rsidR="00147D5E">
        <w:rPr>
          <w:rFonts w:eastAsia="Calibri" w:cs="Arial"/>
          <w:sz w:val="24"/>
          <w:szCs w:val="24"/>
        </w:rPr>
        <w:t>outcomes.</w:t>
      </w:r>
    </w:p>
    <w:p w:rsidR="00F070C6" w:rsidRDefault="00F070C6" w:rsidP="00147D5E">
      <w:pPr>
        <w:ind w:left="720"/>
        <w:jc w:val="both"/>
        <w:outlineLvl w:val="0"/>
        <w:rPr>
          <w:rFonts w:eastAsia="Calibri" w:cs="Arial"/>
          <w:sz w:val="24"/>
          <w:szCs w:val="24"/>
        </w:rPr>
      </w:pPr>
    </w:p>
    <w:p w:rsidR="00F070C6" w:rsidRDefault="00F070C6" w:rsidP="00147D5E">
      <w:pPr>
        <w:ind w:left="1440" w:hanging="1440"/>
        <w:jc w:val="both"/>
        <w:outlineLvl w:val="0"/>
        <w:rPr>
          <w:rFonts w:eastAsia="Calibri" w:cs="Arial"/>
          <w:sz w:val="24"/>
          <w:szCs w:val="24"/>
        </w:rPr>
      </w:pPr>
      <w:r>
        <w:rPr>
          <w:rFonts w:eastAsia="Calibri" w:cs="Arial"/>
          <w:sz w:val="24"/>
          <w:szCs w:val="24"/>
        </w:rPr>
        <w:t>(1)(</w:t>
      </w:r>
      <w:r w:rsidR="004913BB">
        <w:rPr>
          <w:rFonts w:eastAsia="Calibri" w:cs="Arial"/>
          <w:sz w:val="24"/>
          <w:szCs w:val="24"/>
        </w:rPr>
        <w:t>a)</w:t>
      </w:r>
      <w:r>
        <w:rPr>
          <w:rFonts w:eastAsia="Calibri" w:cs="Arial"/>
          <w:sz w:val="24"/>
          <w:szCs w:val="24"/>
        </w:rPr>
        <w:t>(i)</w:t>
      </w:r>
      <w:r>
        <w:rPr>
          <w:rFonts w:eastAsia="Calibri" w:cs="Arial"/>
          <w:sz w:val="24"/>
          <w:szCs w:val="24"/>
        </w:rPr>
        <w:tab/>
      </w:r>
      <w:r w:rsidR="00147D5E">
        <w:rPr>
          <w:rFonts w:eastAsia="Calibri" w:cs="Arial"/>
          <w:sz w:val="24"/>
          <w:szCs w:val="24"/>
        </w:rPr>
        <w:t>S</w:t>
      </w:r>
      <w:r w:rsidR="00D63253">
        <w:rPr>
          <w:rFonts w:eastAsia="Calibri" w:cs="Arial"/>
          <w:sz w:val="24"/>
          <w:szCs w:val="24"/>
        </w:rPr>
        <w:t>ome former</w:t>
      </w:r>
      <w:r>
        <w:rPr>
          <w:rFonts w:eastAsia="Calibri" w:cs="Arial"/>
          <w:sz w:val="24"/>
          <w:szCs w:val="24"/>
        </w:rPr>
        <w:t xml:space="preserve"> </w:t>
      </w:r>
      <w:r w:rsidR="00D63253">
        <w:rPr>
          <w:rFonts w:eastAsia="Calibri" w:cs="Arial"/>
          <w:sz w:val="24"/>
          <w:szCs w:val="24"/>
        </w:rPr>
        <w:t xml:space="preserve">officials </w:t>
      </w:r>
      <w:r w:rsidR="00147D5E">
        <w:rPr>
          <w:rFonts w:eastAsia="Calibri" w:cs="Arial"/>
          <w:sz w:val="24"/>
          <w:szCs w:val="24"/>
        </w:rPr>
        <w:t>have</w:t>
      </w:r>
      <w:r w:rsidR="00D63253">
        <w:rPr>
          <w:rFonts w:eastAsia="Calibri" w:cs="Arial"/>
          <w:sz w:val="24"/>
          <w:szCs w:val="24"/>
        </w:rPr>
        <w:t xml:space="preserve"> not</w:t>
      </w:r>
      <w:r w:rsidR="00147D5E">
        <w:rPr>
          <w:rFonts w:eastAsia="Calibri" w:cs="Arial"/>
          <w:sz w:val="24"/>
          <w:szCs w:val="24"/>
        </w:rPr>
        <w:t xml:space="preserve"> been</w:t>
      </w:r>
      <w:r w:rsidR="00D63253">
        <w:rPr>
          <w:rFonts w:eastAsia="Calibri" w:cs="Arial"/>
          <w:sz w:val="24"/>
          <w:szCs w:val="24"/>
        </w:rPr>
        <w:t xml:space="preserve"> paid due to the department </w:t>
      </w:r>
      <w:r w:rsidR="003C3EDC">
        <w:rPr>
          <w:rFonts w:eastAsia="Calibri" w:cs="Arial"/>
          <w:sz w:val="24"/>
          <w:szCs w:val="24"/>
        </w:rPr>
        <w:t>having</w:t>
      </w:r>
      <w:r w:rsidR="00D63253">
        <w:rPr>
          <w:rFonts w:eastAsia="Calibri" w:cs="Arial"/>
          <w:sz w:val="24"/>
          <w:szCs w:val="24"/>
        </w:rPr>
        <w:t xml:space="preserve"> to suspend the</w:t>
      </w:r>
      <w:r>
        <w:rPr>
          <w:rFonts w:eastAsia="Calibri" w:cs="Arial"/>
          <w:sz w:val="24"/>
          <w:szCs w:val="24"/>
        </w:rPr>
        <w:t xml:space="preserve"> </w:t>
      </w:r>
      <w:r w:rsidR="00D63253">
        <w:rPr>
          <w:rFonts w:eastAsia="Calibri" w:cs="Arial"/>
          <w:sz w:val="24"/>
          <w:szCs w:val="24"/>
        </w:rPr>
        <w:t>process and subject all payment</w:t>
      </w:r>
      <w:r w:rsidR="003C3EDC">
        <w:rPr>
          <w:rFonts w:eastAsia="Calibri" w:cs="Arial"/>
          <w:sz w:val="24"/>
          <w:szCs w:val="24"/>
        </w:rPr>
        <w:t>s</w:t>
      </w:r>
      <w:r w:rsidR="00D63253">
        <w:rPr>
          <w:rFonts w:eastAsia="Calibri" w:cs="Arial"/>
          <w:sz w:val="24"/>
          <w:szCs w:val="24"/>
        </w:rPr>
        <w:t xml:space="preserve"> to an audit </w:t>
      </w:r>
      <w:r>
        <w:rPr>
          <w:rFonts w:eastAsia="Calibri" w:cs="Arial"/>
          <w:sz w:val="24"/>
          <w:szCs w:val="24"/>
        </w:rPr>
        <w:t xml:space="preserve">due </w:t>
      </w:r>
      <w:r w:rsidR="003C3EDC">
        <w:rPr>
          <w:rFonts w:eastAsia="Calibri" w:cs="Arial"/>
          <w:sz w:val="24"/>
          <w:szCs w:val="24"/>
        </w:rPr>
        <w:t xml:space="preserve">to </w:t>
      </w:r>
      <w:r>
        <w:rPr>
          <w:rFonts w:eastAsia="Calibri" w:cs="Arial"/>
          <w:sz w:val="24"/>
          <w:szCs w:val="24"/>
        </w:rPr>
        <w:t xml:space="preserve">discrepancies </w:t>
      </w:r>
      <w:r w:rsidR="003C3EDC">
        <w:rPr>
          <w:rFonts w:eastAsia="Calibri" w:cs="Arial"/>
          <w:sz w:val="24"/>
          <w:szCs w:val="24"/>
        </w:rPr>
        <w:t xml:space="preserve">in </w:t>
      </w:r>
      <w:r>
        <w:rPr>
          <w:rFonts w:eastAsia="Calibri" w:cs="Arial"/>
          <w:sz w:val="24"/>
          <w:szCs w:val="24"/>
        </w:rPr>
        <w:t>percentage</w:t>
      </w:r>
      <w:r w:rsidR="003C3EDC">
        <w:rPr>
          <w:rFonts w:eastAsia="Calibri" w:cs="Arial"/>
          <w:sz w:val="24"/>
          <w:szCs w:val="24"/>
        </w:rPr>
        <w:t>s</w:t>
      </w:r>
      <w:r>
        <w:rPr>
          <w:rFonts w:eastAsia="Calibri" w:cs="Arial"/>
          <w:sz w:val="24"/>
          <w:szCs w:val="24"/>
        </w:rPr>
        <w:t xml:space="preserve"> used to </w:t>
      </w:r>
      <w:r w:rsidR="003C3EDC">
        <w:rPr>
          <w:rFonts w:eastAsia="Calibri" w:cs="Arial"/>
          <w:sz w:val="24"/>
          <w:szCs w:val="24"/>
        </w:rPr>
        <w:t>calculate</w:t>
      </w:r>
      <w:r>
        <w:rPr>
          <w:rFonts w:eastAsia="Calibri" w:cs="Arial"/>
          <w:sz w:val="24"/>
          <w:szCs w:val="24"/>
        </w:rPr>
        <w:t xml:space="preserve"> payments.</w:t>
      </w:r>
    </w:p>
    <w:p w:rsidR="00F070C6" w:rsidRDefault="00F070C6" w:rsidP="00147D5E">
      <w:pPr>
        <w:jc w:val="both"/>
        <w:outlineLvl w:val="0"/>
        <w:rPr>
          <w:rFonts w:eastAsia="Calibri" w:cs="Arial"/>
          <w:sz w:val="24"/>
          <w:szCs w:val="24"/>
        </w:rPr>
      </w:pPr>
    </w:p>
    <w:p w:rsidR="00F070C6" w:rsidRDefault="00F070C6" w:rsidP="00147D5E">
      <w:pPr>
        <w:ind w:left="1440" w:hanging="1440"/>
        <w:jc w:val="both"/>
        <w:outlineLvl w:val="0"/>
        <w:rPr>
          <w:rFonts w:eastAsia="Calibri" w:cs="Arial"/>
          <w:sz w:val="24"/>
          <w:szCs w:val="24"/>
        </w:rPr>
      </w:pPr>
      <w:r>
        <w:rPr>
          <w:rFonts w:eastAsia="Calibri" w:cs="Arial"/>
          <w:sz w:val="24"/>
          <w:szCs w:val="24"/>
        </w:rPr>
        <w:t>(1)(a)</w:t>
      </w:r>
      <w:r w:rsidR="00D63253">
        <w:rPr>
          <w:rFonts w:eastAsia="Calibri" w:cs="Arial"/>
          <w:sz w:val="24"/>
          <w:szCs w:val="24"/>
        </w:rPr>
        <w:t>(ii)</w:t>
      </w:r>
      <w:r>
        <w:rPr>
          <w:rFonts w:eastAsia="Calibri" w:cs="Arial"/>
          <w:sz w:val="24"/>
          <w:szCs w:val="24"/>
        </w:rPr>
        <w:tab/>
      </w:r>
      <w:r w:rsidR="003C3EDC">
        <w:rPr>
          <w:rFonts w:eastAsia="Calibri" w:cs="Arial"/>
          <w:sz w:val="24"/>
          <w:szCs w:val="24"/>
        </w:rPr>
        <w:t>Rectification</w:t>
      </w:r>
      <w:r w:rsidR="00147D5E">
        <w:rPr>
          <w:rFonts w:eastAsia="Calibri" w:cs="Arial"/>
          <w:sz w:val="24"/>
          <w:szCs w:val="24"/>
        </w:rPr>
        <w:t xml:space="preserve"> </w:t>
      </w:r>
      <w:r>
        <w:rPr>
          <w:rFonts w:eastAsia="Calibri" w:cs="Arial"/>
          <w:sz w:val="24"/>
          <w:szCs w:val="24"/>
        </w:rPr>
        <w:t xml:space="preserve">is underway with regard to </w:t>
      </w:r>
      <w:r w:rsidR="00D63253">
        <w:rPr>
          <w:rFonts w:eastAsia="Calibri" w:cs="Arial"/>
          <w:sz w:val="24"/>
          <w:szCs w:val="24"/>
        </w:rPr>
        <w:t xml:space="preserve">all officials that were paid </w:t>
      </w:r>
      <w:r w:rsidR="003C3EDC">
        <w:rPr>
          <w:rFonts w:eastAsia="Calibri" w:cs="Arial"/>
          <w:sz w:val="24"/>
          <w:szCs w:val="24"/>
        </w:rPr>
        <w:t>incorrect</w:t>
      </w:r>
      <w:r>
        <w:rPr>
          <w:rFonts w:eastAsia="Calibri" w:cs="Arial"/>
          <w:sz w:val="24"/>
          <w:szCs w:val="24"/>
        </w:rPr>
        <w:t xml:space="preserve"> </w:t>
      </w:r>
      <w:r w:rsidR="00D63253">
        <w:rPr>
          <w:rFonts w:eastAsia="Calibri" w:cs="Arial"/>
          <w:sz w:val="24"/>
          <w:szCs w:val="24"/>
        </w:rPr>
        <w:t>amounts</w:t>
      </w:r>
      <w:r>
        <w:rPr>
          <w:rFonts w:eastAsia="Calibri" w:cs="Arial"/>
          <w:sz w:val="24"/>
          <w:szCs w:val="24"/>
        </w:rPr>
        <w:t>.</w:t>
      </w:r>
      <w:r w:rsidR="00147D5E">
        <w:rPr>
          <w:rFonts w:eastAsia="Calibri" w:cs="Arial"/>
          <w:sz w:val="24"/>
          <w:szCs w:val="24"/>
        </w:rPr>
        <w:t xml:space="preserve"> </w:t>
      </w:r>
    </w:p>
    <w:p w:rsidR="00F070C6" w:rsidRDefault="00F070C6" w:rsidP="00147D5E">
      <w:pPr>
        <w:outlineLvl w:val="0"/>
        <w:rPr>
          <w:rFonts w:eastAsia="Calibri" w:cs="Arial"/>
          <w:sz w:val="24"/>
          <w:szCs w:val="24"/>
        </w:rPr>
      </w:pPr>
    </w:p>
    <w:p w:rsidR="00D63253" w:rsidRPr="00147D5E" w:rsidRDefault="00F070C6" w:rsidP="00147D5E">
      <w:pPr>
        <w:ind w:left="1350" w:hanging="1350"/>
        <w:jc w:val="both"/>
        <w:outlineLvl w:val="0"/>
        <w:rPr>
          <w:rFonts w:eastAsia="Calibri" w:cs="Arial"/>
          <w:sz w:val="24"/>
          <w:szCs w:val="24"/>
        </w:rPr>
      </w:pPr>
      <w:r>
        <w:rPr>
          <w:rFonts w:eastAsia="Calibri" w:cs="Arial"/>
          <w:sz w:val="24"/>
          <w:szCs w:val="24"/>
        </w:rPr>
        <w:lastRenderedPageBreak/>
        <w:t>(1)</w:t>
      </w:r>
      <w:r w:rsidR="00D63253">
        <w:rPr>
          <w:rFonts w:eastAsia="Calibri" w:cs="Arial"/>
          <w:sz w:val="24"/>
          <w:szCs w:val="24"/>
        </w:rPr>
        <w:t>(b)</w:t>
      </w:r>
      <w:r>
        <w:rPr>
          <w:rFonts w:eastAsia="Calibri" w:cs="Arial"/>
          <w:sz w:val="24"/>
          <w:szCs w:val="24"/>
        </w:rPr>
        <w:tab/>
      </w:r>
      <w:r w:rsidR="002240D0">
        <w:rPr>
          <w:rFonts w:eastAsia="Calibri" w:cs="Arial"/>
          <w:sz w:val="24"/>
          <w:szCs w:val="24"/>
        </w:rPr>
        <w:t xml:space="preserve">The </w:t>
      </w:r>
      <w:r w:rsidR="00D63253">
        <w:rPr>
          <w:rFonts w:eastAsia="Calibri" w:cs="Arial"/>
          <w:sz w:val="24"/>
          <w:szCs w:val="24"/>
        </w:rPr>
        <w:t xml:space="preserve">Department </w:t>
      </w:r>
      <w:r w:rsidR="002240D0">
        <w:rPr>
          <w:rFonts w:eastAsia="Calibri" w:cs="Arial"/>
          <w:sz w:val="24"/>
          <w:szCs w:val="24"/>
        </w:rPr>
        <w:t>anticipates</w:t>
      </w:r>
      <w:r>
        <w:rPr>
          <w:rFonts w:eastAsia="Calibri" w:cs="Arial"/>
          <w:sz w:val="24"/>
          <w:szCs w:val="24"/>
        </w:rPr>
        <w:t xml:space="preserve"> </w:t>
      </w:r>
      <w:r w:rsidR="002240D0">
        <w:rPr>
          <w:rFonts w:eastAsia="Calibri" w:cs="Arial"/>
          <w:sz w:val="24"/>
          <w:szCs w:val="24"/>
        </w:rPr>
        <w:t>finalising</w:t>
      </w:r>
      <w:r w:rsidR="00D63253">
        <w:rPr>
          <w:rFonts w:eastAsia="Calibri" w:cs="Arial"/>
          <w:sz w:val="24"/>
          <w:szCs w:val="24"/>
        </w:rPr>
        <w:t xml:space="preserve"> </w:t>
      </w:r>
      <w:r w:rsidR="00A55E20">
        <w:rPr>
          <w:rFonts w:eastAsia="Calibri" w:cs="Arial"/>
          <w:sz w:val="24"/>
          <w:szCs w:val="24"/>
        </w:rPr>
        <w:t xml:space="preserve">this process </w:t>
      </w:r>
      <w:r w:rsidR="00147D5E">
        <w:rPr>
          <w:rFonts w:eastAsia="Calibri" w:cs="Arial"/>
          <w:sz w:val="24"/>
          <w:szCs w:val="24"/>
        </w:rPr>
        <w:t>during</w:t>
      </w:r>
      <w:r w:rsidR="00A55E20">
        <w:rPr>
          <w:rFonts w:eastAsia="Calibri" w:cs="Arial"/>
          <w:sz w:val="24"/>
          <w:szCs w:val="24"/>
        </w:rPr>
        <w:t xml:space="preserve"> </w:t>
      </w:r>
      <w:r w:rsidR="002240D0">
        <w:rPr>
          <w:rFonts w:eastAsia="Calibri" w:cs="Arial"/>
          <w:sz w:val="24"/>
          <w:szCs w:val="24"/>
        </w:rPr>
        <w:t xml:space="preserve">the </w:t>
      </w:r>
      <w:r w:rsidR="00A55E20">
        <w:rPr>
          <w:rFonts w:eastAsia="Calibri" w:cs="Arial"/>
          <w:sz w:val="24"/>
          <w:szCs w:val="24"/>
        </w:rPr>
        <w:t>2022</w:t>
      </w:r>
      <w:r w:rsidR="00147D5E">
        <w:rPr>
          <w:rFonts w:eastAsia="Calibri" w:cs="Arial"/>
          <w:sz w:val="24"/>
          <w:szCs w:val="24"/>
        </w:rPr>
        <w:t>/23 financial year</w:t>
      </w:r>
      <w:r w:rsidR="00D63253">
        <w:rPr>
          <w:rFonts w:eastAsia="Calibri" w:cs="Arial"/>
          <w:sz w:val="24"/>
          <w:szCs w:val="24"/>
        </w:rPr>
        <w:t xml:space="preserve"> due to the magnitude </w:t>
      </w:r>
      <w:r w:rsidR="002240D0">
        <w:rPr>
          <w:rFonts w:eastAsia="Calibri" w:cs="Arial"/>
          <w:sz w:val="24"/>
          <w:szCs w:val="24"/>
        </w:rPr>
        <w:t>of transactions to be audited</w:t>
      </w:r>
      <w:r w:rsidR="00147D5E">
        <w:rPr>
          <w:rFonts w:eastAsia="Calibri" w:cs="Arial"/>
          <w:sz w:val="24"/>
          <w:szCs w:val="24"/>
        </w:rPr>
        <w:t>.</w:t>
      </w:r>
      <w:r w:rsidR="00A55E20">
        <w:rPr>
          <w:rFonts w:eastAsia="Calibri" w:cs="Arial"/>
          <w:sz w:val="24"/>
          <w:szCs w:val="24"/>
        </w:rPr>
        <w:t xml:space="preserve"> </w:t>
      </w:r>
      <w:r w:rsidR="002240D0">
        <w:rPr>
          <w:rFonts w:eastAsia="Calibri" w:cs="Arial"/>
          <w:sz w:val="24"/>
          <w:szCs w:val="24"/>
        </w:rPr>
        <w:t>It must be noted that</w:t>
      </w:r>
      <w:r w:rsidR="00147D5E">
        <w:rPr>
          <w:rFonts w:eastAsia="Calibri" w:cs="Arial"/>
          <w:sz w:val="24"/>
          <w:szCs w:val="24"/>
        </w:rPr>
        <w:t xml:space="preserve"> </w:t>
      </w:r>
      <w:r w:rsidR="00A55E20">
        <w:rPr>
          <w:rFonts w:eastAsia="Calibri" w:cs="Arial"/>
          <w:sz w:val="24"/>
          <w:szCs w:val="24"/>
        </w:rPr>
        <w:t xml:space="preserve">out of </w:t>
      </w:r>
      <w:r w:rsidR="00A55E20" w:rsidRPr="00147D5E">
        <w:rPr>
          <w:rFonts w:eastAsia="Calibri" w:cs="Arial"/>
          <w:b/>
          <w:sz w:val="24"/>
          <w:szCs w:val="24"/>
        </w:rPr>
        <w:t>6</w:t>
      </w:r>
      <w:r w:rsidR="00147D5E" w:rsidRPr="00147D5E">
        <w:rPr>
          <w:rFonts w:eastAsia="Calibri" w:cs="Arial"/>
          <w:b/>
          <w:sz w:val="24"/>
          <w:szCs w:val="24"/>
        </w:rPr>
        <w:t xml:space="preserve"> </w:t>
      </w:r>
      <w:r w:rsidR="00A55E20" w:rsidRPr="00147D5E">
        <w:rPr>
          <w:rFonts w:eastAsia="Calibri" w:cs="Arial"/>
          <w:b/>
          <w:sz w:val="24"/>
          <w:szCs w:val="24"/>
        </w:rPr>
        <w:t>306</w:t>
      </w:r>
      <w:r w:rsidR="00A55E20">
        <w:rPr>
          <w:rFonts w:eastAsia="Calibri" w:cs="Arial"/>
          <w:sz w:val="24"/>
          <w:szCs w:val="24"/>
        </w:rPr>
        <w:t xml:space="preserve"> transactions</w:t>
      </w:r>
      <w:r w:rsidR="00147D5E">
        <w:rPr>
          <w:rFonts w:eastAsia="Calibri" w:cs="Arial"/>
          <w:sz w:val="24"/>
          <w:szCs w:val="24"/>
        </w:rPr>
        <w:t>,</w:t>
      </w:r>
      <w:r w:rsidR="00A55E20">
        <w:rPr>
          <w:rFonts w:eastAsia="Calibri" w:cs="Arial"/>
          <w:sz w:val="24"/>
          <w:szCs w:val="24"/>
        </w:rPr>
        <w:t xml:space="preserve"> </w:t>
      </w:r>
      <w:r w:rsidR="00147D5E" w:rsidRPr="00147D5E">
        <w:rPr>
          <w:rFonts w:eastAsia="Calibri" w:cs="Arial"/>
          <w:b/>
          <w:sz w:val="24"/>
          <w:szCs w:val="24"/>
        </w:rPr>
        <w:t>3 567</w:t>
      </w:r>
      <w:r w:rsidR="00147D5E">
        <w:rPr>
          <w:rFonts w:eastAsia="Calibri" w:cs="Arial"/>
          <w:sz w:val="24"/>
          <w:szCs w:val="24"/>
        </w:rPr>
        <w:t xml:space="preserve"> </w:t>
      </w:r>
      <w:r w:rsidR="002240D0">
        <w:rPr>
          <w:rFonts w:eastAsia="Calibri" w:cs="Arial"/>
          <w:sz w:val="24"/>
          <w:szCs w:val="24"/>
        </w:rPr>
        <w:t xml:space="preserve">(57%) </w:t>
      </w:r>
      <w:r w:rsidR="00147D5E">
        <w:rPr>
          <w:rFonts w:eastAsia="Calibri" w:cs="Arial"/>
          <w:sz w:val="24"/>
          <w:szCs w:val="24"/>
        </w:rPr>
        <w:t>have been concluded.</w:t>
      </w:r>
    </w:p>
    <w:p w:rsidR="001E591A" w:rsidRDefault="001E591A" w:rsidP="001E591A">
      <w:pPr>
        <w:jc w:val="both"/>
        <w:outlineLvl w:val="0"/>
        <w:rPr>
          <w:rFonts w:eastAsia="Calibri" w:cs="Arial"/>
          <w:color w:val="000000"/>
          <w:sz w:val="24"/>
          <w:szCs w:val="24"/>
          <w:lang w:val="en-GB"/>
        </w:rPr>
      </w:pPr>
    </w:p>
    <w:p w:rsidR="00136307" w:rsidRDefault="00147D5E" w:rsidP="003240A0">
      <w:pPr>
        <w:numPr>
          <w:ilvl w:val="0"/>
          <w:numId w:val="8"/>
        </w:numPr>
        <w:ind w:left="709" w:hanging="709"/>
        <w:jc w:val="both"/>
        <w:outlineLvl w:val="0"/>
        <w:rPr>
          <w:rFonts w:eastAsia="Calibri" w:cs="Arial"/>
          <w:color w:val="000000"/>
          <w:sz w:val="24"/>
          <w:szCs w:val="24"/>
          <w:lang w:val="en-GB"/>
        </w:rPr>
      </w:pPr>
      <w:r>
        <w:rPr>
          <w:rFonts w:eastAsia="Calibri" w:cs="Arial"/>
          <w:color w:val="000000"/>
          <w:sz w:val="24"/>
          <w:szCs w:val="24"/>
          <w:lang w:val="en-GB"/>
        </w:rPr>
        <w:t>T</w:t>
      </w:r>
      <w:r w:rsidR="00136307" w:rsidRPr="008E74FB">
        <w:rPr>
          <w:rFonts w:eastAsia="Calibri" w:cs="Arial"/>
          <w:color w:val="000000"/>
          <w:sz w:val="24"/>
          <w:szCs w:val="24"/>
          <w:lang w:val="en-GB"/>
        </w:rPr>
        <w:t xml:space="preserve">he </w:t>
      </w:r>
      <w:r w:rsidR="002240D0">
        <w:rPr>
          <w:rFonts w:eastAsia="Calibri" w:cs="Arial"/>
          <w:color w:val="000000"/>
          <w:sz w:val="24"/>
          <w:szCs w:val="24"/>
          <w:lang w:val="en-GB"/>
        </w:rPr>
        <w:t>D</w:t>
      </w:r>
      <w:r w:rsidR="00136307" w:rsidRPr="008E74FB">
        <w:rPr>
          <w:rFonts w:eastAsia="Calibri" w:cs="Arial"/>
          <w:color w:val="000000"/>
          <w:sz w:val="24"/>
          <w:szCs w:val="24"/>
          <w:lang w:val="en-GB"/>
        </w:rPr>
        <w:t>epartment w</w:t>
      </w:r>
      <w:r w:rsidR="00D23BC4" w:rsidRPr="008E74FB">
        <w:rPr>
          <w:rFonts w:eastAsia="Calibri" w:cs="Arial"/>
          <w:color w:val="000000"/>
          <w:sz w:val="24"/>
          <w:szCs w:val="24"/>
          <w:lang w:val="en-GB"/>
        </w:rPr>
        <w:t xml:space="preserve">ill not </w:t>
      </w:r>
      <w:r w:rsidR="00693A29">
        <w:rPr>
          <w:rFonts w:eastAsia="Calibri" w:cs="Arial"/>
          <w:color w:val="000000"/>
          <w:sz w:val="24"/>
          <w:szCs w:val="24"/>
          <w:lang w:val="en-GB"/>
        </w:rPr>
        <w:t xml:space="preserve">be </w:t>
      </w:r>
      <w:r w:rsidR="00D23BC4" w:rsidRPr="008E74FB">
        <w:rPr>
          <w:rFonts w:eastAsia="Calibri" w:cs="Arial"/>
          <w:color w:val="000000"/>
          <w:sz w:val="24"/>
          <w:szCs w:val="24"/>
          <w:lang w:val="en-GB"/>
        </w:rPr>
        <w:t>pay</w:t>
      </w:r>
      <w:r>
        <w:rPr>
          <w:rFonts w:eastAsia="Calibri" w:cs="Arial"/>
          <w:color w:val="000000"/>
          <w:sz w:val="24"/>
          <w:szCs w:val="24"/>
          <w:lang w:val="en-GB"/>
        </w:rPr>
        <w:t>ing</w:t>
      </w:r>
      <w:r w:rsidR="00D23BC4" w:rsidRPr="008E74FB">
        <w:rPr>
          <w:rFonts w:eastAsia="Calibri" w:cs="Arial"/>
          <w:color w:val="000000"/>
          <w:sz w:val="24"/>
          <w:szCs w:val="24"/>
          <w:lang w:val="en-GB"/>
        </w:rPr>
        <w:t xml:space="preserve"> interest</w:t>
      </w:r>
      <w:r w:rsidR="005A4D75">
        <w:rPr>
          <w:rFonts w:eastAsia="Calibri" w:cs="Arial"/>
          <w:color w:val="000000"/>
          <w:sz w:val="24"/>
          <w:szCs w:val="24"/>
          <w:lang w:val="en-GB"/>
        </w:rPr>
        <w:t>.</w:t>
      </w:r>
      <w:r w:rsidR="00AA11F0" w:rsidRPr="008E74FB">
        <w:rPr>
          <w:rFonts w:eastAsia="Calibri" w:cs="Arial"/>
          <w:color w:val="000000"/>
          <w:sz w:val="24"/>
          <w:szCs w:val="24"/>
          <w:lang w:val="en-GB"/>
        </w:rPr>
        <w:t xml:space="preserve"> </w:t>
      </w:r>
      <w:r>
        <w:rPr>
          <w:rFonts w:eastAsia="Calibri" w:cs="Arial"/>
          <w:color w:val="000000"/>
          <w:sz w:val="24"/>
          <w:szCs w:val="24"/>
          <w:lang w:val="en-GB"/>
        </w:rPr>
        <w:t xml:space="preserve"> </w:t>
      </w:r>
      <w:r w:rsidR="00693A29">
        <w:rPr>
          <w:rFonts w:eastAsia="Calibri" w:cs="Arial"/>
          <w:color w:val="000000"/>
          <w:sz w:val="24"/>
          <w:szCs w:val="24"/>
          <w:lang w:val="en-GB"/>
        </w:rPr>
        <w:t>DCS</w:t>
      </w:r>
      <w:r w:rsidR="005A4D75">
        <w:rPr>
          <w:rFonts w:eastAsia="Calibri" w:cs="Arial"/>
          <w:color w:val="000000"/>
          <w:sz w:val="24"/>
          <w:szCs w:val="24"/>
          <w:lang w:val="en-GB"/>
        </w:rPr>
        <w:t xml:space="preserve"> was compelled to undertake the verification process to avoid overpayments </w:t>
      </w:r>
      <w:r w:rsidR="008755CE">
        <w:rPr>
          <w:rFonts w:eastAsia="Calibri" w:cs="Arial"/>
          <w:color w:val="000000"/>
          <w:sz w:val="24"/>
          <w:szCs w:val="24"/>
          <w:lang w:val="en-GB"/>
        </w:rPr>
        <w:t xml:space="preserve">to ex – officials as it would be difficult if not impossible to recover such amounts. </w:t>
      </w:r>
    </w:p>
    <w:p w:rsidR="003240A0" w:rsidRPr="008E74FB" w:rsidRDefault="003240A0" w:rsidP="003240A0">
      <w:pPr>
        <w:ind w:left="709"/>
        <w:jc w:val="both"/>
        <w:outlineLvl w:val="0"/>
        <w:rPr>
          <w:rFonts w:eastAsia="Calibri" w:cs="Arial"/>
          <w:color w:val="000000"/>
          <w:sz w:val="24"/>
          <w:szCs w:val="24"/>
          <w:lang w:val="en-GB"/>
        </w:rPr>
      </w:pPr>
    </w:p>
    <w:p w:rsidR="00BC5644" w:rsidRPr="008E74FB" w:rsidRDefault="003240A0" w:rsidP="003240A0">
      <w:pPr>
        <w:numPr>
          <w:ilvl w:val="0"/>
          <w:numId w:val="8"/>
        </w:numPr>
        <w:ind w:left="709" w:hanging="709"/>
        <w:jc w:val="both"/>
        <w:outlineLvl w:val="0"/>
        <w:rPr>
          <w:rFonts w:eastAsia="Calibri" w:cs="Arial"/>
          <w:color w:val="000000"/>
          <w:sz w:val="24"/>
          <w:szCs w:val="24"/>
          <w:lang w:val="en-GB"/>
        </w:rPr>
      </w:pPr>
      <w:r>
        <w:rPr>
          <w:rFonts w:eastAsia="Calibri" w:cs="Arial"/>
          <w:color w:val="000000"/>
          <w:sz w:val="24"/>
          <w:szCs w:val="24"/>
          <w:lang w:val="en-GB"/>
        </w:rPr>
        <w:t xml:space="preserve">No, </w:t>
      </w:r>
      <w:r w:rsidR="00E70A4A">
        <w:rPr>
          <w:rFonts w:eastAsia="Calibri" w:cs="Arial"/>
          <w:color w:val="000000"/>
          <w:sz w:val="24"/>
          <w:szCs w:val="24"/>
          <w:lang w:val="en-GB"/>
        </w:rPr>
        <w:t>the Department does not have</w:t>
      </w:r>
      <w:r w:rsidR="00E70A4A" w:rsidRPr="00E70A4A">
        <w:rPr>
          <w:rFonts w:eastAsia="Calibri" w:cs="Arial"/>
          <w:sz w:val="24"/>
          <w:szCs w:val="24"/>
          <w:lang w:val="en-GB"/>
        </w:rPr>
        <w:t xml:space="preserve"> </w:t>
      </w:r>
      <w:r w:rsidR="00E70A4A" w:rsidRPr="00BF1D9B">
        <w:rPr>
          <w:rFonts w:eastAsia="Calibri" w:cs="Arial"/>
          <w:sz w:val="24"/>
          <w:szCs w:val="24"/>
          <w:lang w:val="en-GB"/>
        </w:rPr>
        <w:t>different regulations and/or policy positions for</w:t>
      </w:r>
      <w:r w:rsidR="00E70A4A">
        <w:rPr>
          <w:rFonts w:eastAsia="Calibri" w:cs="Arial"/>
          <w:sz w:val="24"/>
          <w:szCs w:val="24"/>
          <w:lang w:val="en-GB"/>
        </w:rPr>
        <w:t xml:space="preserve"> serving and former officials</w:t>
      </w:r>
      <w:r w:rsidR="00AA206C" w:rsidRPr="008E74FB">
        <w:rPr>
          <w:rFonts w:eastAsia="Calibri" w:cs="Arial"/>
          <w:color w:val="000000"/>
          <w:sz w:val="24"/>
          <w:szCs w:val="24"/>
          <w:lang w:val="en-GB"/>
        </w:rPr>
        <w:t>.</w:t>
      </w:r>
      <w:r w:rsidR="00F40EFC">
        <w:rPr>
          <w:rFonts w:eastAsia="Calibri" w:cs="Arial"/>
          <w:color w:val="000000"/>
          <w:sz w:val="24"/>
          <w:szCs w:val="24"/>
          <w:lang w:val="en-GB"/>
        </w:rPr>
        <w:t xml:space="preserve">  The Department opted to initially pay serving officials as they are on the payroll system of Government (PERSAL) and as such processing such emoluments was less onerous administratively, however after commencement of the process the errors in calculations were discovered and a comprehensive audit was commissioned to rectify / prevent any errors.  As such former officials</w:t>
      </w:r>
      <w:r w:rsidR="0081246C">
        <w:rPr>
          <w:rFonts w:eastAsia="Calibri" w:cs="Arial"/>
          <w:color w:val="000000"/>
          <w:sz w:val="24"/>
          <w:szCs w:val="24"/>
          <w:lang w:val="en-GB"/>
        </w:rPr>
        <w:t>’</w:t>
      </w:r>
      <w:r w:rsidR="00F40EFC">
        <w:rPr>
          <w:rFonts w:eastAsia="Calibri" w:cs="Arial"/>
          <w:color w:val="000000"/>
          <w:sz w:val="24"/>
          <w:szCs w:val="24"/>
          <w:lang w:val="en-GB"/>
        </w:rPr>
        <w:t xml:space="preserve"> payments are pending finalisation of the </w:t>
      </w:r>
      <w:r w:rsidR="0081246C">
        <w:rPr>
          <w:rFonts w:eastAsia="Calibri" w:cs="Arial"/>
          <w:color w:val="000000"/>
          <w:sz w:val="24"/>
          <w:szCs w:val="24"/>
          <w:lang w:val="en-GB"/>
        </w:rPr>
        <w:t>a</w:t>
      </w:r>
      <w:r w:rsidR="00F40EFC">
        <w:rPr>
          <w:rFonts w:eastAsia="Calibri" w:cs="Arial"/>
          <w:color w:val="000000"/>
          <w:sz w:val="24"/>
          <w:szCs w:val="24"/>
          <w:lang w:val="en-GB"/>
        </w:rPr>
        <w:t xml:space="preserve">udits.  </w:t>
      </w:r>
    </w:p>
    <w:p w:rsidR="00FC5A3E" w:rsidRDefault="00FC5A3E" w:rsidP="001E591A">
      <w:pPr>
        <w:ind w:left="1080"/>
        <w:jc w:val="both"/>
        <w:outlineLvl w:val="0"/>
        <w:rPr>
          <w:rFonts w:eastAsia="Calibri" w:cs="Arial"/>
          <w:b/>
          <w:color w:val="000000"/>
          <w:sz w:val="24"/>
          <w:szCs w:val="24"/>
          <w:lang w:val="en-GB"/>
        </w:rPr>
      </w:pPr>
    </w:p>
    <w:p w:rsidR="00C31023" w:rsidRDefault="00C31023" w:rsidP="003240A0">
      <w:pPr>
        <w:jc w:val="both"/>
        <w:outlineLvl w:val="0"/>
        <w:rPr>
          <w:rFonts w:eastAsia="Calibri" w:cs="Arial"/>
          <w:color w:val="000000"/>
          <w:sz w:val="24"/>
          <w:szCs w:val="24"/>
          <w:lang w:val="en-GB"/>
        </w:rPr>
      </w:pPr>
    </w:p>
    <w:p w:rsidR="003240A0" w:rsidRDefault="003240A0" w:rsidP="003240A0">
      <w:pPr>
        <w:jc w:val="both"/>
        <w:outlineLvl w:val="0"/>
        <w:rPr>
          <w:rFonts w:eastAsia="Calibri" w:cs="Arial"/>
          <w:color w:val="000000"/>
          <w:sz w:val="24"/>
          <w:szCs w:val="24"/>
          <w:lang w:val="en-GB"/>
        </w:rPr>
      </w:pPr>
    </w:p>
    <w:p w:rsidR="003240A0" w:rsidRPr="003240A0" w:rsidRDefault="003240A0" w:rsidP="003240A0">
      <w:pPr>
        <w:jc w:val="both"/>
        <w:outlineLvl w:val="0"/>
        <w:rPr>
          <w:rFonts w:cs="Arial"/>
          <w:b/>
          <w:color w:val="000000"/>
          <w:sz w:val="24"/>
          <w:szCs w:val="24"/>
        </w:rPr>
      </w:pPr>
      <w:r w:rsidRPr="003240A0">
        <w:rPr>
          <w:rFonts w:eastAsia="Calibri" w:cs="Arial"/>
          <w:b/>
          <w:color w:val="000000"/>
          <w:sz w:val="24"/>
          <w:szCs w:val="24"/>
          <w:lang w:val="en-GB"/>
        </w:rPr>
        <w:t>END</w:t>
      </w:r>
    </w:p>
    <w:sectPr w:rsidR="003240A0" w:rsidRPr="003240A0" w:rsidSect="00C31023">
      <w:footerReference w:type="default" r:id="rId8"/>
      <w:pgSz w:w="12240" w:h="15840"/>
      <w:pgMar w:top="1440"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44E" w:rsidRDefault="002E344E" w:rsidP="00BF5B07">
      <w:r>
        <w:separator/>
      </w:r>
    </w:p>
  </w:endnote>
  <w:endnote w:type="continuationSeparator" w:id="0">
    <w:p w:rsidR="002E344E" w:rsidRDefault="002E344E" w:rsidP="00BF5B0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70A" w:rsidRDefault="00B1270A">
    <w:pPr>
      <w:pStyle w:val="Footer"/>
    </w:pPr>
    <w:r>
      <w:t>PQ2129-NW2416E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2E344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344E">
      <w:rPr>
        <w:b/>
        <w:bCs/>
        <w:noProof/>
      </w:rPr>
      <w:t>1</w:t>
    </w:r>
    <w:r>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44E" w:rsidRDefault="002E344E" w:rsidP="00BF5B07">
      <w:r>
        <w:separator/>
      </w:r>
    </w:p>
  </w:footnote>
  <w:footnote w:type="continuationSeparator" w:id="0">
    <w:p w:rsidR="002E344E" w:rsidRDefault="002E344E" w:rsidP="00BF5B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096D"/>
    <w:multiLevelType w:val="hybridMultilevel"/>
    <w:tmpl w:val="590EEE1C"/>
    <w:lvl w:ilvl="0" w:tplc="34249C14">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C190E90"/>
    <w:multiLevelType w:val="hybridMultilevel"/>
    <w:tmpl w:val="C40EC654"/>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
    <w:nsid w:val="30FF6FB2"/>
    <w:multiLevelType w:val="hybridMultilevel"/>
    <w:tmpl w:val="83887B86"/>
    <w:lvl w:ilvl="0" w:tplc="9C389430">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42061A0"/>
    <w:multiLevelType w:val="hybridMultilevel"/>
    <w:tmpl w:val="D846AF96"/>
    <w:lvl w:ilvl="0" w:tplc="71EE3706">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3B822049"/>
    <w:multiLevelType w:val="hybridMultilevel"/>
    <w:tmpl w:val="3C8E867A"/>
    <w:lvl w:ilvl="0" w:tplc="0038E12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2E474D6"/>
    <w:multiLevelType w:val="hybridMultilevel"/>
    <w:tmpl w:val="DC9E5278"/>
    <w:lvl w:ilvl="0" w:tplc="C50265E0">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62811DC"/>
    <w:multiLevelType w:val="hybridMultilevel"/>
    <w:tmpl w:val="FBA46014"/>
    <w:lvl w:ilvl="0" w:tplc="A986269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62AE6A3D"/>
    <w:multiLevelType w:val="hybridMultilevel"/>
    <w:tmpl w:val="659C8306"/>
    <w:lvl w:ilvl="0" w:tplc="7E12E5C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5F11121"/>
    <w:multiLevelType w:val="hybridMultilevel"/>
    <w:tmpl w:val="08A4DA26"/>
    <w:lvl w:ilvl="0" w:tplc="9B2201EC">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748A2445"/>
    <w:multiLevelType w:val="hybridMultilevel"/>
    <w:tmpl w:val="F34426AE"/>
    <w:lvl w:ilvl="0" w:tplc="D0CE1D0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5EC395F"/>
    <w:multiLevelType w:val="hybridMultilevel"/>
    <w:tmpl w:val="1382CD66"/>
    <w:lvl w:ilvl="0" w:tplc="35D8F1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0"/>
  </w:num>
  <w:num w:numId="5">
    <w:abstractNumId w:val="4"/>
  </w:num>
  <w:num w:numId="6">
    <w:abstractNumId w:val="9"/>
  </w:num>
  <w:num w:numId="7">
    <w:abstractNumId w:val="8"/>
  </w:num>
  <w:num w:numId="8">
    <w:abstractNumId w:val="3"/>
  </w:num>
  <w:num w:numId="9">
    <w:abstractNumId w:val="2"/>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E13C3"/>
    <w:rsid w:val="0000528C"/>
    <w:rsid w:val="00016A7D"/>
    <w:rsid w:val="00017306"/>
    <w:rsid w:val="00056993"/>
    <w:rsid w:val="00067B6F"/>
    <w:rsid w:val="00094364"/>
    <w:rsid w:val="000A5843"/>
    <w:rsid w:val="000B5D04"/>
    <w:rsid w:val="000F07BB"/>
    <w:rsid w:val="001139F9"/>
    <w:rsid w:val="00136307"/>
    <w:rsid w:val="0014380D"/>
    <w:rsid w:val="0014403E"/>
    <w:rsid w:val="00147D5E"/>
    <w:rsid w:val="0015130B"/>
    <w:rsid w:val="00186919"/>
    <w:rsid w:val="001A68B6"/>
    <w:rsid w:val="001B4208"/>
    <w:rsid w:val="001D573D"/>
    <w:rsid w:val="001E591A"/>
    <w:rsid w:val="001F0685"/>
    <w:rsid w:val="001F6AE8"/>
    <w:rsid w:val="001F7CDD"/>
    <w:rsid w:val="00214D72"/>
    <w:rsid w:val="002240D0"/>
    <w:rsid w:val="00224D4F"/>
    <w:rsid w:val="00261B64"/>
    <w:rsid w:val="002864DD"/>
    <w:rsid w:val="00291221"/>
    <w:rsid w:val="002B7FC4"/>
    <w:rsid w:val="002C6C0D"/>
    <w:rsid w:val="002D67D0"/>
    <w:rsid w:val="002E0DF9"/>
    <w:rsid w:val="002E344E"/>
    <w:rsid w:val="0030177D"/>
    <w:rsid w:val="00303B52"/>
    <w:rsid w:val="003066D3"/>
    <w:rsid w:val="0031710C"/>
    <w:rsid w:val="003204A5"/>
    <w:rsid w:val="00322B41"/>
    <w:rsid w:val="003240A0"/>
    <w:rsid w:val="003308FF"/>
    <w:rsid w:val="00370574"/>
    <w:rsid w:val="003A258C"/>
    <w:rsid w:val="003C3EDC"/>
    <w:rsid w:val="003D31F7"/>
    <w:rsid w:val="003E5872"/>
    <w:rsid w:val="003F06FB"/>
    <w:rsid w:val="00461D36"/>
    <w:rsid w:val="00461EC0"/>
    <w:rsid w:val="004913BB"/>
    <w:rsid w:val="004A2C25"/>
    <w:rsid w:val="004B6196"/>
    <w:rsid w:val="004D0126"/>
    <w:rsid w:val="004D3B6E"/>
    <w:rsid w:val="004E6F42"/>
    <w:rsid w:val="004F0587"/>
    <w:rsid w:val="005053DA"/>
    <w:rsid w:val="005110A4"/>
    <w:rsid w:val="005143A2"/>
    <w:rsid w:val="00515D92"/>
    <w:rsid w:val="00554C06"/>
    <w:rsid w:val="0057115A"/>
    <w:rsid w:val="00583F72"/>
    <w:rsid w:val="005A4D75"/>
    <w:rsid w:val="005B0E32"/>
    <w:rsid w:val="005C15B9"/>
    <w:rsid w:val="005C5B90"/>
    <w:rsid w:val="005F5E26"/>
    <w:rsid w:val="006212D0"/>
    <w:rsid w:val="00657C57"/>
    <w:rsid w:val="006744DB"/>
    <w:rsid w:val="00693A29"/>
    <w:rsid w:val="006A2BCF"/>
    <w:rsid w:val="006B25BE"/>
    <w:rsid w:val="006C5BFA"/>
    <w:rsid w:val="006C7DE6"/>
    <w:rsid w:val="006D13BF"/>
    <w:rsid w:val="00704AF9"/>
    <w:rsid w:val="007177EB"/>
    <w:rsid w:val="00724F40"/>
    <w:rsid w:val="007274CA"/>
    <w:rsid w:val="00727A14"/>
    <w:rsid w:val="00730725"/>
    <w:rsid w:val="00730E4A"/>
    <w:rsid w:val="00731A46"/>
    <w:rsid w:val="00737344"/>
    <w:rsid w:val="007455F0"/>
    <w:rsid w:val="00754843"/>
    <w:rsid w:val="007755E8"/>
    <w:rsid w:val="00795D63"/>
    <w:rsid w:val="007961C2"/>
    <w:rsid w:val="00797BF2"/>
    <w:rsid w:val="007D786D"/>
    <w:rsid w:val="007F229E"/>
    <w:rsid w:val="0081246C"/>
    <w:rsid w:val="00847FB7"/>
    <w:rsid w:val="00860F07"/>
    <w:rsid w:val="00872023"/>
    <w:rsid w:val="008755CE"/>
    <w:rsid w:val="008E74FB"/>
    <w:rsid w:val="0091736E"/>
    <w:rsid w:val="00927D05"/>
    <w:rsid w:val="00950782"/>
    <w:rsid w:val="00971159"/>
    <w:rsid w:val="009A4C6D"/>
    <w:rsid w:val="009C48D3"/>
    <w:rsid w:val="009F1733"/>
    <w:rsid w:val="009F396E"/>
    <w:rsid w:val="00A214F9"/>
    <w:rsid w:val="00A35811"/>
    <w:rsid w:val="00A47F8A"/>
    <w:rsid w:val="00A55E20"/>
    <w:rsid w:val="00A60BFD"/>
    <w:rsid w:val="00AA11F0"/>
    <w:rsid w:val="00AA206C"/>
    <w:rsid w:val="00AD09F9"/>
    <w:rsid w:val="00AD67D8"/>
    <w:rsid w:val="00AF667D"/>
    <w:rsid w:val="00B1270A"/>
    <w:rsid w:val="00B22C58"/>
    <w:rsid w:val="00B64BF1"/>
    <w:rsid w:val="00B70DAB"/>
    <w:rsid w:val="00B875C1"/>
    <w:rsid w:val="00BC5644"/>
    <w:rsid w:val="00BE13C3"/>
    <w:rsid w:val="00BE4ECC"/>
    <w:rsid w:val="00BE4ED0"/>
    <w:rsid w:val="00BE7732"/>
    <w:rsid w:val="00BF10BC"/>
    <w:rsid w:val="00BF152A"/>
    <w:rsid w:val="00BF1D9B"/>
    <w:rsid w:val="00BF5B07"/>
    <w:rsid w:val="00BF7854"/>
    <w:rsid w:val="00C31023"/>
    <w:rsid w:val="00C34132"/>
    <w:rsid w:val="00C34F61"/>
    <w:rsid w:val="00C350A8"/>
    <w:rsid w:val="00C63098"/>
    <w:rsid w:val="00C65D38"/>
    <w:rsid w:val="00C81BF8"/>
    <w:rsid w:val="00C86238"/>
    <w:rsid w:val="00C9277F"/>
    <w:rsid w:val="00C92B71"/>
    <w:rsid w:val="00CA011F"/>
    <w:rsid w:val="00CA6917"/>
    <w:rsid w:val="00CC4C38"/>
    <w:rsid w:val="00CD0BEB"/>
    <w:rsid w:val="00CE2500"/>
    <w:rsid w:val="00D207D0"/>
    <w:rsid w:val="00D23BC4"/>
    <w:rsid w:val="00D34200"/>
    <w:rsid w:val="00D34518"/>
    <w:rsid w:val="00D51A9E"/>
    <w:rsid w:val="00D63253"/>
    <w:rsid w:val="00D73AAA"/>
    <w:rsid w:val="00D86324"/>
    <w:rsid w:val="00DD61D2"/>
    <w:rsid w:val="00DE1E6A"/>
    <w:rsid w:val="00DE3995"/>
    <w:rsid w:val="00DE4C37"/>
    <w:rsid w:val="00DF15E4"/>
    <w:rsid w:val="00E412C0"/>
    <w:rsid w:val="00E67309"/>
    <w:rsid w:val="00E70A4A"/>
    <w:rsid w:val="00E83F31"/>
    <w:rsid w:val="00E85735"/>
    <w:rsid w:val="00E93B9D"/>
    <w:rsid w:val="00EB5D09"/>
    <w:rsid w:val="00EB64D2"/>
    <w:rsid w:val="00EF5082"/>
    <w:rsid w:val="00EF572A"/>
    <w:rsid w:val="00F070C6"/>
    <w:rsid w:val="00F17065"/>
    <w:rsid w:val="00F23C4D"/>
    <w:rsid w:val="00F40EFC"/>
    <w:rsid w:val="00F62999"/>
    <w:rsid w:val="00F710BD"/>
    <w:rsid w:val="00F86B15"/>
    <w:rsid w:val="00FC5A3E"/>
    <w:rsid w:val="00FD3B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A3E"/>
    <w:rPr>
      <w:rFonts w:ascii="Arial" w:eastAsia="Times New Roman" w:hAnsi="Arial"/>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B07"/>
    <w:pPr>
      <w:tabs>
        <w:tab w:val="center" w:pos="4513"/>
        <w:tab w:val="right" w:pos="9026"/>
      </w:tabs>
    </w:pPr>
  </w:style>
  <w:style w:type="character" w:customStyle="1" w:styleId="HeaderChar">
    <w:name w:val="Header Char"/>
    <w:link w:val="Header"/>
    <w:uiPriority w:val="99"/>
    <w:rsid w:val="00BF5B07"/>
    <w:rPr>
      <w:rFonts w:ascii="Arial" w:eastAsia="Times New Roman" w:hAnsi="Arial"/>
      <w:sz w:val="22"/>
      <w:szCs w:val="22"/>
      <w:lang w:eastAsia="en-US"/>
    </w:rPr>
  </w:style>
  <w:style w:type="paragraph" w:styleId="Footer">
    <w:name w:val="footer"/>
    <w:basedOn w:val="Normal"/>
    <w:link w:val="FooterChar"/>
    <w:uiPriority w:val="99"/>
    <w:unhideWhenUsed/>
    <w:rsid w:val="00BF5B07"/>
    <w:pPr>
      <w:tabs>
        <w:tab w:val="center" w:pos="4513"/>
        <w:tab w:val="right" w:pos="9026"/>
      </w:tabs>
    </w:pPr>
  </w:style>
  <w:style w:type="character" w:customStyle="1" w:styleId="FooterChar">
    <w:name w:val="Footer Char"/>
    <w:link w:val="Footer"/>
    <w:uiPriority w:val="99"/>
    <w:rsid w:val="00BF5B07"/>
    <w:rPr>
      <w:rFonts w:ascii="Arial" w:eastAsia="Times New Roman" w:hAnsi="Arial"/>
      <w:sz w:val="22"/>
      <w:szCs w:val="22"/>
      <w:lang w:eastAsia="en-US"/>
    </w:rPr>
  </w:style>
  <w:style w:type="paragraph" w:styleId="BalloonText">
    <w:name w:val="Balloon Text"/>
    <w:basedOn w:val="Normal"/>
    <w:link w:val="BalloonTextChar"/>
    <w:uiPriority w:val="99"/>
    <w:semiHidden/>
    <w:unhideWhenUsed/>
    <w:rsid w:val="00731A46"/>
    <w:rPr>
      <w:rFonts w:ascii="Tahoma" w:hAnsi="Tahoma" w:cs="Tahoma"/>
      <w:sz w:val="16"/>
      <w:szCs w:val="16"/>
    </w:rPr>
  </w:style>
  <w:style w:type="character" w:customStyle="1" w:styleId="BalloonTextChar">
    <w:name w:val="Balloon Text Char"/>
    <w:link w:val="BalloonText"/>
    <w:uiPriority w:val="99"/>
    <w:semiHidden/>
    <w:rsid w:val="00731A46"/>
    <w:rPr>
      <w:rFonts w:ascii="Tahoma" w:eastAsia="Times New Roman" w:hAnsi="Tahoma" w:cs="Tahoma"/>
      <w:sz w:val="16"/>
      <w:szCs w:val="16"/>
      <w:lang w:eastAsia="en-US"/>
    </w:rPr>
  </w:style>
  <w:style w:type="paragraph" w:styleId="ListParagraph">
    <w:name w:val="List Paragraph"/>
    <w:basedOn w:val="Normal"/>
    <w:uiPriority w:val="34"/>
    <w:qFormat/>
    <w:rsid w:val="009F396E"/>
    <w:pPr>
      <w:ind w:left="720"/>
    </w:pPr>
  </w:style>
  <w:style w:type="character" w:styleId="CommentReference">
    <w:name w:val="annotation reference"/>
    <w:uiPriority w:val="99"/>
    <w:semiHidden/>
    <w:unhideWhenUsed/>
    <w:rsid w:val="001E591A"/>
    <w:rPr>
      <w:sz w:val="16"/>
      <w:szCs w:val="16"/>
    </w:rPr>
  </w:style>
  <w:style w:type="paragraph" w:styleId="CommentText">
    <w:name w:val="annotation text"/>
    <w:basedOn w:val="Normal"/>
    <w:link w:val="CommentTextChar"/>
    <w:uiPriority w:val="99"/>
    <w:semiHidden/>
    <w:unhideWhenUsed/>
    <w:rsid w:val="001E591A"/>
    <w:rPr>
      <w:sz w:val="20"/>
      <w:szCs w:val="20"/>
    </w:rPr>
  </w:style>
  <w:style w:type="character" w:customStyle="1" w:styleId="CommentTextChar">
    <w:name w:val="Comment Text Char"/>
    <w:link w:val="CommentText"/>
    <w:uiPriority w:val="99"/>
    <w:semiHidden/>
    <w:rsid w:val="001E591A"/>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1E591A"/>
    <w:rPr>
      <w:b/>
      <w:bCs/>
    </w:rPr>
  </w:style>
  <w:style w:type="character" w:customStyle="1" w:styleId="CommentSubjectChar">
    <w:name w:val="Comment Subject Char"/>
    <w:link w:val="CommentSubject"/>
    <w:uiPriority w:val="99"/>
    <w:semiHidden/>
    <w:rsid w:val="001E591A"/>
    <w:rPr>
      <w:rFonts w:ascii="Arial" w:eastAsia="Times New Roman" w:hAnsi="Arial"/>
      <w:b/>
      <w:bCs/>
      <w:lang w:eastAsia="en-US"/>
    </w:rPr>
  </w:style>
  <w:style w:type="paragraph" w:styleId="Revision">
    <w:name w:val="Revision"/>
    <w:hidden/>
    <w:uiPriority w:val="99"/>
    <w:semiHidden/>
    <w:rsid w:val="001E591A"/>
    <w:rPr>
      <w:rFonts w:ascii="Arial" w:eastAsia="Times New Roman" w:hAnsi="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185532582">
      <w:bodyDiv w:val="1"/>
      <w:marLeft w:val="0"/>
      <w:marRight w:val="0"/>
      <w:marTop w:val="0"/>
      <w:marBottom w:val="0"/>
      <w:divBdr>
        <w:top w:val="none" w:sz="0" w:space="0" w:color="auto"/>
        <w:left w:val="none" w:sz="0" w:space="0" w:color="auto"/>
        <w:bottom w:val="none" w:sz="0" w:space="0" w:color="auto"/>
        <w:right w:val="none" w:sz="0" w:space="0" w:color="auto"/>
      </w:divBdr>
    </w:div>
    <w:div w:id="700478061">
      <w:bodyDiv w:val="1"/>
      <w:marLeft w:val="0"/>
      <w:marRight w:val="0"/>
      <w:marTop w:val="0"/>
      <w:marBottom w:val="0"/>
      <w:divBdr>
        <w:top w:val="none" w:sz="0" w:space="0" w:color="auto"/>
        <w:left w:val="none" w:sz="0" w:space="0" w:color="auto"/>
        <w:bottom w:val="none" w:sz="0" w:space="0" w:color="auto"/>
        <w:right w:val="none" w:sz="0" w:space="0" w:color="auto"/>
      </w:divBdr>
    </w:div>
    <w:div w:id="1697193234">
      <w:bodyDiv w:val="1"/>
      <w:marLeft w:val="0"/>
      <w:marRight w:val="0"/>
      <w:marTop w:val="0"/>
      <w:marBottom w:val="0"/>
      <w:divBdr>
        <w:top w:val="none" w:sz="0" w:space="0" w:color="auto"/>
        <w:left w:val="none" w:sz="0" w:space="0" w:color="auto"/>
        <w:bottom w:val="none" w:sz="0" w:space="0" w:color="auto"/>
        <w:right w:val="none" w:sz="0" w:space="0" w:color="auto"/>
      </w:divBdr>
    </w:div>
    <w:div w:id="210510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CF1C2-B8AE-4147-AB07-9145C7D14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USER</cp:lastModifiedBy>
  <cp:revision>2</cp:revision>
  <cp:lastPrinted>2021-12-07T12:00:00Z</cp:lastPrinted>
  <dcterms:created xsi:type="dcterms:W3CDTF">2021-12-08T13:51:00Z</dcterms:created>
  <dcterms:modified xsi:type="dcterms:W3CDTF">2021-12-08T13:51:00Z</dcterms:modified>
</cp:coreProperties>
</file>