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6D559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212</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501635">
        <w:rPr>
          <w:rFonts w:ascii="Arial Narrow" w:eastAsia="Arial Unicode MS" w:hAnsi="Arial Narrow" w:cs="Times New Roman"/>
          <w:b/>
          <w:bCs/>
          <w:sz w:val="24"/>
          <w:szCs w:val="24"/>
          <w:bdr w:val="nil"/>
          <w:lang w:val="en-US"/>
        </w:rPr>
        <w:t>11 February 2021</w:t>
      </w:r>
    </w:p>
    <w:p w:rsidR="00501635" w:rsidRDefault="0050163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062940">
        <w:rPr>
          <w:rFonts w:ascii="Arial Narrow" w:eastAsia="Arial Unicode MS" w:hAnsi="Arial Narrow" w:cs="Times New Roman"/>
          <w:b/>
          <w:bCs/>
          <w:sz w:val="24"/>
          <w:szCs w:val="24"/>
          <w:bdr w:val="nil"/>
          <w:lang w:val="en-US"/>
        </w:rPr>
        <w:t>23 February 2021</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6D5590"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Mr M S F de Freitas</w:t>
      </w:r>
      <w:r w:rsidR="008B4534">
        <w:rPr>
          <w:rFonts w:ascii="Arial Narrow" w:eastAsia="Calibri" w:hAnsi="Arial Narrow" w:cs="Times New Roman"/>
          <w:b/>
          <w:sz w:val="24"/>
          <w:szCs w:val="24"/>
          <w:lang w:val="af-ZA"/>
        </w:rPr>
        <w:t xml:space="preserve"> (DA</w:t>
      </w:r>
      <w:r w:rsidR="009A0955" w:rsidRPr="009A0955">
        <w:rPr>
          <w:rFonts w:ascii="Arial Narrow" w:eastAsia="Calibri" w:hAnsi="Arial Narrow" w:cs="Times New Roman"/>
          <w:b/>
          <w:sz w:val="24"/>
          <w:szCs w:val="24"/>
          <w:lang w:val="af-ZA"/>
        </w:rPr>
        <w:t xml:space="preserve">) to ask the Minister of Tourism:  </w:t>
      </w:r>
    </w:p>
    <w:p w:rsidR="00A176DC" w:rsidRDefault="006D5590"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6D5590">
        <w:rPr>
          <w:rFonts w:ascii="Arial Narrow" w:eastAsia="Calibri" w:hAnsi="Arial Narrow" w:cs="Times New Roman"/>
          <w:sz w:val="24"/>
          <w:szCs w:val="24"/>
          <w:lang w:val="af-ZA"/>
        </w:rPr>
        <w:t>(a) What mechanisms, processes and procedures are in place in respect of the Tourism Equity Fund, (b)(i) how will successes and failures be monitored and analysed, (ii) how often will this be done and (iii) by whom, (c) what criteria will be used in the prioritisation of applications, (d) what minimal qualifications must applicants to the fund have to qualify and (e) who will administer the fund?</w:t>
      </w:r>
      <w:r w:rsidRPr="006D5590">
        <w:rPr>
          <w:rFonts w:ascii="Arial Narrow" w:eastAsia="Calibri" w:hAnsi="Arial Narrow" w:cs="Times New Roman"/>
          <w:sz w:val="24"/>
          <w:szCs w:val="24"/>
          <w:lang w:val="af-ZA"/>
        </w:rPr>
        <w:tab/>
      </w:r>
      <w:r w:rsidRPr="006D5590">
        <w:rPr>
          <w:rFonts w:ascii="Arial Narrow" w:eastAsia="Calibri" w:hAnsi="Arial Narrow" w:cs="Times New Roman"/>
          <w:sz w:val="24"/>
          <w:szCs w:val="24"/>
          <w:lang w:val="af-ZA"/>
        </w:rPr>
        <w:tab/>
      </w:r>
      <w:r w:rsidRPr="006D5590">
        <w:rPr>
          <w:rFonts w:ascii="Arial Narrow" w:eastAsia="Calibri" w:hAnsi="Arial Narrow" w:cs="Times New Roman"/>
          <w:sz w:val="24"/>
          <w:szCs w:val="24"/>
          <w:lang w:val="af-ZA"/>
        </w:rPr>
        <w:tab/>
      </w:r>
      <w:r>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6D5590">
        <w:rPr>
          <w:rFonts w:ascii="Arial Narrow" w:eastAsia="Calibri" w:hAnsi="Arial Narrow" w:cs="Times New Roman"/>
          <w:sz w:val="24"/>
          <w:szCs w:val="24"/>
          <w:lang w:val="af-ZA"/>
        </w:rPr>
        <w:t>NW215E</w:t>
      </w:r>
    </w:p>
    <w:p w:rsidR="008B4534" w:rsidRDefault="008B4534"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8B4534" w:rsidRDefault="008B4534" w:rsidP="008B4534">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C07DBA">
      <w:p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rsidR="006D5590" w:rsidRPr="00821260" w:rsidRDefault="006D5590" w:rsidP="00403B92">
      <w:pPr>
        <w:pStyle w:val="ListParagraph"/>
        <w:numPr>
          <w:ilvl w:val="0"/>
          <w:numId w:val="1"/>
        </w:numPr>
        <w:pBdr>
          <w:top w:val="nil"/>
          <w:left w:val="nil"/>
          <w:bottom w:val="nil"/>
          <w:right w:val="nil"/>
          <w:between w:val="nil"/>
          <w:bar w:val="nil"/>
        </w:pBdr>
        <w:spacing w:after="0" w:line="360" w:lineRule="auto"/>
        <w:ind w:left="567" w:hanging="567"/>
        <w:jc w:val="both"/>
        <w:rPr>
          <w:rFonts w:ascii="Arial Narrow" w:eastAsia="Calibri" w:hAnsi="Arial Narrow" w:cs="Times New Roman"/>
          <w:b/>
          <w:sz w:val="24"/>
          <w:szCs w:val="24"/>
          <w:lang w:val="af-ZA"/>
        </w:rPr>
      </w:pPr>
      <w:r w:rsidRPr="00821260">
        <w:rPr>
          <w:rFonts w:ascii="Arial Narrow" w:eastAsia="Calibri" w:hAnsi="Arial Narrow" w:cs="Times New Roman"/>
          <w:b/>
          <w:sz w:val="24"/>
          <w:szCs w:val="24"/>
          <w:lang w:val="af-ZA"/>
        </w:rPr>
        <w:t>What mechanisms, processes and procedures are in place in respect of the Tourism Equity Fund.</w:t>
      </w:r>
    </w:p>
    <w:p w:rsidR="00F6587C" w:rsidRPr="00FC45A6" w:rsidRDefault="004D103B" w:rsidP="00821260">
      <w:pPr>
        <w:pStyle w:val="ListParagraph"/>
        <w:numPr>
          <w:ilvl w:val="0"/>
          <w:numId w:val="2"/>
        </w:numPr>
        <w:pBdr>
          <w:top w:val="nil"/>
          <w:left w:val="nil"/>
          <w:bottom w:val="nil"/>
          <w:right w:val="nil"/>
          <w:between w:val="nil"/>
          <w:bar w:val="nil"/>
        </w:pBdr>
        <w:spacing w:after="0" w:line="276" w:lineRule="auto"/>
        <w:ind w:left="1134" w:hanging="425"/>
        <w:rPr>
          <w:rFonts w:ascii="Arial Narrow" w:eastAsia="Calibri" w:hAnsi="Arial Narrow" w:cs="Times New Roman"/>
          <w:sz w:val="24"/>
          <w:szCs w:val="24"/>
        </w:rPr>
      </w:pPr>
      <w:r w:rsidRPr="00FC45A6">
        <w:rPr>
          <w:rFonts w:ascii="Arial Narrow" w:eastAsia="Calibri" w:hAnsi="Arial Narrow" w:cs="Times New Roman"/>
          <w:sz w:val="24"/>
          <w:szCs w:val="24"/>
          <w:lang w:val="en-US"/>
        </w:rPr>
        <w:t>The sefa Board</w:t>
      </w:r>
      <w:r w:rsidRPr="0067354E">
        <w:rPr>
          <w:rFonts w:ascii="Arial Narrow" w:eastAsia="Calibri" w:hAnsi="Arial Narrow" w:cs="Times New Roman"/>
          <w:color w:val="FF0000"/>
          <w:sz w:val="24"/>
          <w:szCs w:val="24"/>
          <w:lang w:val="en-US"/>
        </w:rPr>
        <w:t xml:space="preserve"> </w:t>
      </w:r>
      <w:r w:rsidRPr="00FC45A6">
        <w:rPr>
          <w:rFonts w:ascii="Arial Narrow" w:eastAsia="Calibri" w:hAnsi="Arial Narrow" w:cs="Times New Roman"/>
          <w:sz w:val="24"/>
          <w:szCs w:val="24"/>
          <w:lang w:val="en-US"/>
        </w:rPr>
        <w:t>approve</w:t>
      </w:r>
      <w:r w:rsidR="00EF40A5">
        <w:rPr>
          <w:rFonts w:ascii="Arial Narrow" w:eastAsia="Calibri" w:hAnsi="Arial Narrow" w:cs="Times New Roman"/>
          <w:sz w:val="24"/>
          <w:szCs w:val="24"/>
          <w:lang w:val="en-US"/>
        </w:rPr>
        <w:t>s</w:t>
      </w:r>
      <w:r w:rsidRPr="00FC45A6">
        <w:rPr>
          <w:rFonts w:ascii="Arial Narrow" w:eastAsia="Calibri" w:hAnsi="Arial Narrow" w:cs="Times New Roman"/>
          <w:sz w:val="24"/>
          <w:szCs w:val="24"/>
          <w:lang w:val="en-US"/>
        </w:rPr>
        <w:t xml:space="preserve"> the investment guidelines of the Tourism Equity Fund based on the agreed Memorandum of Agreement with the Department of Tourism.</w:t>
      </w:r>
    </w:p>
    <w:p w:rsidR="00F6587C" w:rsidRPr="006C0A46" w:rsidRDefault="004D103B" w:rsidP="00821260">
      <w:pPr>
        <w:pStyle w:val="ListParagraph"/>
        <w:numPr>
          <w:ilvl w:val="0"/>
          <w:numId w:val="3"/>
        </w:numPr>
        <w:pBdr>
          <w:top w:val="nil"/>
          <w:left w:val="nil"/>
          <w:bottom w:val="nil"/>
          <w:right w:val="nil"/>
          <w:between w:val="nil"/>
          <w:bar w:val="nil"/>
        </w:pBdr>
        <w:spacing w:after="0" w:line="276" w:lineRule="auto"/>
        <w:ind w:left="1134" w:hanging="425"/>
        <w:rPr>
          <w:rFonts w:ascii="Arial Narrow" w:eastAsia="Calibri" w:hAnsi="Arial Narrow" w:cs="Times New Roman"/>
          <w:sz w:val="24"/>
          <w:szCs w:val="24"/>
        </w:rPr>
      </w:pPr>
      <w:r w:rsidRPr="006C0A46">
        <w:rPr>
          <w:rFonts w:ascii="Arial Narrow" w:eastAsia="Calibri" w:hAnsi="Arial Narrow" w:cs="Times New Roman"/>
          <w:sz w:val="24"/>
          <w:szCs w:val="24"/>
          <w:lang w:val="en-US"/>
        </w:rPr>
        <w:t xml:space="preserve">A dedicated portfolio management strategy </w:t>
      </w:r>
      <w:r w:rsidR="00FC32EC">
        <w:rPr>
          <w:rFonts w:ascii="Arial Narrow" w:eastAsia="Calibri" w:hAnsi="Arial Narrow" w:cs="Times New Roman"/>
          <w:sz w:val="24"/>
          <w:szCs w:val="24"/>
          <w:lang w:val="en-US"/>
        </w:rPr>
        <w:t>applies</w:t>
      </w:r>
      <w:r w:rsidRPr="006C0A46">
        <w:rPr>
          <w:rFonts w:ascii="Arial Narrow" w:eastAsia="Calibri" w:hAnsi="Arial Narrow" w:cs="Times New Roman"/>
          <w:sz w:val="24"/>
          <w:szCs w:val="24"/>
          <w:lang w:val="en-US"/>
        </w:rPr>
        <w:t xml:space="preserve"> to the ring-fenced fund</w:t>
      </w:r>
      <w:r w:rsidR="00FC32EC">
        <w:rPr>
          <w:rFonts w:ascii="Arial Narrow" w:eastAsia="Calibri" w:hAnsi="Arial Narrow" w:cs="Times New Roman"/>
          <w:sz w:val="24"/>
          <w:szCs w:val="24"/>
          <w:lang w:val="en-US"/>
        </w:rPr>
        <w:t>s</w:t>
      </w:r>
      <w:r w:rsidRPr="006C0A46">
        <w:rPr>
          <w:rFonts w:ascii="Arial Narrow" w:eastAsia="Calibri" w:hAnsi="Arial Narrow" w:cs="Times New Roman"/>
          <w:sz w:val="24"/>
          <w:szCs w:val="24"/>
          <w:lang w:val="en-US"/>
        </w:rPr>
        <w:t xml:space="preserve"> with regards to funding allocation, accounting, and reporting. </w:t>
      </w:r>
    </w:p>
    <w:p w:rsidR="00F6587C" w:rsidRPr="006C0A46" w:rsidRDefault="004D103B" w:rsidP="00821260">
      <w:pPr>
        <w:pStyle w:val="ListParagraph"/>
        <w:numPr>
          <w:ilvl w:val="0"/>
          <w:numId w:val="3"/>
        </w:numPr>
        <w:pBdr>
          <w:top w:val="nil"/>
          <w:left w:val="nil"/>
          <w:bottom w:val="nil"/>
          <w:right w:val="nil"/>
          <w:between w:val="nil"/>
          <w:bar w:val="nil"/>
        </w:pBdr>
        <w:spacing w:after="0" w:line="276" w:lineRule="auto"/>
        <w:ind w:left="1134" w:hanging="425"/>
        <w:rPr>
          <w:rFonts w:ascii="Arial Narrow" w:eastAsia="Calibri" w:hAnsi="Arial Narrow" w:cs="Times New Roman"/>
          <w:sz w:val="24"/>
          <w:szCs w:val="24"/>
        </w:rPr>
      </w:pPr>
      <w:r w:rsidRPr="006C0A46">
        <w:rPr>
          <w:rFonts w:ascii="Arial Narrow" w:eastAsia="Calibri" w:hAnsi="Arial Narrow" w:cs="Times New Roman"/>
          <w:sz w:val="24"/>
          <w:szCs w:val="24"/>
          <w:lang w:val="en-US"/>
        </w:rPr>
        <w:t>sefa will report to the Department of Tourism on a quarterly basis on the performance of the fund as well as consolidate the performance and outcomes of the Fund within its annual financial statements and annual report.</w:t>
      </w:r>
    </w:p>
    <w:p w:rsidR="006D5590" w:rsidRPr="006D5590" w:rsidRDefault="006D5590" w:rsidP="006D5590">
      <w:pPr>
        <w:pStyle w:val="ListParagraph"/>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AE742C" w:rsidRPr="00AE742C" w:rsidRDefault="00821260" w:rsidP="00821260">
      <w:pPr>
        <w:pStyle w:val="ListParagraph"/>
        <w:pBdr>
          <w:top w:val="nil"/>
          <w:left w:val="nil"/>
          <w:bottom w:val="nil"/>
          <w:right w:val="nil"/>
          <w:between w:val="nil"/>
          <w:bar w:val="nil"/>
        </w:pBdr>
        <w:tabs>
          <w:tab w:val="left" w:pos="1134"/>
        </w:tabs>
        <w:spacing w:after="0" w:line="360" w:lineRule="auto"/>
        <w:ind w:left="567" w:hanging="567"/>
        <w:jc w:val="both"/>
        <w:rPr>
          <w:rFonts w:ascii="Arial Narrow" w:hAnsi="Arial Narrow"/>
        </w:rPr>
      </w:pPr>
      <w:r>
        <w:rPr>
          <w:rFonts w:ascii="Arial Narrow" w:eastAsia="Calibri" w:hAnsi="Arial Narrow" w:cs="Times New Roman"/>
          <w:b/>
          <w:sz w:val="24"/>
          <w:szCs w:val="24"/>
          <w:lang w:val="af-ZA"/>
        </w:rPr>
        <w:t>(</w:t>
      </w:r>
      <w:r w:rsidR="00AE742C" w:rsidRPr="00FC45A6">
        <w:rPr>
          <w:rFonts w:ascii="Arial Narrow" w:eastAsia="Calibri" w:hAnsi="Arial Narrow" w:cs="Times New Roman"/>
          <w:b/>
          <w:sz w:val="24"/>
          <w:szCs w:val="24"/>
          <w:lang w:val="af-ZA"/>
        </w:rPr>
        <w:t>b)(i)</w:t>
      </w:r>
      <w:r w:rsidR="006D5590" w:rsidRPr="00FC45A6">
        <w:rPr>
          <w:rFonts w:ascii="Arial Narrow" w:eastAsia="Calibri" w:hAnsi="Arial Narrow" w:cs="Times New Roman"/>
          <w:b/>
          <w:sz w:val="24"/>
          <w:szCs w:val="24"/>
          <w:lang w:val="af-ZA"/>
        </w:rPr>
        <w:tab/>
        <w:t>How will successes and failures be monitored and analysed</w:t>
      </w:r>
      <w:r w:rsidR="006D5590" w:rsidRPr="006D5590">
        <w:rPr>
          <w:rFonts w:ascii="Arial Narrow" w:eastAsia="Calibri" w:hAnsi="Arial Narrow" w:cs="Times New Roman"/>
          <w:sz w:val="24"/>
          <w:szCs w:val="24"/>
          <w:lang w:val="af-ZA"/>
        </w:rPr>
        <w:t>.</w:t>
      </w:r>
      <w:r w:rsidR="00AE742C" w:rsidRPr="00AE742C">
        <w:rPr>
          <w:rFonts w:ascii="Arial Narrow" w:eastAsiaTheme="minorEastAsia" w:hAnsi="Arial Narrow"/>
          <w:color w:val="FFFFFF" w:themeColor="light1"/>
          <w:kern w:val="24"/>
          <w:lang w:val="en-US"/>
        </w:rPr>
        <w:t>lections and Reporting</w:t>
      </w:r>
    </w:p>
    <w:p w:rsidR="007E64FC" w:rsidRDefault="007E64FC" w:rsidP="00821260">
      <w:pPr>
        <w:pStyle w:val="ListParagraph"/>
        <w:numPr>
          <w:ilvl w:val="1"/>
          <w:numId w:val="9"/>
        </w:numPr>
        <w:autoSpaceDE w:val="0"/>
        <w:autoSpaceDN w:val="0"/>
        <w:adjustRightInd w:val="0"/>
        <w:spacing w:after="0" w:line="276" w:lineRule="auto"/>
        <w:ind w:left="1134" w:hanging="425"/>
        <w:jc w:val="both"/>
        <w:rPr>
          <w:rFonts w:ascii="Arial Narrow" w:hAnsi="Arial Narrow" w:cs="Arial"/>
          <w:sz w:val="24"/>
          <w:szCs w:val="24"/>
          <w:lang w:val="en-US" w:eastAsia="en-ZA"/>
        </w:rPr>
      </w:pPr>
      <w:r>
        <w:rPr>
          <w:rFonts w:ascii="Arial Narrow" w:hAnsi="Arial Narrow" w:cs="Arial"/>
          <w:sz w:val="24"/>
          <w:szCs w:val="24"/>
          <w:lang w:val="en-US" w:eastAsia="en-ZA"/>
        </w:rPr>
        <w:lastRenderedPageBreak/>
        <w:t xml:space="preserve">The beneficiaries will also receive non-financial support to ensure support </w:t>
      </w:r>
    </w:p>
    <w:p w:rsidR="00AE742C" w:rsidRPr="00AE742C" w:rsidRDefault="00AE742C" w:rsidP="00821260">
      <w:pPr>
        <w:pStyle w:val="ListParagraph"/>
        <w:numPr>
          <w:ilvl w:val="1"/>
          <w:numId w:val="9"/>
        </w:numPr>
        <w:autoSpaceDE w:val="0"/>
        <w:autoSpaceDN w:val="0"/>
        <w:adjustRightInd w:val="0"/>
        <w:spacing w:after="0" w:line="276" w:lineRule="auto"/>
        <w:ind w:left="1134" w:hanging="425"/>
        <w:jc w:val="both"/>
        <w:rPr>
          <w:rFonts w:ascii="Arial Narrow" w:hAnsi="Arial Narrow" w:cs="Arial"/>
          <w:sz w:val="24"/>
          <w:szCs w:val="24"/>
          <w:lang w:val="en-US" w:eastAsia="en-ZA"/>
        </w:rPr>
      </w:pPr>
      <w:r w:rsidRPr="00AE742C">
        <w:rPr>
          <w:rFonts w:ascii="Arial Narrow" w:hAnsi="Arial Narrow" w:cs="Arial"/>
          <w:sz w:val="24"/>
          <w:szCs w:val="24"/>
          <w:lang w:val="en-US" w:eastAsia="en-ZA"/>
        </w:rPr>
        <w:t>Approved applicants will be monitored for at least three years after final disbursement.</w:t>
      </w:r>
    </w:p>
    <w:p w:rsidR="00AE742C" w:rsidRPr="00AE742C" w:rsidRDefault="00AE742C" w:rsidP="00821260">
      <w:pPr>
        <w:pStyle w:val="ListParagraph"/>
        <w:numPr>
          <w:ilvl w:val="1"/>
          <w:numId w:val="9"/>
        </w:numPr>
        <w:autoSpaceDE w:val="0"/>
        <w:autoSpaceDN w:val="0"/>
        <w:adjustRightInd w:val="0"/>
        <w:spacing w:after="0" w:line="276" w:lineRule="auto"/>
        <w:ind w:left="1134" w:hanging="425"/>
        <w:jc w:val="both"/>
        <w:rPr>
          <w:rFonts w:ascii="Arial Narrow" w:hAnsi="Arial Narrow" w:cs="Arial"/>
          <w:sz w:val="24"/>
          <w:szCs w:val="24"/>
          <w:lang w:val="en-US" w:eastAsia="en-ZA"/>
        </w:rPr>
      </w:pPr>
      <w:r w:rsidRPr="00AE742C">
        <w:rPr>
          <w:rFonts w:ascii="Arial Narrow" w:hAnsi="Arial Narrow" w:cs="Arial"/>
          <w:sz w:val="24"/>
          <w:szCs w:val="24"/>
          <w:lang w:val="en-US" w:eastAsia="en-ZA"/>
        </w:rPr>
        <w:t>Site inspections will be conducted with all the approved applicants at each claim stage before disbursements. A site inspection report will be completed as part of this process.</w:t>
      </w:r>
    </w:p>
    <w:p w:rsidR="00AE742C" w:rsidRPr="00AE742C" w:rsidRDefault="00AE742C" w:rsidP="00821260">
      <w:pPr>
        <w:pStyle w:val="ListParagraph"/>
        <w:numPr>
          <w:ilvl w:val="1"/>
          <w:numId w:val="9"/>
        </w:numPr>
        <w:autoSpaceDE w:val="0"/>
        <w:autoSpaceDN w:val="0"/>
        <w:adjustRightInd w:val="0"/>
        <w:spacing w:after="0" w:line="276" w:lineRule="auto"/>
        <w:ind w:left="1134" w:hanging="425"/>
        <w:jc w:val="both"/>
        <w:rPr>
          <w:rFonts w:ascii="Arial Narrow" w:hAnsi="Arial Narrow" w:cs="Arial"/>
          <w:sz w:val="24"/>
          <w:szCs w:val="24"/>
          <w:lang w:val="en-US" w:eastAsia="en-ZA"/>
        </w:rPr>
      </w:pPr>
      <w:r w:rsidRPr="00AE742C">
        <w:rPr>
          <w:rFonts w:ascii="Arial Narrow" w:hAnsi="Arial Narrow" w:cs="Arial"/>
          <w:sz w:val="24"/>
          <w:szCs w:val="24"/>
          <w:lang w:val="en-US" w:eastAsia="en-ZA"/>
        </w:rPr>
        <w:t>Approved applicants are required to participate and a monitoring report will be completed as part of this process.</w:t>
      </w:r>
    </w:p>
    <w:p w:rsidR="00AE742C" w:rsidRPr="00AE742C" w:rsidRDefault="00AE742C" w:rsidP="00821260">
      <w:pPr>
        <w:pStyle w:val="ListParagraph"/>
        <w:numPr>
          <w:ilvl w:val="1"/>
          <w:numId w:val="9"/>
        </w:numPr>
        <w:autoSpaceDE w:val="0"/>
        <w:autoSpaceDN w:val="0"/>
        <w:adjustRightInd w:val="0"/>
        <w:spacing w:after="0" w:line="276" w:lineRule="auto"/>
        <w:ind w:left="1134" w:hanging="425"/>
        <w:jc w:val="both"/>
        <w:rPr>
          <w:rFonts w:ascii="Arial Narrow" w:hAnsi="Arial Narrow" w:cs="Arial"/>
          <w:sz w:val="24"/>
          <w:szCs w:val="24"/>
          <w:lang w:val="en-US" w:eastAsia="en-ZA"/>
        </w:rPr>
      </w:pPr>
      <w:r w:rsidRPr="00AE742C">
        <w:rPr>
          <w:rFonts w:ascii="Arial Narrow" w:hAnsi="Arial Narrow" w:cs="Arial"/>
          <w:sz w:val="24"/>
          <w:szCs w:val="24"/>
          <w:lang w:val="en-US" w:eastAsia="en-ZA"/>
        </w:rPr>
        <w:t xml:space="preserve">Where </w:t>
      </w:r>
      <w:r w:rsidR="008B2CE6">
        <w:rPr>
          <w:rFonts w:ascii="Arial Narrow" w:hAnsi="Arial Narrow" w:cs="Arial"/>
          <w:sz w:val="24"/>
          <w:szCs w:val="24"/>
          <w:lang w:val="en-US" w:eastAsia="en-ZA"/>
        </w:rPr>
        <w:t>Development Finance Institutions (</w:t>
      </w:r>
      <w:r w:rsidRPr="00AE742C">
        <w:rPr>
          <w:rFonts w:ascii="Arial Narrow" w:hAnsi="Arial Narrow" w:cs="Arial"/>
          <w:sz w:val="24"/>
          <w:szCs w:val="24"/>
          <w:lang w:val="en-US" w:eastAsia="en-ZA"/>
        </w:rPr>
        <w:t>DFIs</w:t>
      </w:r>
      <w:r w:rsidR="008B2CE6">
        <w:rPr>
          <w:rFonts w:ascii="Arial Narrow" w:hAnsi="Arial Narrow" w:cs="Arial"/>
          <w:sz w:val="24"/>
          <w:szCs w:val="24"/>
          <w:lang w:val="en-US" w:eastAsia="en-ZA"/>
        </w:rPr>
        <w:t>)</w:t>
      </w:r>
      <w:r w:rsidRPr="00AE742C">
        <w:rPr>
          <w:rFonts w:ascii="Arial Narrow" w:hAnsi="Arial Narrow" w:cs="Arial"/>
          <w:sz w:val="24"/>
          <w:szCs w:val="24"/>
          <w:lang w:val="en-US" w:eastAsia="en-ZA"/>
        </w:rPr>
        <w:t xml:space="preserve"> or other commercial finance institutions form part of funders for projects, the main DFI / commercial funder must submit bi-annual progress report on all </w:t>
      </w:r>
      <w:r w:rsidR="005D243A">
        <w:rPr>
          <w:rFonts w:ascii="Arial Narrow" w:hAnsi="Arial Narrow" w:cs="Arial"/>
          <w:sz w:val="24"/>
          <w:szCs w:val="24"/>
          <w:lang w:val="en-US" w:eastAsia="en-ZA"/>
        </w:rPr>
        <w:t xml:space="preserve">beneficiaries </w:t>
      </w:r>
      <w:r w:rsidRPr="00AE742C">
        <w:rPr>
          <w:rFonts w:ascii="Arial Narrow" w:hAnsi="Arial Narrow" w:cs="Arial"/>
          <w:sz w:val="24"/>
          <w:szCs w:val="24"/>
          <w:lang w:val="en-US" w:eastAsia="en-ZA"/>
        </w:rPr>
        <w:t>projects funded as part of the TEF for the duration of the fund.</w:t>
      </w:r>
    </w:p>
    <w:p w:rsidR="006D5590" w:rsidRPr="006D5590" w:rsidRDefault="006D5590" w:rsidP="006D5590">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6D5590" w:rsidRDefault="002B4A81" w:rsidP="00930C01">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(ii)</w:t>
      </w:r>
      <w:r w:rsidR="00821260">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a</w:t>
      </w:r>
      <w:r w:rsidRPr="002B4A81">
        <w:rPr>
          <w:rFonts w:ascii="Arial Narrow" w:eastAsia="Calibri" w:hAnsi="Arial Narrow" w:cs="Times New Roman"/>
          <w:sz w:val="24"/>
          <w:szCs w:val="24"/>
          <w:lang w:val="af-ZA"/>
        </w:rPr>
        <w:t>nd</w:t>
      </w:r>
      <w:r w:rsidR="00821260">
        <w:rPr>
          <w:rFonts w:ascii="Arial Narrow" w:eastAsia="Calibri" w:hAnsi="Arial Narrow" w:cs="Times New Roman"/>
          <w:sz w:val="24"/>
          <w:szCs w:val="24"/>
          <w:lang w:val="af-ZA"/>
        </w:rPr>
        <w:t xml:space="preserve">  </w:t>
      </w:r>
      <w:r w:rsidRPr="002B4A81">
        <w:rPr>
          <w:rFonts w:ascii="Arial Narrow" w:eastAsia="Calibri" w:hAnsi="Arial Narrow" w:cs="Times New Roman"/>
          <w:sz w:val="24"/>
          <w:szCs w:val="24"/>
          <w:lang w:val="af-ZA"/>
        </w:rPr>
        <w:t xml:space="preserve"> (iii) </w:t>
      </w:r>
      <w:r w:rsidR="00930C01">
        <w:rPr>
          <w:rFonts w:ascii="Arial Narrow" w:eastAsia="Calibri" w:hAnsi="Arial Narrow" w:cs="Times New Roman"/>
          <w:sz w:val="24"/>
          <w:szCs w:val="24"/>
          <w:lang w:val="af-ZA"/>
        </w:rPr>
        <w:t>Projects will</w:t>
      </w:r>
      <w:r w:rsidR="005D243A">
        <w:rPr>
          <w:rFonts w:ascii="Arial Narrow" w:eastAsia="Calibri" w:hAnsi="Arial Narrow" w:cs="Times New Roman"/>
          <w:sz w:val="24"/>
          <w:szCs w:val="24"/>
          <w:lang w:val="af-ZA"/>
        </w:rPr>
        <w:t xml:space="preserve"> be</w:t>
      </w:r>
      <w:r w:rsidR="00930C01">
        <w:rPr>
          <w:rFonts w:ascii="Arial Narrow" w:eastAsia="Calibri" w:hAnsi="Arial Narrow" w:cs="Times New Roman"/>
          <w:sz w:val="24"/>
          <w:szCs w:val="24"/>
          <w:lang w:val="af-ZA"/>
        </w:rPr>
        <w:t xml:space="preserve"> monitored quartely b</w:t>
      </w:r>
      <w:r w:rsidR="00490C9A">
        <w:rPr>
          <w:rFonts w:ascii="Arial Narrow" w:eastAsia="Calibri" w:hAnsi="Arial Narrow" w:cs="Times New Roman"/>
          <w:sz w:val="24"/>
          <w:szCs w:val="24"/>
          <w:lang w:val="af-ZA"/>
        </w:rPr>
        <w:t>y the D</w:t>
      </w:r>
      <w:r w:rsidR="00821260">
        <w:rPr>
          <w:rFonts w:ascii="Arial Narrow" w:eastAsia="Calibri" w:hAnsi="Arial Narrow" w:cs="Times New Roman"/>
          <w:sz w:val="24"/>
          <w:szCs w:val="24"/>
          <w:lang w:val="af-ZA"/>
        </w:rPr>
        <w:t>epartme</w:t>
      </w:r>
      <w:r w:rsidR="00490C9A">
        <w:rPr>
          <w:rFonts w:ascii="Arial Narrow" w:eastAsia="Calibri" w:hAnsi="Arial Narrow" w:cs="Times New Roman"/>
          <w:sz w:val="24"/>
          <w:szCs w:val="24"/>
          <w:lang w:val="af-ZA"/>
        </w:rPr>
        <w:t>nt</w:t>
      </w:r>
      <w:r w:rsidR="00821260">
        <w:rPr>
          <w:rFonts w:ascii="Arial Narrow" w:eastAsia="Calibri" w:hAnsi="Arial Narrow" w:cs="Times New Roman"/>
          <w:sz w:val="24"/>
          <w:szCs w:val="24"/>
          <w:lang w:val="af-ZA"/>
        </w:rPr>
        <w:t xml:space="preserve"> of Tourism and</w:t>
      </w:r>
      <w:r w:rsidR="00930C01">
        <w:rPr>
          <w:rFonts w:ascii="Arial Narrow" w:eastAsia="Calibri" w:hAnsi="Arial Narrow" w:cs="Times New Roman"/>
          <w:sz w:val="24"/>
          <w:szCs w:val="24"/>
          <w:lang w:val="af-ZA"/>
        </w:rPr>
        <w:t xml:space="preserve"> sefa</w:t>
      </w:r>
      <w:r w:rsidR="00821260">
        <w:rPr>
          <w:rFonts w:ascii="Arial Narrow" w:eastAsia="Calibri" w:hAnsi="Arial Narrow" w:cs="Times New Roman"/>
          <w:sz w:val="24"/>
          <w:szCs w:val="24"/>
          <w:lang w:val="af-ZA"/>
        </w:rPr>
        <w:t>.</w:t>
      </w:r>
    </w:p>
    <w:p w:rsidR="006D5590" w:rsidRDefault="006D5590" w:rsidP="006D5590">
      <w:pPr>
        <w:pBdr>
          <w:top w:val="nil"/>
          <w:left w:val="nil"/>
          <w:bottom w:val="nil"/>
          <w:right w:val="nil"/>
          <w:between w:val="nil"/>
          <w:bar w:val="nil"/>
        </w:pBdr>
        <w:spacing w:after="0" w:line="360" w:lineRule="auto"/>
        <w:ind w:left="1134" w:hanging="567"/>
        <w:jc w:val="both"/>
        <w:rPr>
          <w:rFonts w:ascii="Arial Narrow" w:eastAsia="Calibri" w:hAnsi="Arial Narrow" w:cs="Times New Roman"/>
          <w:sz w:val="24"/>
          <w:szCs w:val="24"/>
          <w:lang w:val="af-ZA"/>
        </w:rPr>
      </w:pPr>
    </w:p>
    <w:p w:rsidR="006D5590" w:rsidRPr="00FC7D24" w:rsidRDefault="00AE742C" w:rsidP="00821260">
      <w:pPr>
        <w:pBdr>
          <w:top w:val="nil"/>
          <w:left w:val="nil"/>
          <w:bottom w:val="nil"/>
          <w:right w:val="nil"/>
          <w:between w:val="nil"/>
          <w:bar w:val="nil"/>
        </w:pBdr>
        <w:spacing w:after="0" w:line="360" w:lineRule="auto"/>
        <w:ind w:left="567" w:hanging="567"/>
        <w:jc w:val="both"/>
        <w:rPr>
          <w:rFonts w:ascii="Arial Narrow" w:eastAsia="Calibri" w:hAnsi="Arial Narrow" w:cs="Times New Roman"/>
          <w:b/>
          <w:color w:val="000000" w:themeColor="text1"/>
          <w:sz w:val="24"/>
          <w:szCs w:val="24"/>
          <w:lang w:val="af-ZA"/>
        </w:rPr>
      </w:pPr>
      <w:r w:rsidRPr="00821260">
        <w:rPr>
          <w:rFonts w:ascii="Arial Narrow" w:eastAsia="Calibri" w:hAnsi="Arial Narrow" w:cs="Times New Roman"/>
          <w:b/>
          <w:sz w:val="24"/>
          <w:szCs w:val="24"/>
          <w:lang w:val="af-ZA"/>
        </w:rPr>
        <w:t>(c)</w:t>
      </w:r>
      <w:r w:rsidRPr="00821260">
        <w:rPr>
          <w:rFonts w:ascii="Arial Narrow" w:eastAsia="Calibri" w:hAnsi="Arial Narrow" w:cs="Times New Roman"/>
          <w:b/>
          <w:sz w:val="24"/>
          <w:szCs w:val="24"/>
          <w:lang w:val="af-ZA"/>
        </w:rPr>
        <w:tab/>
      </w:r>
      <w:r w:rsidR="006D5590" w:rsidRPr="00930C01">
        <w:rPr>
          <w:rFonts w:ascii="Arial Narrow" w:eastAsia="Calibri" w:hAnsi="Arial Narrow" w:cs="Times New Roman"/>
          <w:b/>
          <w:sz w:val="24"/>
          <w:szCs w:val="24"/>
          <w:lang w:val="af-ZA"/>
        </w:rPr>
        <w:t xml:space="preserve">What criteria will be used in the </w:t>
      </w:r>
      <w:r w:rsidR="006D5590" w:rsidRPr="00FC7D24">
        <w:rPr>
          <w:rFonts w:ascii="Arial Narrow" w:eastAsia="Calibri" w:hAnsi="Arial Narrow" w:cs="Times New Roman"/>
          <w:b/>
          <w:color w:val="000000" w:themeColor="text1"/>
          <w:sz w:val="24"/>
          <w:szCs w:val="24"/>
          <w:lang w:val="af-ZA"/>
        </w:rPr>
        <w:t>prioritisation of applications.</w:t>
      </w:r>
    </w:p>
    <w:p w:rsidR="006C0A46" w:rsidRPr="00FC7D24" w:rsidRDefault="006C0A46" w:rsidP="00821260">
      <w:pPr>
        <w:pBdr>
          <w:top w:val="nil"/>
          <w:left w:val="nil"/>
          <w:bottom w:val="nil"/>
          <w:right w:val="nil"/>
          <w:between w:val="nil"/>
          <w:bar w:val="nil"/>
        </w:pBdr>
        <w:spacing w:after="0" w:line="360" w:lineRule="auto"/>
        <w:ind w:left="567"/>
        <w:jc w:val="both"/>
        <w:rPr>
          <w:rFonts w:ascii="Arial Narrow" w:eastAsia="Calibri" w:hAnsi="Arial Narrow" w:cs="Times New Roman"/>
          <w:color w:val="000000" w:themeColor="text1"/>
          <w:sz w:val="24"/>
          <w:szCs w:val="24"/>
        </w:rPr>
      </w:pPr>
      <w:r w:rsidRPr="00FC7D24">
        <w:rPr>
          <w:rFonts w:ascii="Arial Narrow" w:eastAsia="Calibri" w:hAnsi="Arial Narrow" w:cs="Times New Roman"/>
          <w:color w:val="000000" w:themeColor="text1"/>
          <w:sz w:val="24"/>
          <w:szCs w:val="24"/>
          <w:lang w:val="en-GB"/>
        </w:rPr>
        <w:t>The following are the funding requirements:</w:t>
      </w:r>
    </w:p>
    <w:p w:rsidR="00F6587C" w:rsidRPr="006C0A46" w:rsidRDefault="004D103B"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Business Profile</w:t>
      </w:r>
    </w:p>
    <w:p w:rsidR="00F6587C" w:rsidRPr="006C0A46" w:rsidRDefault="006C0A46"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Pr>
          <w:rFonts w:ascii="Arial Narrow" w:eastAsia="Calibri" w:hAnsi="Arial Narrow" w:cs="Times New Roman"/>
          <w:sz w:val="24"/>
          <w:szCs w:val="24"/>
        </w:rPr>
        <w:t xml:space="preserve">BBBEE certificate </w:t>
      </w:r>
      <w:r w:rsidR="004D103B" w:rsidRPr="006C0A46">
        <w:rPr>
          <w:rFonts w:ascii="Arial Narrow" w:eastAsia="Calibri" w:hAnsi="Arial Narrow" w:cs="Times New Roman"/>
          <w:sz w:val="24"/>
          <w:szCs w:val="24"/>
        </w:rPr>
        <w:t xml:space="preserve">or affidavit </w:t>
      </w:r>
    </w:p>
    <w:p w:rsidR="00F6587C" w:rsidRPr="006C0A46" w:rsidRDefault="004D103B"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Company statutory documents</w:t>
      </w:r>
    </w:p>
    <w:p w:rsidR="00F6587C" w:rsidRPr="006C0A46" w:rsidRDefault="004D103B"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lang w:val="en-US"/>
        </w:rPr>
        <w:t>F</w:t>
      </w:r>
      <w:r w:rsidRPr="006C0A46">
        <w:rPr>
          <w:rFonts w:ascii="Arial Narrow" w:eastAsia="Calibri" w:hAnsi="Arial Narrow" w:cs="Times New Roman"/>
          <w:sz w:val="24"/>
          <w:szCs w:val="24"/>
        </w:rPr>
        <w:t>ICA documents</w:t>
      </w:r>
    </w:p>
    <w:p w:rsidR="00F6587C" w:rsidRPr="006C0A46" w:rsidRDefault="004D103B"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Certified ID copies of Directors/Members</w:t>
      </w:r>
    </w:p>
    <w:p w:rsidR="00F6587C" w:rsidRPr="006C0A46" w:rsidRDefault="004D103B"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 xml:space="preserve">12 months bank </w:t>
      </w:r>
      <w:r w:rsidR="00FC7D24" w:rsidRPr="006C0A46">
        <w:rPr>
          <w:rFonts w:ascii="Arial Narrow" w:eastAsia="Calibri" w:hAnsi="Arial Narrow" w:cs="Times New Roman"/>
          <w:sz w:val="24"/>
          <w:szCs w:val="24"/>
        </w:rPr>
        <w:t>statements</w:t>
      </w:r>
      <w:r w:rsidR="00FC7D24">
        <w:rPr>
          <w:rFonts w:ascii="Arial Narrow" w:eastAsia="Calibri" w:hAnsi="Arial Narrow" w:cs="Times New Roman"/>
          <w:sz w:val="24"/>
          <w:szCs w:val="24"/>
        </w:rPr>
        <w:t xml:space="preserve"> </w:t>
      </w:r>
    </w:p>
    <w:p w:rsidR="00F6587C" w:rsidRPr="006C0A46" w:rsidRDefault="004D103B" w:rsidP="00821260">
      <w:pPr>
        <w:numPr>
          <w:ilvl w:val="0"/>
          <w:numId w:val="4"/>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Latest Annual Financial Statements and Management Accounts not older than three months from date of application (Statement of Financial Performance and Statement of Financial Position) – where applicable</w:t>
      </w:r>
    </w:p>
    <w:p w:rsidR="00F6587C" w:rsidRPr="006C0A46" w:rsidRDefault="004D103B" w:rsidP="00821260">
      <w:pPr>
        <w:numPr>
          <w:ilvl w:val="0"/>
          <w:numId w:val="5"/>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5 year Cash Flow Projections (with clear assumptions) – where applicable</w:t>
      </w:r>
    </w:p>
    <w:p w:rsidR="00F6587C" w:rsidRPr="006C0A46" w:rsidRDefault="004D103B" w:rsidP="00821260">
      <w:pPr>
        <w:numPr>
          <w:ilvl w:val="0"/>
          <w:numId w:val="5"/>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sidRPr="006C0A46">
        <w:rPr>
          <w:rFonts w:ascii="Arial Narrow" w:eastAsia="Calibri" w:hAnsi="Arial Narrow" w:cs="Times New Roman"/>
          <w:sz w:val="24"/>
          <w:szCs w:val="24"/>
        </w:rPr>
        <w:t>Relevant industry certification – where applicable</w:t>
      </w:r>
    </w:p>
    <w:p w:rsidR="00F6587C" w:rsidRPr="006C0A46" w:rsidRDefault="00930C01" w:rsidP="00821260">
      <w:pPr>
        <w:numPr>
          <w:ilvl w:val="0"/>
          <w:numId w:val="5"/>
        </w:numPr>
        <w:pBdr>
          <w:top w:val="nil"/>
          <w:left w:val="nil"/>
          <w:bottom w:val="nil"/>
          <w:right w:val="nil"/>
          <w:between w:val="nil"/>
          <w:bar w:val="nil"/>
        </w:pBdr>
        <w:tabs>
          <w:tab w:val="clear" w:pos="720"/>
        </w:tabs>
        <w:spacing w:after="0" w:line="276" w:lineRule="auto"/>
        <w:ind w:left="1134" w:hanging="425"/>
        <w:jc w:val="both"/>
        <w:rPr>
          <w:rFonts w:ascii="Arial Narrow" w:eastAsia="Calibri" w:hAnsi="Arial Narrow" w:cs="Times New Roman"/>
          <w:sz w:val="24"/>
          <w:szCs w:val="24"/>
        </w:rPr>
      </w:pPr>
      <w:r>
        <w:rPr>
          <w:rFonts w:ascii="Arial Narrow" w:eastAsia="Calibri" w:hAnsi="Arial Narrow" w:cs="Times New Roman"/>
          <w:sz w:val="24"/>
          <w:szCs w:val="24"/>
        </w:rPr>
        <w:t>Facility Statements of other f</w:t>
      </w:r>
      <w:r w:rsidR="004D103B" w:rsidRPr="006C0A46">
        <w:rPr>
          <w:rFonts w:ascii="Arial Narrow" w:eastAsia="Calibri" w:hAnsi="Arial Narrow" w:cs="Times New Roman"/>
          <w:sz w:val="24"/>
          <w:szCs w:val="24"/>
        </w:rPr>
        <w:t>unders – where applicable</w:t>
      </w:r>
    </w:p>
    <w:p w:rsidR="006D5590" w:rsidRDefault="006D5590" w:rsidP="006D5590">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p>
    <w:p w:rsidR="00821260" w:rsidRDefault="00821260" w:rsidP="006D5590">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p>
    <w:p w:rsidR="00821260" w:rsidRDefault="00821260" w:rsidP="006D5590">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p>
    <w:p w:rsidR="006D5590" w:rsidRPr="00E64CDC" w:rsidRDefault="00AE742C" w:rsidP="00821260">
      <w:pPr>
        <w:pBdr>
          <w:top w:val="nil"/>
          <w:left w:val="nil"/>
          <w:bottom w:val="nil"/>
          <w:right w:val="nil"/>
          <w:between w:val="nil"/>
          <w:bar w:val="nil"/>
        </w:pBdr>
        <w:spacing w:after="0" w:line="360" w:lineRule="auto"/>
        <w:ind w:left="567" w:hanging="567"/>
        <w:jc w:val="both"/>
        <w:rPr>
          <w:rFonts w:ascii="Arial Narrow" w:eastAsia="Calibri" w:hAnsi="Arial Narrow" w:cs="Times New Roman"/>
          <w:b/>
          <w:sz w:val="24"/>
          <w:szCs w:val="24"/>
          <w:lang w:val="af-ZA"/>
        </w:rPr>
      </w:pPr>
      <w:r w:rsidRPr="00821260">
        <w:rPr>
          <w:rFonts w:ascii="Arial Narrow" w:eastAsia="Calibri" w:hAnsi="Arial Narrow" w:cs="Times New Roman"/>
          <w:b/>
          <w:sz w:val="24"/>
          <w:szCs w:val="24"/>
          <w:lang w:val="af-ZA"/>
        </w:rPr>
        <w:t>(d)</w:t>
      </w:r>
      <w:r>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ab/>
      </w:r>
      <w:r w:rsidR="006D5590" w:rsidRPr="00E64CDC">
        <w:rPr>
          <w:rFonts w:ascii="Arial Narrow" w:eastAsia="Calibri" w:hAnsi="Arial Narrow" w:cs="Times New Roman"/>
          <w:b/>
          <w:sz w:val="24"/>
          <w:szCs w:val="24"/>
          <w:lang w:val="af-ZA"/>
        </w:rPr>
        <w:t>What minimal qualifications must applicants to the fund have to qualify.</w:t>
      </w:r>
    </w:p>
    <w:p w:rsidR="006C0A46" w:rsidRPr="00E64CDC" w:rsidRDefault="006C0A46" w:rsidP="00821260">
      <w:pPr>
        <w:pStyle w:val="ListParagraph"/>
        <w:numPr>
          <w:ilvl w:val="0"/>
          <w:numId w:val="6"/>
        </w:numPr>
        <w:pBdr>
          <w:top w:val="nil"/>
          <w:left w:val="nil"/>
          <w:bottom w:val="nil"/>
          <w:right w:val="nil"/>
          <w:between w:val="nil"/>
          <w:bar w:val="nil"/>
        </w:pBdr>
        <w:spacing w:after="0" w:line="276" w:lineRule="auto"/>
        <w:ind w:left="1134" w:hanging="425"/>
        <w:jc w:val="both"/>
        <w:rPr>
          <w:rFonts w:ascii="Arial Narrow" w:eastAsia="Calibri" w:hAnsi="Arial Narrow" w:cs="Times New Roman"/>
          <w:sz w:val="24"/>
          <w:szCs w:val="24"/>
        </w:rPr>
      </w:pPr>
      <w:r w:rsidRPr="00E64CDC">
        <w:rPr>
          <w:rFonts w:ascii="Arial Narrow" w:eastAsia="Calibri" w:hAnsi="Arial Narrow" w:cs="Times New Roman"/>
          <w:sz w:val="24"/>
          <w:szCs w:val="24"/>
        </w:rPr>
        <w:t>Be a registered legal entity in South Africa in terms of the Companies Act, 1973 (as amended); Close Corporations Act, 1984 (as amended); and the Cooperatives Act, 2005 (as amended)</w:t>
      </w:r>
    </w:p>
    <w:p w:rsidR="006C0A46" w:rsidRPr="00E64CDC" w:rsidRDefault="006C0A46" w:rsidP="00821260">
      <w:pPr>
        <w:pStyle w:val="ListParagraph"/>
        <w:numPr>
          <w:ilvl w:val="0"/>
          <w:numId w:val="6"/>
        </w:numPr>
        <w:pBdr>
          <w:top w:val="nil"/>
          <w:left w:val="nil"/>
          <w:bottom w:val="nil"/>
          <w:right w:val="nil"/>
          <w:between w:val="nil"/>
          <w:bar w:val="nil"/>
        </w:pBdr>
        <w:spacing w:after="0" w:line="276" w:lineRule="auto"/>
        <w:ind w:left="1134" w:hanging="425"/>
        <w:jc w:val="both"/>
        <w:rPr>
          <w:rFonts w:ascii="Arial Narrow" w:eastAsia="Calibri" w:hAnsi="Arial Narrow" w:cs="Times New Roman"/>
          <w:sz w:val="24"/>
          <w:szCs w:val="24"/>
        </w:rPr>
      </w:pPr>
      <w:r w:rsidRPr="00E64CDC">
        <w:rPr>
          <w:rFonts w:ascii="Arial Narrow" w:eastAsia="Calibri" w:hAnsi="Arial Narrow" w:cs="Times New Roman"/>
          <w:sz w:val="24"/>
          <w:szCs w:val="24"/>
        </w:rPr>
        <w:t>Be 100% owned by South African citizens.</w:t>
      </w:r>
    </w:p>
    <w:p w:rsidR="006C0A46" w:rsidRPr="00E64CDC" w:rsidRDefault="006C0A46" w:rsidP="00821260">
      <w:pPr>
        <w:pStyle w:val="ListParagraph"/>
        <w:numPr>
          <w:ilvl w:val="0"/>
          <w:numId w:val="6"/>
        </w:numPr>
        <w:pBdr>
          <w:top w:val="nil"/>
          <w:left w:val="nil"/>
          <w:bottom w:val="nil"/>
          <w:right w:val="nil"/>
          <w:between w:val="nil"/>
          <w:bar w:val="nil"/>
        </w:pBdr>
        <w:spacing w:after="0" w:line="276" w:lineRule="auto"/>
        <w:ind w:left="1134" w:hanging="425"/>
        <w:jc w:val="both"/>
        <w:rPr>
          <w:rFonts w:ascii="Arial Narrow" w:eastAsia="Calibri" w:hAnsi="Arial Narrow" w:cs="Times New Roman"/>
          <w:sz w:val="24"/>
          <w:szCs w:val="24"/>
          <w:lang w:val="en-US"/>
        </w:rPr>
      </w:pPr>
      <w:r w:rsidRPr="00E64CDC">
        <w:rPr>
          <w:rFonts w:ascii="Arial Narrow" w:eastAsia="Calibri" w:hAnsi="Arial Narrow" w:cs="Times New Roman"/>
          <w:sz w:val="24"/>
          <w:szCs w:val="24"/>
          <w:lang w:val="en-US"/>
        </w:rPr>
        <w:t>Be predominantly black-owned (51%).</w:t>
      </w:r>
    </w:p>
    <w:p w:rsidR="006C0A46" w:rsidRPr="00E64CDC" w:rsidRDefault="006C0A46" w:rsidP="00821260">
      <w:pPr>
        <w:pStyle w:val="ListParagraph"/>
        <w:numPr>
          <w:ilvl w:val="0"/>
          <w:numId w:val="6"/>
        </w:numPr>
        <w:pBdr>
          <w:top w:val="nil"/>
          <w:left w:val="nil"/>
          <w:bottom w:val="nil"/>
          <w:right w:val="nil"/>
          <w:between w:val="nil"/>
          <w:bar w:val="nil"/>
        </w:pBdr>
        <w:spacing w:after="0" w:line="276" w:lineRule="auto"/>
        <w:ind w:left="1134" w:hanging="425"/>
        <w:jc w:val="both"/>
        <w:rPr>
          <w:rFonts w:ascii="Arial Narrow" w:eastAsia="Calibri" w:hAnsi="Arial Narrow" w:cs="Times New Roman"/>
          <w:sz w:val="24"/>
          <w:szCs w:val="24"/>
        </w:rPr>
      </w:pPr>
      <w:r w:rsidRPr="00E64CDC">
        <w:rPr>
          <w:rFonts w:ascii="Arial Narrow" w:eastAsia="Calibri" w:hAnsi="Arial Narrow" w:cs="Times New Roman"/>
          <w:sz w:val="24"/>
          <w:szCs w:val="24"/>
          <w:lang w:val="en-US"/>
        </w:rPr>
        <w:t>Be registered and compliant with the South African Revenue Service</w:t>
      </w:r>
      <w:r w:rsidR="00821260">
        <w:rPr>
          <w:rFonts w:ascii="Arial Narrow" w:eastAsia="Calibri" w:hAnsi="Arial Narrow" w:cs="Times New Roman"/>
          <w:sz w:val="24"/>
          <w:szCs w:val="24"/>
          <w:lang w:val="en-US"/>
        </w:rPr>
        <w:t>.</w:t>
      </w:r>
    </w:p>
    <w:p w:rsidR="006C0A46" w:rsidRPr="00E64CDC" w:rsidRDefault="006C0A46" w:rsidP="00821260">
      <w:pPr>
        <w:pStyle w:val="ListParagraph"/>
        <w:numPr>
          <w:ilvl w:val="0"/>
          <w:numId w:val="6"/>
        </w:numPr>
        <w:pBdr>
          <w:top w:val="nil"/>
          <w:left w:val="nil"/>
          <w:bottom w:val="nil"/>
          <w:right w:val="nil"/>
          <w:between w:val="nil"/>
          <w:bar w:val="nil"/>
        </w:pBdr>
        <w:spacing w:after="0" w:line="276" w:lineRule="auto"/>
        <w:ind w:left="1134" w:hanging="425"/>
        <w:jc w:val="both"/>
        <w:rPr>
          <w:rFonts w:ascii="Arial Narrow" w:eastAsia="Calibri" w:hAnsi="Arial Narrow" w:cs="Times New Roman"/>
          <w:sz w:val="24"/>
          <w:szCs w:val="24"/>
        </w:rPr>
      </w:pPr>
      <w:r w:rsidRPr="00E64CDC">
        <w:rPr>
          <w:rFonts w:ascii="Arial Narrow" w:eastAsia="Calibri" w:hAnsi="Arial Narrow" w:cs="Times New Roman"/>
          <w:sz w:val="24"/>
          <w:szCs w:val="24"/>
          <w:lang w:val="en-US"/>
        </w:rPr>
        <w:t xml:space="preserve">Be majority </w:t>
      </w:r>
      <w:r w:rsidRPr="00E64CDC">
        <w:rPr>
          <w:rFonts w:ascii="Arial Narrow" w:eastAsia="Calibri" w:hAnsi="Arial Narrow" w:cs="Times New Roman"/>
          <w:sz w:val="24"/>
          <w:szCs w:val="24"/>
          <w:lang w:val="en-GB"/>
        </w:rPr>
        <w:t>black owner-managed and controlled.</w:t>
      </w:r>
    </w:p>
    <w:p w:rsidR="006C0A46" w:rsidRPr="00E64CDC" w:rsidRDefault="00835856" w:rsidP="00821260">
      <w:pPr>
        <w:pStyle w:val="ListParagraph"/>
        <w:numPr>
          <w:ilvl w:val="0"/>
          <w:numId w:val="6"/>
        </w:numPr>
        <w:pBdr>
          <w:top w:val="nil"/>
          <w:left w:val="nil"/>
          <w:bottom w:val="nil"/>
          <w:right w:val="nil"/>
          <w:between w:val="nil"/>
          <w:bar w:val="nil"/>
        </w:pBdr>
        <w:spacing w:after="0" w:line="276" w:lineRule="auto"/>
        <w:ind w:left="1134" w:hanging="425"/>
        <w:jc w:val="both"/>
        <w:rPr>
          <w:rFonts w:ascii="Arial Narrow" w:eastAsia="Calibri" w:hAnsi="Arial Narrow" w:cs="Times New Roman"/>
          <w:sz w:val="24"/>
          <w:szCs w:val="24"/>
        </w:rPr>
      </w:pPr>
      <w:r w:rsidRPr="00E64CDC">
        <w:rPr>
          <w:rFonts w:ascii="Arial Narrow" w:eastAsia="Calibri" w:hAnsi="Arial Narrow" w:cs="Times New Roman"/>
          <w:sz w:val="24"/>
          <w:szCs w:val="24"/>
          <w:lang w:val="en-GB"/>
        </w:rPr>
        <w:t>Operate</w:t>
      </w:r>
      <w:r w:rsidR="006C0A46" w:rsidRPr="00E64CDC">
        <w:rPr>
          <w:rFonts w:ascii="Arial Narrow" w:eastAsia="Calibri" w:hAnsi="Arial Narrow" w:cs="Times New Roman"/>
          <w:sz w:val="24"/>
          <w:szCs w:val="24"/>
          <w:lang w:val="en-GB"/>
        </w:rPr>
        <w:t xml:space="preserve"> in the qualifying sectors.</w:t>
      </w:r>
    </w:p>
    <w:p w:rsidR="006D5590" w:rsidRPr="006D5590" w:rsidRDefault="006D5590" w:rsidP="006C0A46">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8B4534" w:rsidRDefault="00AE742C" w:rsidP="00821260">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821260">
        <w:rPr>
          <w:rFonts w:ascii="Arial Narrow" w:eastAsia="Calibri" w:hAnsi="Arial Narrow" w:cs="Times New Roman"/>
          <w:b/>
          <w:sz w:val="24"/>
          <w:szCs w:val="24"/>
          <w:lang w:val="af-ZA"/>
        </w:rPr>
        <w:t>(e)</w:t>
      </w:r>
      <w:r>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ab/>
      </w:r>
      <w:r w:rsidR="00E64CDC">
        <w:rPr>
          <w:rFonts w:ascii="Arial Narrow" w:eastAsia="Calibri" w:hAnsi="Arial Narrow" w:cs="Times New Roman"/>
          <w:sz w:val="24"/>
          <w:szCs w:val="24"/>
          <w:lang w:val="af-ZA"/>
        </w:rPr>
        <w:t xml:space="preserve">The fund will be administer by the </w:t>
      </w:r>
      <w:r w:rsidR="006C0A46">
        <w:rPr>
          <w:rFonts w:ascii="Arial Narrow" w:eastAsia="Calibri" w:hAnsi="Arial Narrow" w:cs="Times New Roman"/>
          <w:sz w:val="24"/>
          <w:szCs w:val="24"/>
          <w:lang w:val="af-ZA"/>
        </w:rPr>
        <w:t xml:space="preserve">Small Enteprise Financial Agency </w:t>
      </w:r>
      <w:r w:rsidR="00400F0C">
        <w:rPr>
          <w:rFonts w:ascii="Arial Narrow" w:eastAsia="Calibri" w:hAnsi="Arial Narrow" w:cs="Times New Roman"/>
          <w:sz w:val="24"/>
          <w:szCs w:val="24"/>
          <w:lang w:val="af-ZA"/>
        </w:rPr>
        <w:t>(sefa)</w:t>
      </w: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28" w:rsidRDefault="00AA2828">
      <w:pPr>
        <w:spacing w:after="0" w:line="240" w:lineRule="auto"/>
      </w:pPr>
      <w:r>
        <w:separator/>
      </w:r>
    </w:p>
  </w:endnote>
  <w:endnote w:type="continuationSeparator" w:id="0">
    <w:p w:rsidR="00AA2828" w:rsidRDefault="00AA2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A176DC" w:rsidP="002F279D">
        <w:pPr>
          <w:pStyle w:val="Footer"/>
          <w:tabs>
            <w:tab w:val="clear" w:pos="4513"/>
            <w:tab w:val="center" w:pos="5103"/>
          </w:tabs>
          <w:jc w:val="right"/>
          <w:rPr>
            <w:rFonts w:ascii="Arial Narrow" w:hAnsi="Arial Narrow"/>
          </w:rPr>
        </w:pPr>
        <w:r>
          <w:rPr>
            <w:rFonts w:ascii="Arial Narrow" w:hAnsi="Arial Narrow"/>
            <w:sz w:val="18"/>
            <w:szCs w:val="18"/>
          </w:rPr>
          <w:t>2</w:t>
        </w:r>
        <w:r w:rsidR="006D5590">
          <w:rPr>
            <w:rFonts w:ascii="Arial Narrow" w:hAnsi="Arial Narrow"/>
            <w:sz w:val="18"/>
            <w:szCs w:val="18"/>
          </w:rPr>
          <w:t>12</w:t>
        </w:r>
        <w:r w:rsidR="00504917" w:rsidRPr="00504917">
          <w:rPr>
            <w:rFonts w:ascii="Arial Narrow" w:hAnsi="Arial Narrow"/>
            <w:sz w:val="18"/>
            <w:szCs w:val="18"/>
          </w:rPr>
          <w:t xml:space="preserve"> (NW</w:t>
        </w:r>
        <w:r w:rsidR="006D5590">
          <w:rPr>
            <w:rFonts w:ascii="Arial Narrow" w:hAnsi="Arial Narrow"/>
            <w:sz w:val="18"/>
            <w:szCs w:val="18"/>
          </w:rPr>
          <w:t>215</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A76C5" w:rsidRPr="00013AC6">
          <w:rPr>
            <w:rFonts w:ascii="Arial Narrow" w:hAnsi="Arial Narrow"/>
          </w:rPr>
          <w:fldChar w:fldCharType="begin"/>
        </w:r>
        <w:r w:rsidR="00013AC6" w:rsidRPr="00013AC6">
          <w:rPr>
            <w:rFonts w:ascii="Arial Narrow" w:hAnsi="Arial Narrow"/>
          </w:rPr>
          <w:instrText xml:space="preserve"> PAGE   \* MERGEFORMAT </w:instrText>
        </w:r>
        <w:r w:rsidR="000A76C5" w:rsidRPr="00013AC6">
          <w:rPr>
            <w:rFonts w:ascii="Arial Narrow" w:hAnsi="Arial Narrow"/>
          </w:rPr>
          <w:fldChar w:fldCharType="separate"/>
        </w:r>
        <w:r w:rsidR="00F86469">
          <w:rPr>
            <w:rFonts w:ascii="Arial Narrow" w:hAnsi="Arial Narrow"/>
            <w:noProof/>
          </w:rPr>
          <w:t>2</w:t>
        </w:r>
        <w:r w:rsidR="000A76C5"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AA282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AA2828">
    <w:pPr>
      <w:pStyle w:val="Footer"/>
      <w:jc w:val="right"/>
    </w:pPr>
  </w:p>
  <w:p w:rsidR="001656DE" w:rsidRPr="006016C0" w:rsidRDefault="006D5590" w:rsidP="006016C0">
    <w:pPr>
      <w:pStyle w:val="HeaderFooter"/>
      <w:jc w:val="center"/>
      <w:rPr>
        <w:rFonts w:ascii="Arial Narrow" w:hAnsi="Arial Narrow"/>
        <w:sz w:val="18"/>
        <w:szCs w:val="18"/>
      </w:rPr>
    </w:pPr>
    <w:r>
      <w:rPr>
        <w:rFonts w:ascii="Arial Narrow" w:hAnsi="Arial Narrow"/>
        <w:sz w:val="18"/>
        <w:szCs w:val="18"/>
      </w:rPr>
      <w:t>212</w:t>
    </w:r>
    <w:r w:rsidR="00D100A6">
      <w:rPr>
        <w:rFonts w:ascii="Arial Narrow" w:hAnsi="Arial Narrow"/>
        <w:sz w:val="18"/>
        <w:szCs w:val="18"/>
      </w:rPr>
      <w:t xml:space="preserve"> (NW</w:t>
    </w:r>
    <w:r w:rsidR="00A176DC">
      <w:rPr>
        <w:rFonts w:ascii="Arial Narrow" w:hAnsi="Arial Narrow"/>
        <w:sz w:val="18"/>
        <w:szCs w:val="18"/>
      </w:rPr>
      <w:t>2</w:t>
    </w:r>
    <w:r>
      <w:rPr>
        <w:rFonts w:ascii="Arial Narrow" w:hAnsi="Arial Narrow"/>
        <w:sz w:val="18"/>
        <w:szCs w:val="18"/>
      </w:rPr>
      <w:t>15</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28" w:rsidRDefault="00AA2828">
      <w:pPr>
        <w:spacing w:after="0" w:line="240" w:lineRule="auto"/>
      </w:pPr>
      <w:r>
        <w:separator/>
      </w:r>
    </w:p>
  </w:footnote>
  <w:footnote w:type="continuationSeparator" w:id="0">
    <w:p w:rsidR="00AA2828" w:rsidRDefault="00AA2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BC1"/>
    <w:multiLevelType w:val="hybridMultilevel"/>
    <w:tmpl w:val="CBB45B0E"/>
    <w:lvl w:ilvl="0" w:tplc="1C090001">
      <w:start w:val="1"/>
      <w:numFmt w:val="bullet"/>
      <w:lvlText w:val=""/>
      <w:lvlJc w:val="left"/>
      <w:pPr>
        <w:tabs>
          <w:tab w:val="num" w:pos="720"/>
        </w:tabs>
        <w:ind w:left="720" w:hanging="360"/>
      </w:pPr>
      <w:rPr>
        <w:rFonts w:ascii="Symbol" w:hAnsi="Symbol" w:hint="default"/>
      </w:rPr>
    </w:lvl>
    <w:lvl w:ilvl="1" w:tplc="883E1B7A" w:tentative="1">
      <w:start w:val="1"/>
      <w:numFmt w:val="lowerLetter"/>
      <w:lvlText w:val="%2."/>
      <w:lvlJc w:val="left"/>
      <w:pPr>
        <w:tabs>
          <w:tab w:val="num" w:pos="1440"/>
        </w:tabs>
        <w:ind w:left="1440" w:hanging="360"/>
      </w:pPr>
    </w:lvl>
    <w:lvl w:ilvl="2" w:tplc="9D78B242" w:tentative="1">
      <w:start w:val="1"/>
      <w:numFmt w:val="lowerLetter"/>
      <w:lvlText w:val="%3."/>
      <w:lvlJc w:val="left"/>
      <w:pPr>
        <w:tabs>
          <w:tab w:val="num" w:pos="2160"/>
        </w:tabs>
        <w:ind w:left="2160" w:hanging="360"/>
      </w:pPr>
    </w:lvl>
    <w:lvl w:ilvl="3" w:tplc="23FCEFC8" w:tentative="1">
      <w:start w:val="1"/>
      <w:numFmt w:val="lowerLetter"/>
      <w:lvlText w:val="%4."/>
      <w:lvlJc w:val="left"/>
      <w:pPr>
        <w:tabs>
          <w:tab w:val="num" w:pos="2880"/>
        </w:tabs>
        <w:ind w:left="2880" w:hanging="360"/>
      </w:pPr>
    </w:lvl>
    <w:lvl w:ilvl="4" w:tplc="74C2B9E0" w:tentative="1">
      <w:start w:val="1"/>
      <w:numFmt w:val="lowerLetter"/>
      <w:lvlText w:val="%5."/>
      <w:lvlJc w:val="left"/>
      <w:pPr>
        <w:tabs>
          <w:tab w:val="num" w:pos="3600"/>
        </w:tabs>
        <w:ind w:left="3600" w:hanging="360"/>
      </w:pPr>
    </w:lvl>
    <w:lvl w:ilvl="5" w:tplc="770EF256" w:tentative="1">
      <w:start w:val="1"/>
      <w:numFmt w:val="lowerLetter"/>
      <w:lvlText w:val="%6."/>
      <w:lvlJc w:val="left"/>
      <w:pPr>
        <w:tabs>
          <w:tab w:val="num" w:pos="4320"/>
        </w:tabs>
        <w:ind w:left="4320" w:hanging="360"/>
      </w:pPr>
    </w:lvl>
    <w:lvl w:ilvl="6" w:tplc="7898E0A0" w:tentative="1">
      <w:start w:val="1"/>
      <w:numFmt w:val="lowerLetter"/>
      <w:lvlText w:val="%7."/>
      <w:lvlJc w:val="left"/>
      <w:pPr>
        <w:tabs>
          <w:tab w:val="num" w:pos="5040"/>
        </w:tabs>
        <w:ind w:left="5040" w:hanging="360"/>
      </w:pPr>
    </w:lvl>
    <w:lvl w:ilvl="7" w:tplc="E13E8450" w:tentative="1">
      <w:start w:val="1"/>
      <w:numFmt w:val="lowerLetter"/>
      <w:lvlText w:val="%8."/>
      <w:lvlJc w:val="left"/>
      <w:pPr>
        <w:tabs>
          <w:tab w:val="num" w:pos="5760"/>
        </w:tabs>
        <w:ind w:left="5760" w:hanging="360"/>
      </w:pPr>
    </w:lvl>
    <w:lvl w:ilvl="8" w:tplc="79C4F97C" w:tentative="1">
      <w:start w:val="1"/>
      <w:numFmt w:val="lowerLetter"/>
      <w:lvlText w:val="%9."/>
      <w:lvlJc w:val="left"/>
      <w:pPr>
        <w:tabs>
          <w:tab w:val="num" w:pos="6480"/>
        </w:tabs>
        <w:ind w:left="6480" w:hanging="360"/>
      </w:pPr>
    </w:lvl>
  </w:abstractNum>
  <w:abstractNum w:abstractNumId="1">
    <w:nsid w:val="0AFB7B55"/>
    <w:multiLevelType w:val="hybridMultilevel"/>
    <w:tmpl w:val="89342DEE"/>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4F055C2"/>
    <w:multiLevelType w:val="hybridMultilevel"/>
    <w:tmpl w:val="701A22BE"/>
    <w:lvl w:ilvl="0" w:tplc="1C090001">
      <w:start w:val="1"/>
      <w:numFmt w:val="bullet"/>
      <w:lvlText w:val=""/>
      <w:lvlJc w:val="left"/>
      <w:pPr>
        <w:tabs>
          <w:tab w:val="num" w:pos="720"/>
        </w:tabs>
        <w:ind w:left="720" w:hanging="360"/>
      </w:pPr>
      <w:rPr>
        <w:rFonts w:ascii="Symbol" w:hAnsi="Symbol" w:hint="default"/>
      </w:rPr>
    </w:lvl>
    <w:lvl w:ilvl="1" w:tplc="883E1B7A" w:tentative="1">
      <w:start w:val="1"/>
      <w:numFmt w:val="lowerLetter"/>
      <w:lvlText w:val="%2."/>
      <w:lvlJc w:val="left"/>
      <w:pPr>
        <w:tabs>
          <w:tab w:val="num" w:pos="1440"/>
        </w:tabs>
        <w:ind w:left="1440" w:hanging="360"/>
      </w:pPr>
    </w:lvl>
    <w:lvl w:ilvl="2" w:tplc="9D78B242" w:tentative="1">
      <w:start w:val="1"/>
      <w:numFmt w:val="lowerLetter"/>
      <w:lvlText w:val="%3."/>
      <w:lvlJc w:val="left"/>
      <w:pPr>
        <w:tabs>
          <w:tab w:val="num" w:pos="2160"/>
        </w:tabs>
        <w:ind w:left="2160" w:hanging="360"/>
      </w:pPr>
    </w:lvl>
    <w:lvl w:ilvl="3" w:tplc="23FCEFC8" w:tentative="1">
      <w:start w:val="1"/>
      <w:numFmt w:val="lowerLetter"/>
      <w:lvlText w:val="%4."/>
      <w:lvlJc w:val="left"/>
      <w:pPr>
        <w:tabs>
          <w:tab w:val="num" w:pos="2880"/>
        </w:tabs>
        <w:ind w:left="2880" w:hanging="360"/>
      </w:pPr>
    </w:lvl>
    <w:lvl w:ilvl="4" w:tplc="74C2B9E0" w:tentative="1">
      <w:start w:val="1"/>
      <w:numFmt w:val="lowerLetter"/>
      <w:lvlText w:val="%5."/>
      <w:lvlJc w:val="left"/>
      <w:pPr>
        <w:tabs>
          <w:tab w:val="num" w:pos="3600"/>
        </w:tabs>
        <w:ind w:left="3600" w:hanging="360"/>
      </w:pPr>
    </w:lvl>
    <w:lvl w:ilvl="5" w:tplc="770EF256" w:tentative="1">
      <w:start w:val="1"/>
      <w:numFmt w:val="lowerLetter"/>
      <w:lvlText w:val="%6."/>
      <w:lvlJc w:val="left"/>
      <w:pPr>
        <w:tabs>
          <w:tab w:val="num" w:pos="4320"/>
        </w:tabs>
        <w:ind w:left="4320" w:hanging="360"/>
      </w:pPr>
    </w:lvl>
    <w:lvl w:ilvl="6" w:tplc="7898E0A0" w:tentative="1">
      <w:start w:val="1"/>
      <w:numFmt w:val="lowerLetter"/>
      <w:lvlText w:val="%7."/>
      <w:lvlJc w:val="left"/>
      <w:pPr>
        <w:tabs>
          <w:tab w:val="num" w:pos="5040"/>
        </w:tabs>
        <w:ind w:left="5040" w:hanging="360"/>
      </w:pPr>
    </w:lvl>
    <w:lvl w:ilvl="7" w:tplc="E13E8450" w:tentative="1">
      <w:start w:val="1"/>
      <w:numFmt w:val="lowerLetter"/>
      <w:lvlText w:val="%8."/>
      <w:lvlJc w:val="left"/>
      <w:pPr>
        <w:tabs>
          <w:tab w:val="num" w:pos="5760"/>
        </w:tabs>
        <w:ind w:left="5760" w:hanging="360"/>
      </w:pPr>
    </w:lvl>
    <w:lvl w:ilvl="8" w:tplc="79C4F97C" w:tentative="1">
      <w:start w:val="1"/>
      <w:numFmt w:val="lowerLetter"/>
      <w:lvlText w:val="%9."/>
      <w:lvlJc w:val="left"/>
      <w:pPr>
        <w:tabs>
          <w:tab w:val="num" w:pos="6480"/>
        </w:tabs>
        <w:ind w:left="6480" w:hanging="360"/>
      </w:pPr>
    </w:lvl>
  </w:abstractNum>
  <w:abstractNum w:abstractNumId="3">
    <w:nsid w:val="251309BE"/>
    <w:multiLevelType w:val="hybridMultilevel"/>
    <w:tmpl w:val="C75A5AC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4511AD"/>
    <w:multiLevelType w:val="hybridMultilevel"/>
    <w:tmpl w:val="2B18AC3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C246409"/>
    <w:multiLevelType w:val="hybridMultilevel"/>
    <w:tmpl w:val="0870E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53E1A29"/>
    <w:multiLevelType w:val="hybridMultilevel"/>
    <w:tmpl w:val="817288D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8E6474"/>
    <w:multiLevelType w:val="hybridMultilevel"/>
    <w:tmpl w:val="EF621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7A00BCF"/>
    <w:multiLevelType w:val="hybridMultilevel"/>
    <w:tmpl w:val="5BB48E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8"/>
  </w:num>
  <w:num w:numId="8">
    <w:abstractNumId w:val="1"/>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62940"/>
    <w:rsid w:val="00070783"/>
    <w:rsid w:val="000A76C5"/>
    <w:rsid w:val="000C3341"/>
    <w:rsid w:val="000C44F3"/>
    <w:rsid w:val="000C51A5"/>
    <w:rsid w:val="000E00D6"/>
    <w:rsid w:val="00122772"/>
    <w:rsid w:val="001839A9"/>
    <w:rsid w:val="001C36E9"/>
    <w:rsid w:val="001C5D48"/>
    <w:rsid w:val="001D19B0"/>
    <w:rsid w:val="001D1F08"/>
    <w:rsid w:val="001E544E"/>
    <w:rsid w:val="001E58B5"/>
    <w:rsid w:val="00260C2C"/>
    <w:rsid w:val="002B4A81"/>
    <w:rsid w:val="002D5274"/>
    <w:rsid w:val="002E24A9"/>
    <w:rsid w:val="002F279D"/>
    <w:rsid w:val="002F397B"/>
    <w:rsid w:val="003111B9"/>
    <w:rsid w:val="0032627A"/>
    <w:rsid w:val="003334EC"/>
    <w:rsid w:val="00335EA7"/>
    <w:rsid w:val="0034213F"/>
    <w:rsid w:val="003766B1"/>
    <w:rsid w:val="0038039F"/>
    <w:rsid w:val="00387417"/>
    <w:rsid w:val="003A42D5"/>
    <w:rsid w:val="003C5683"/>
    <w:rsid w:val="003D4737"/>
    <w:rsid w:val="003E687B"/>
    <w:rsid w:val="003F6BA1"/>
    <w:rsid w:val="004009F4"/>
    <w:rsid w:val="00400F0C"/>
    <w:rsid w:val="00403B92"/>
    <w:rsid w:val="004354FF"/>
    <w:rsid w:val="00447A30"/>
    <w:rsid w:val="00471ABE"/>
    <w:rsid w:val="0047408B"/>
    <w:rsid w:val="00490C9A"/>
    <w:rsid w:val="004945AB"/>
    <w:rsid w:val="004B2C2E"/>
    <w:rsid w:val="004C360D"/>
    <w:rsid w:val="004D02F7"/>
    <w:rsid w:val="004D103B"/>
    <w:rsid w:val="004D1C37"/>
    <w:rsid w:val="00501635"/>
    <w:rsid w:val="00504917"/>
    <w:rsid w:val="005448FE"/>
    <w:rsid w:val="005454F4"/>
    <w:rsid w:val="00545830"/>
    <w:rsid w:val="005C13B9"/>
    <w:rsid w:val="005C36B5"/>
    <w:rsid w:val="005D243A"/>
    <w:rsid w:val="006016C0"/>
    <w:rsid w:val="00607B52"/>
    <w:rsid w:val="00627B0B"/>
    <w:rsid w:val="00632E4F"/>
    <w:rsid w:val="006333D4"/>
    <w:rsid w:val="00655403"/>
    <w:rsid w:val="0067354E"/>
    <w:rsid w:val="0068342B"/>
    <w:rsid w:val="006B0355"/>
    <w:rsid w:val="006C0A46"/>
    <w:rsid w:val="006C22EF"/>
    <w:rsid w:val="006D5590"/>
    <w:rsid w:val="007171C2"/>
    <w:rsid w:val="007A55E7"/>
    <w:rsid w:val="007E64FC"/>
    <w:rsid w:val="007F5766"/>
    <w:rsid w:val="00800BF7"/>
    <w:rsid w:val="008121CD"/>
    <w:rsid w:val="00821260"/>
    <w:rsid w:val="00835856"/>
    <w:rsid w:val="0083640D"/>
    <w:rsid w:val="008A7A9A"/>
    <w:rsid w:val="008B0B46"/>
    <w:rsid w:val="008B2CE6"/>
    <w:rsid w:val="008B4534"/>
    <w:rsid w:val="008B55A3"/>
    <w:rsid w:val="008B69C7"/>
    <w:rsid w:val="008C4DF3"/>
    <w:rsid w:val="008E73A3"/>
    <w:rsid w:val="0091328D"/>
    <w:rsid w:val="00930C01"/>
    <w:rsid w:val="00940CDA"/>
    <w:rsid w:val="0094185D"/>
    <w:rsid w:val="00972BD7"/>
    <w:rsid w:val="00975E93"/>
    <w:rsid w:val="009A0955"/>
    <w:rsid w:val="009A58D0"/>
    <w:rsid w:val="00A176DC"/>
    <w:rsid w:val="00A2541E"/>
    <w:rsid w:val="00A46FF7"/>
    <w:rsid w:val="00A72A6B"/>
    <w:rsid w:val="00A75AB3"/>
    <w:rsid w:val="00A76D97"/>
    <w:rsid w:val="00A82287"/>
    <w:rsid w:val="00A9201A"/>
    <w:rsid w:val="00A941EF"/>
    <w:rsid w:val="00AA2828"/>
    <w:rsid w:val="00AD2AEF"/>
    <w:rsid w:val="00AE742C"/>
    <w:rsid w:val="00B115A7"/>
    <w:rsid w:val="00B11DAE"/>
    <w:rsid w:val="00B12CA0"/>
    <w:rsid w:val="00B359B5"/>
    <w:rsid w:val="00B4644C"/>
    <w:rsid w:val="00B71DB5"/>
    <w:rsid w:val="00BA1018"/>
    <w:rsid w:val="00BE40D5"/>
    <w:rsid w:val="00C07DBA"/>
    <w:rsid w:val="00C14944"/>
    <w:rsid w:val="00C24A26"/>
    <w:rsid w:val="00C339C8"/>
    <w:rsid w:val="00C46460"/>
    <w:rsid w:val="00C53330"/>
    <w:rsid w:val="00CD4D2F"/>
    <w:rsid w:val="00D021EC"/>
    <w:rsid w:val="00D100A6"/>
    <w:rsid w:val="00D27D2D"/>
    <w:rsid w:val="00D47F8D"/>
    <w:rsid w:val="00D85ED2"/>
    <w:rsid w:val="00DC2F7B"/>
    <w:rsid w:val="00DF75BD"/>
    <w:rsid w:val="00E4192C"/>
    <w:rsid w:val="00E47924"/>
    <w:rsid w:val="00E54B68"/>
    <w:rsid w:val="00E64CDC"/>
    <w:rsid w:val="00E94463"/>
    <w:rsid w:val="00EE5E4C"/>
    <w:rsid w:val="00EF0544"/>
    <w:rsid w:val="00EF40A5"/>
    <w:rsid w:val="00F1693A"/>
    <w:rsid w:val="00F4258D"/>
    <w:rsid w:val="00F6587C"/>
    <w:rsid w:val="00F73FD0"/>
    <w:rsid w:val="00F86469"/>
    <w:rsid w:val="00FC32EC"/>
    <w:rsid w:val="00FC3FC3"/>
    <w:rsid w:val="00FC45A6"/>
    <w:rsid w:val="00FC4B41"/>
    <w:rsid w:val="00FC5EC3"/>
    <w:rsid w:val="00FC7D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Chapter Numbering,Riana Table Bullets 1,List Paragraph Char Char,Plain Text Char Char Char,List Paragraph Char Char Char Char,Plain Text Char Char Char Char Char,Grey Bullet List,Grey Bullet Style,lp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42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
    <w:name w:val="Body"/>
    <w:basedOn w:val="Normal"/>
    <w:link w:val="BodyChar"/>
    <w:rsid w:val="00AE742C"/>
    <w:pPr>
      <w:spacing w:after="0" w:line="360" w:lineRule="auto"/>
      <w:ind w:left="992"/>
    </w:pPr>
    <w:rPr>
      <w:rFonts w:ascii="Arial" w:eastAsia="Times New Roman" w:hAnsi="Arial" w:cs="Times New Roman"/>
      <w:szCs w:val="24"/>
      <w:lang w:val="en-GB" w:eastAsia="en-GB"/>
    </w:rPr>
  </w:style>
  <w:style w:type="character" w:customStyle="1" w:styleId="ListParagraphChar">
    <w:name w:val="List Paragraph Char"/>
    <w:aliases w:val="List Paragraph - 2 Char,List Paragraph 1 Char,Chapter Numbering Char,Riana Table Bullets 1 Char,List Paragraph Char Char Char,Plain Text Char Char Char Char,List Paragraph Char Char Char Char Char,Grey Bullet List Char,lp1 Char"/>
    <w:basedOn w:val="DefaultParagraphFont"/>
    <w:link w:val="ListParagraph"/>
    <w:uiPriority w:val="34"/>
    <w:locked/>
    <w:rsid w:val="00AE742C"/>
  </w:style>
  <w:style w:type="character" w:customStyle="1" w:styleId="BodyChar">
    <w:name w:val="Body Char"/>
    <w:basedOn w:val="DefaultParagraphFont"/>
    <w:link w:val="Body"/>
    <w:locked/>
    <w:rsid w:val="00AE742C"/>
    <w:rPr>
      <w:rFonts w:ascii="Arial" w:eastAsia="Times New Roman" w:hAnsi="Arial" w:cs="Times New Roman"/>
      <w:szCs w:val="24"/>
      <w:lang w:val="en-GB" w:eastAsia="en-GB"/>
    </w:rPr>
  </w:style>
</w:styles>
</file>

<file path=word/webSettings.xml><?xml version="1.0" encoding="utf-8"?>
<w:webSettings xmlns:r="http://schemas.openxmlformats.org/officeDocument/2006/relationships" xmlns:w="http://schemas.openxmlformats.org/wordprocessingml/2006/main">
  <w:divs>
    <w:div w:id="1686398466">
      <w:bodyDiv w:val="1"/>
      <w:marLeft w:val="0"/>
      <w:marRight w:val="0"/>
      <w:marTop w:val="0"/>
      <w:marBottom w:val="0"/>
      <w:divBdr>
        <w:top w:val="none" w:sz="0" w:space="0" w:color="auto"/>
        <w:left w:val="none" w:sz="0" w:space="0" w:color="auto"/>
        <w:bottom w:val="none" w:sz="0" w:space="0" w:color="auto"/>
        <w:right w:val="none" w:sz="0" w:space="0" w:color="auto"/>
      </w:divBdr>
    </w:div>
    <w:div w:id="1888951204">
      <w:bodyDiv w:val="1"/>
      <w:marLeft w:val="0"/>
      <w:marRight w:val="0"/>
      <w:marTop w:val="0"/>
      <w:marBottom w:val="0"/>
      <w:divBdr>
        <w:top w:val="none" w:sz="0" w:space="0" w:color="auto"/>
        <w:left w:val="none" w:sz="0" w:space="0" w:color="auto"/>
        <w:bottom w:val="none" w:sz="0" w:space="0" w:color="auto"/>
        <w:right w:val="none" w:sz="0" w:space="0" w:color="auto"/>
      </w:divBdr>
    </w:div>
    <w:div w:id="1911647410">
      <w:bodyDiv w:val="1"/>
      <w:marLeft w:val="0"/>
      <w:marRight w:val="0"/>
      <w:marTop w:val="0"/>
      <w:marBottom w:val="0"/>
      <w:divBdr>
        <w:top w:val="none" w:sz="0" w:space="0" w:color="auto"/>
        <w:left w:val="none" w:sz="0" w:space="0" w:color="auto"/>
        <w:bottom w:val="none" w:sz="0" w:space="0" w:color="auto"/>
        <w:right w:val="none" w:sz="0" w:space="0" w:color="auto"/>
      </w:divBdr>
      <w:divsChild>
        <w:div w:id="181018259">
          <w:marLeft w:val="850"/>
          <w:marRight w:val="0"/>
          <w:marTop w:val="0"/>
          <w:marBottom w:val="240"/>
          <w:divBdr>
            <w:top w:val="none" w:sz="0" w:space="0" w:color="auto"/>
            <w:left w:val="none" w:sz="0" w:space="0" w:color="auto"/>
            <w:bottom w:val="none" w:sz="0" w:space="0" w:color="auto"/>
            <w:right w:val="none" w:sz="0" w:space="0" w:color="auto"/>
          </w:divBdr>
        </w:div>
        <w:div w:id="7365688">
          <w:marLeft w:val="850"/>
          <w:marRight w:val="0"/>
          <w:marTop w:val="0"/>
          <w:marBottom w:val="240"/>
          <w:divBdr>
            <w:top w:val="none" w:sz="0" w:space="0" w:color="auto"/>
            <w:left w:val="none" w:sz="0" w:space="0" w:color="auto"/>
            <w:bottom w:val="none" w:sz="0" w:space="0" w:color="auto"/>
            <w:right w:val="none" w:sz="0" w:space="0" w:color="auto"/>
          </w:divBdr>
        </w:div>
        <w:div w:id="1770277813">
          <w:marLeft w:val="850"/>
          <w:marRight w:val="0"/>
          <w:marTop w:val="0"/>
          <w:marBottom w:val="240"/>
          <w:divBdr>
            <w:top w:val="none" w:sz="0" w:space="0" w:color="auto"/>
            <w:left w:val="none" w:sz="0" w:space="0" w:color="auto"/>
            <w:bottom w:val="none" w:sz="0" w:space="0" w:color="auto"/>
            <w:right w:val="none" w:sz="0" w:space="0" w:color="auto"/>
          </w:divBdr>
        </w:div>
        <w:div w:id="1017542193">
          <w:marLeft w:val="850"/>
          <w:marRight w:val="0"/>
          <w:marTop w:val="0"/>
          <w:marBottom w:val="240"/>
          <w:divBdr>
            <w:top w:val="none" w:sz="0" w:space="0" w:color="auto"/>
            <w:left w:val="none" w:sz="0" w:space="0" w:color="auto"/>
            <w:bottom w:val="none" w:sz="0" w:space="0" w:color="auto"/>
            <w:right w:val="none" w:sz="0" w:space="0" w:color="auto"/>
          </w:divBdr>
        </w:div>
        <w:div w:id="1964186470">
          <w:marLeft w:val="850"/>
          <w:marRight w:val="0"/>
          <w:marTop w:val="0"/>
          <w:marBottom w:val="240"/>
          <w:divBdr>
            <w:top w:val="none" w:sz="0" w:space="0" w:color="auto"/>
            <w:left w:val="none" w:sz="0" w:space="0" w:color="auto"/>
            <w:bottom w:val="none" w:sz="0" w:space="0" w:color="auto"/>
            <w:right w:val="none" w:sz="0" w:space="0" w:color="auto"/>
          </w:divBdr>
        </w:div>
        <w:div w:id="2144034475">
          <w:marLeft w:val="850"/>
          <w:marRight w:val="0"/>
          <w:marTop w:val="0"/>
          <w:marBottom w:val="240"/>
          <w:divBdr>
            <w:top w:val="none" w:sz="0" w:space="0" w:color="auto"/>
            <w:left w:val="none" w:sz="0" w:space="0" w:color="auto"/>
            <w:bottom w:val="none" w:sz="0" w:space="0" w:color="auto"/>
            <w:right w:val="none" w:sz="0" w:space="0" w:color="auto"/>
          </w:divBdr>
        </w:div>
        <w:div w:id="1422340277">
          <w:marLeft w:val="850"/>
          <w:marRight w:val="0"/>
          <w:marTop w:val="0"/>
          <w:marBottom w:val="240"/>
          <w:divBdr>
            <w:top w:val="none" w:sz="0" w:space="0" w:color="auto"/>
            <w:left w:val="none" w:sz="0" w:space="0" w:color="auto"/>
            <w:bottom w:val="none" w:sz="0" w:space="0" w:color="auto"/>
            <w:right w:val="none" w:sz="0" w:space="0" w:color="auto"/>
          </w:divBdr>
        </w:div>
        <w:div w:id="723795809">
          <w:marLeft w:val="850"/>
          <w:marRight w:val="0"/>
          <w:marTop w:val="0"/>
          <w:marBottom w:val="240"/>
          <w:divBdr>
            <w:top w:val="none" w:sz="0" w:space="0" w:color="auto"/>
            <w:left w:val="none" w:sz="0" w:space="0" w:color="auto"/>
            <w:bottom w:val="none" w:sz="0" w:space="0" w:color="auto"/>
            <w:right w:val="none" w:sz="0" w:space="0" w:color="auto"/>
          </w:divBdr>
        </w:div>
        <w:div w:id="1798909075">
          <w:marLeft w:val="850"/>
          <w:marRight w:val="0"/>
          <w:marTop w:val="0"/>
          <w:marBottom w:val="240"/>
          <w:divBdr>
            <w:top w:val="none" w:sz="0" w:space="0" w:color="auto"/>
            <w:left w:val="none" w:sz="0" w:space="0" w:color="auto"/>
            <w:bottom w:val="none" w:sz="0" w:space="0" w:color="auto"/>
            <w:right w:val="none" w:sz="0" w:space="0" w:color="auto"/>
          </w:divBdr>
        </w:div>
        <w:div w:id="1383018589">
          <w:marLeft w:val="850"/>
          <w:marRight w:val="0"/>
          <w:marTop w:val="0"/>
          <w:marBottom w:val="240"/>
          <w:divBdr>
            <w:top w:val="none" w:sz="0" w:space="0" w:color="auto"/>
            <w:left w:val="none" w:sz="0" w:space="0" w:color="auto"/>
            <w:bottom w:val="none" w:sz="0" w:space="0" w:color="auto"/>
            <w:right w:val="none" w:sz="0" w:space="0" w:color="auto"/>
          </w:divBdr>
        </w:div>
      </w:divsChild>
    </w:div>
    <w:div w:id="1969625531">
      <w:bodyDiv w:val="1"/>
      <w:marLeft w:val="0"/>
      <w:marRight w:val="0"/>
      <w:marTop w:val="0"/>
      <w:marBottom w:val="0"/>
      <w:divBdr>
        <w:top w:val="none" w:sz="0" w:space="0" w:color="auto"/>
        <w:left w:val="none" w:sz="0" w:space="0" w:color="auto"/>
        <w:bottom w:val="none" w:sz="0" w:space="0" w:color="auto"/>
        <w:right w:val="none" w:sz="0" w:space="0" w:color="auto"/>
      </w:divBdr>
      <w:divsChild>
        <w:div w:id="1993944313">
          <w:marLeft w:val="850"/>
          <w:marRight w:val="0"/>
          <w:marTop w:val="0"/>
          <w:marBottom w:val="240"/>
          <w:divBdr>
            <w:top w:val="none" w:sz="0" w:space="0" w:color="auto"/>
            <w:left w:val="none" w:sz="0" w:space="0" w:color="auto"/>
            <w:bottom w:val="none" w:sz="0" w:space="0" w:color="auto"/>
            <w:right w:val="none" w:sz="0" w:space="0" w:color="auto"/>
          </w:divBdr>
        </w:div>
        <w:div w:id="881752083">
          <w:marLeft w:val="850"/>
          <w:marRight w:val="0"/>
          <w:marTop w:val="0"/>
          <w:marBottom w:val="240"/>
          <w:divBdr>
            <w:top w:val="none" w:sz="0" w:space="0" w:color="auto"/>
            <w:left w:val="none" w:sz="0" w:space="0" w:color="auto"/>
            <w:bottom w:val="none" w:sz="0" w:space="0" w:color="auto"/>
            <w:right w:val="none" w:sz="0" w:space="0" w:color="auto"/>
          </w:divBdr>
        </w:div>
        <w:div w:id="1697655127">
          <w:marLeft w:val="850"/>
          <w:marRight w:val="0"/>
          <w:marTop w:val="0"/>
          <w:marBottom w:val="240"/>
          <w:divBdr>
            <w:top w:val="none" w:sz="0" w:space="0" w:color="auto"/>
            <w:left w:val="none" w:sz="0" w:space="0" w:color="auto"/>
            <w:bottom w:val="none" w:sz="0" w:space="0" w:color="auto"/>
            <w:right w:val="none" w:sz="0" w:space="0" w:color="auto"/>
          </w:divBdr>
        </w:div>
        <w:div w:id="1880824618">
          <w:marLeft w:val="850"/>
          <w:marRight w:val="0"/>
          <w:marTop w:val="0"/>
          <w:marBottom w:val="240"/>
          <w:divBdr>
            <w:top w:val="none" w:sz="0" w:space="0" w:color="auto"/>
            <w:left w:val="none" w:sz="0" w:space="0" w:color="auto"/>
            <w:bottom w:val="none" w:sz="0" w:space="0" w:color="auto"/>
            <w:right w:val="none" w:sz="0" w:space="0" w:color="auto"/>
          </w:divBdr>
        </w:div>
        <w:div w:id="1489899380">
          <w:marLeft w:val="850"/>
          <w:marRight w:val="0"/>
          <w:marTop w:val="0"/>
          <w:marBottom w:val="240"/>
          <w:divBdr>
            <w:top w:val="none" w:sz="0" w:space="0" w:color="auto"/>
            <w:left w:val="none" w:sz="0" w:space="0" w:color="auto"/>
            <w:bottom w:val="none" w:sz="0" w:space="0" w:color="auto"/>
            <w:right w:val="none" w:sz="0" w:space="0" w:color="auto"/>
          </w:divBdr>
        </w:div>
        <w:div w:id="1113751130">
          <w:marLeft w:val="850"/>
          <w:marRight w:val="0"/>
          <w:marTop w:val="0"/>
          <w:marBottom w:val="240"/>
          <w:divBdr>
            <w:top w:val="none" w:sz="0" w:space="0" w:color="auto"/>
            <w:left w:val="none" w:sz="0" w:space="0" w:color="auto"/>
            <w:bottom w:val="none" w:sz="0" w:space="0" w:color="auto"/>
            <w:right w:val="none" w:sz="0" w:space="0" w:color="auto"/>
          </w:divBdr>
        </w:div>
      </w:divsChild>
    </w:div>
    <w:div w:id="2047175585">
      <w:bodyDiv w:val="1"/>
      <w:marLeft w:val="0"/>
      <w:marRight w:val="0"/>
      <w:marTop w:val="0"/>
      <w:marBottom w:val="0"/>
      <w:divBdr>
        <w:top w:val="none" w:sz="0" w:space="0" w:color="auto"/>
        <w:left w:val="none" w:sz="0" w:space="0" w:color="auto"/>
        <w:bottom w:val="none" w:sz="0" w:space="0" w:color="auto"/>
        <w:right w:val="none" w:sz="0" w:space="0" w:color="auto"/>
      </w:divBdr>
      <w:divsChild>
        <w:div w:id="730620932">
          <w:marLeft w:val="850"/>
          <w:marRight w:val="0"/>
          <w:marTop w:val="0"/>
          <w:marBottom w:val="240"/>
          <w:divBdr>
            <w:top w:val="none" w:sz="0" w:space="0" w:color="auto"/>
            <w:left w:val="none" w:sz="0" w:space="0" w:color="auto"/>
            <w:bottom w:val="none" w:sz="0" w:space="0" w:color="auto"/>
            <w:right w:val="none" w:sz="0" w:space="0" w:color="auto"/>
          </w:divBdr>
        </w:div>
        <w:div w:id="2070107326">
          <w:marLeft w:val="850"/>
          <w:marRight w:val="0"/>
          <w:marTop w:val="0"/>
          <w:marBottom w:val="240"/>
          <w:divBdr>
            <w:top w:val="none" w:sz="0" w:space="0" w:color="auto"/>
            <w:left w:val="none" w:sz="0" w:space="0" w:color="auto"/>
            <w:bottom w:val="none" w:sz="0" w:space="0" w:color="auto"/>
            <w:right w:val="none" w:sz="0" w:space="0" w:color="auto"/>
          </w:divBdr>
        </w:div>
        <w:div w:id="144783523">
          <w:marLeft w:val="850"/>
          <w:marRight w:val="0"/>
          <w:marTop w:val="0"/>
          <w:marBottom w:val="240"/>
          <w:divBdr>
            <w:top w:val="none" w:sz="0" w:space="0" w:color="auto"/>
            <w:left w:val="none" w:sz="0" w:space="0" w:color="auto"/>
            <w:bottom w:val="none" w:sz="0" w:space="0" w:color="auto"/>
            <w:right w:val="none" w:sz="0" w:space="0" w:color="auto"/>
          </w:divBdr>
        </w:div>
        <w:div w:id="1703938337">
          <w:marLeft w:val="850"/>
          <w:marRight w:val="0"/>
          <w:marTop w:val="0"/>
          <w:marBottom w:val="240"/>
          <w:divBdr>
            <w:top w:val="none" w:sz="0" w:space="0" w:color="auto"/>
            <w:left w:val="none" w:sz="0" w:space="0" w:color="auto"/>
            <w:bottom w:val="none" w:sz="0" w:space="0" w:color="auto"/>
            <w:right w:val="none" w:sz="0" w:space="0" w:color="auto"/>
          </w:divBdr>
        </w:div>
        <w:div w:id="1090664847">
          <w:marLeft w:val="850"/>
          <w:marRight w:val="0"/>
          <w:marTop w:val="0"/>
          <w:marBottom w:val="240"/>
          <w:divBdr>
            <w:top w:val="none" w:sz="0" w:space="0" w:color="auto"/>
            <w:left w:val="none" w:sz="0" w:space="0" w:color="auto"/>
            <w:bottom w:val="none" w:sz="0" w:space="0" w:color="auto"/>
            <w:right w:val="none" w:sz="0" w:space="0" w:color="auto"/>
          </w:divBdr>
        </w:div>
        <w:div w:id="693382233">
          <w:marLeft w:val="850"/>
          <w:marRight w:val="0"/>
          <w:marTop w:val="0"/>
          <w:marBottom w:val="240"/>
          <w:divBdr>
            <w:top w:val="none" w:sz="0" w:space="0" w:color="auto"/>
            <w:left w:val="none" w:sz="0" w:space="0" w:color="auto"/>
            <w:bottom w:val="none" w:sz="0" w:space="0" w:color="auto"/>
            <w:right w:val="none" w:sz="0" w:space="0" w:color="auto"/>
          </w:divBdr>
        </w:div>
        <w:div w:id="1358311133">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C367-CE12-4EAA-A246-FB2C2B36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2021-02-25T11:54:00Z</dcterms:created>
  <dcterms:modified xsi:type="dcterms:W3CDTF">2021-02-25T11:54:00Z</dcterms:modified>
</cp:coreProperties>
</file>