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BC" w:rsidRPr="009C78E8" w:rsidRDefault="004E73BC" w:rsidP="004E73BC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427AA634" wp14:editId="7646EE15">
            <wp:simplePos x="0" y="0"/>
            <wp:positionH relativeFrom="margin">
              <wp:posOffset>1210310</wp:posOffset>
            </wp:positionH>
            <wp:positionV relativeFrom="margin">
              <wp:posOffset>-643890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4E73BC" w:rsidRPr="009C78E8" w:rsidRDefault="004E73BC" w:rsidP="004E73BC">
      <w:pPr>
        <w:spacing w:after="0" w:line="240" w:lineRule="auto"/>
        <w:jc w:val="center"/>
        <w:rPr>
          <w:b/>
          <w:sz w:val="24"/>
          <w:szCs w:val="24"/>
        </w:rPr>
      </w:pPr>
    </w:p>
    <w:p w:rsidR="004E73BC" w:rsidRPr="009C78E8" w:rsidRDefault="004E73BC" w:rsidP="004E73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Pr="009C78E8">
        <w:rPr>
          <w:b/>
          <w:sz w:val="24"/>
          <w:szCs w:val="24"/>
        </w:rPr>
        <w:t xml:space="preserve"> REPLY</w:t>
      </w:r>
    </w:p>
    <w:p w:rsidR="004E73BC" w:rsidRPr="009C78E8" w:rsidRDefault="004E73BC" w:rsidP="004E73BC">
      <w:pPr>
        <w:spacing w:after="0" w:line="240" w:lineRule="auto"/>
        <w:jc w:val="center"/>
        <w:rPr>
          <w:b/>
          <w:sz w:val="24"/>
          <w:szCs w:val="24"/>
        </w:rPr>
      </w:pPr>
    </w:p>
    <w:p w:rsidR="004E73BC" w:rsidRPr="003E4CEE" w:rsidRDefault="004E73BC" w:rsidP="004E73BC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3E4CEE">
        <w:rPr>
          <w:b/>
          <w:sz w:val="22"/>
          <w:szCs w:val="22"/>
        </w:rPr>
        <w:t xml:space="preserve">QUESTION </w:t>
      </w:r>
      <w:r>
        <w:rPr>
          <w:b/>
          <w:bCs/>
          <w:sz w:val="24"/>
          <w:szCs w:val="24"/>
          <w:lang w:val="en-GB"/>
        </w:rPr>
        <w:t>2112</w:t>
      </w:r>
      <w:r w:rsidRPr="003E4CEE">
        <w:rPr>
          <w:b/>
          <w:sz w:val="22"/>
          <w:szCs w:val="22"/>
        </w:rPr>
        <w:t xml:space="preserve"> /</w:t>
      </w:r>
      <w:r w:rsidRPr="003E4CEE">
        <w:rPr>
          <w:rFonts w:cs="Times New Roman"/>
          <w:b/>
          <w:sz w:val="22"/>
          <w:szCs w:val="22"/>
          <w:lang w:val="en-GB"/>
        </w:rPr>
        <w:t xml:space="preserve"> </w:t>
      </w:r>
      <w:r w:rsidRPr="003E4CEE">
        <w:rPr>
          <w:b/>
          <w:sz w:val="22"/>
          <w:szCs w:val="22"/>
        </w:rPr>
        <w:t>NW</w:t>
      </w:r>
      <w:r w:rsidRPr="00F115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2342</w:t>
      </w:r>
      <w:r w:rsidRPr="00F115B9">
        <w:rPr>
          <w:b/>
          <w:sz w:val="24"/>
          <w:szCs w:val="24"/>
        </w:rPr>
        <w:t>E</w:t>
      </w:r>
    </w:p>
    <w:p w:rsidR="004E73BC" w:rsidRPr="009C78E8" w:rsidRDefault="004E73BC" w:rsidP="004E73BC">
      <w:pPr>
        <w:spacing w:after="0" w:line="240" w:lineRule="auto"/>
        <w:rPr>
          <w:b/>
          <w:color w:val="000000"/>
          <w:sz w:val="24"/>
          <w:szCs w:val="24"/>
        </w:rPr>
      </w:pPr>
    </w:p>
    <w:p w:rsidR="004E73BC" w:rsidRPr="009C78E8" w:rsidRDefault="004E73BC" w:rsidP="004E73B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4E73BC" w:rsidRDefault="004E73BC" w:rsidP="004E73BC">
      <w:pPr>
        <w:spacing w:before="100" w:beforeAutospacing="1" w:after="100" w:afterAutospacing="1"/>
        <w:ind w:left="816" w:hanging="816"/>
        <w:rPr>
          <w:b/>
          <w:bCs/>
          <w:color w:val="000000"/>
          <w:sz w:val="24"/>
          <w:szCs w:val="24"/>
          <w:lang w:val="af-ZA"/>
        </w:rPr>
      </w:pPr>
      <w:r>
        <w:rPr>
          <w:b/>
          <w:bCs/>
          <w:color w:val="000000"/>
          <w:sz w:val="24"/>
          <w:szCs w:val="24"/>
          <w:lang w:val="af-ZA"/>
        </w:rPr>
        <w:t>Ms N P Sonti (EFF) to ask the Minister of Agriculture, Forestry and Fisheries:</w:t>
      </w:r>
    </w:p>
    <w:p w:rsidR="004E73BC" w:rsidRDefault="004E73BC" w:rsidP="004E73BC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4E73BC" w:rsidRPr="004E73BC" w:rsidRDefault="004E73BC" w:rsidP="004E73BC">
      <w:pPr>
        <w:spacing w:before="100" w:beforeAutospacing="1" w:after="100" w:afterAutospacing="1"/>
        <w:jc w:val="both"/>
        <w:rPr>
          <w:b/>
        </w:rPr>
      </w:pPr>
      <w:r>
        <w:rPr>
          <w:sz w:val="24"/>
          <w:szCs w:val="24"/>
        </w:rPr>
        <w:t xml:space="preserve"> (a) What is the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name of each research station and (ii) type of agro-ecological zones where the conventional hybrids produced by the Water Efficient Maize for Africa programme were </w:t>
      </w:r>
      <w:proofErr w:type="spellStart"/>
      <w:r>
        <w:rPr>
          <w:sz w:val="24"/>
          <w:szCs w:val="24"/>
        </w:rPr>
        <w:t>trialed</w:t>
      </w:r>
      <w:proofErr w:type="spellEnd"/>
      <w:r>
        <w:rPr>
          <w:sz w:val="24"/>
          <w:szCs w:val="24"/>
        </w:rPr>
        <w:t xml:space="preserve"> and (b</w:t>
      </w:r>
      <w:proofErr w:type="gramStart"/>
      <w:r>
        <w:rPr>
          <w:sz w:val="24"/>
          <w:szCs w:val="24"/>
        </w:rPr>
        <w:t>)(</w:t>
      </w:r>
      <w:proofErr w:type="spellStart"/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where have conventional hybrids been distributed as part of farmer support programmes in the country and (ii) what has the response been from farmers in this regard</w:t>
      </w:r>
      <w:r>
        <w:rPr>
          <w:sz w:val="24"/>
          <w:szCs w:val="24"/>
          <w:lang w:val="af-ZA"/>
        </w:rPr>
        <w:t xml:space="preserve">?          </w:t>
      </w:r>
      <w:r w:rsidRPr="004E73BC">
        <w:rPr>
          <w:b/>
          <w:lang w:val="af-ZA"/>
        </w:rPr>
        <w:t>NW2342E</w:t>
      </w:r>
    </w:p>
    <w:p w:rsidR="004E73BC" w:rsidRDefault="004E73BC" w:rsidP="004E73BC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BB1836">
        <w:rPr>
          <w:b/>
          <w:sz w:val="22"/>
          <w:szCs w:val="22"/>
          <w:u w:val="single"/>
        </w:rPr>
        <w:t>REPLY:</w:t>
      </w:r>
    </w:p>
    <w:p w:rsidR="00F07DDB" w:rsidRPr="00F07DDB" w:rsidRDefault="00F07DDB" w:rsidP="00F07DDB">
      <w:pPr>
        <w:numPr>
          <w:ilvl w:val="0"/>
          <w:numId w:val="1"/>
        </w:numPr>
        <w:jc w:val="both"/>
        <w:outlineLvl w:val="0"/>
        <w:rPr>
          <w:bCs/>
          <w:iCs/>
          <w:sz w:val="24"/>
          <w:szCs w:val="24"/>
        </w:rPr>
      </w:pPr>
      <w:r w:rsidRPr="00F07DDB">
        <w:rPr>
          <w:bCs/>
          <w:iCs/>
          <w:sz w:val="24"/>
          <w:szCs w:val="24"/>
        </w:rPr>
        <w:t>(ii) Below are the names of the research stations and the types of agro-ecological zones where the conventional hybrids produced by the Water Efficient Maize for Africa programme were trailed.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900"/>
        <w:gridCol w:w="3828"/>
      </w:tblGrid>
      <w:tr w:rsidR="00F07DDB" w:rsidRPr="00F07DDB" w:rsidTr="0002705C">
        <w:tc>
          <w:tcPr>
            <w:tcW w:w="3348" w:type="dxa"/>
            <w:vMerge w:val="restart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F07DDB">
              <w:rPr>
                <w:b/>
                <w:bCs/>
                <w:iCs/>
                <w:sz w:val="24"/>
                <w:szCs w:val="24"/>
              </w:rPr>
              <w:t>Research Station</w:t>
            </w:r>
          </w:p>
        </w:tc>
        <w:tc>
          <w:tcPr>
            <w:tcW w:w="4728" w:type="dxa"/>
            <w:gridSpan w:val="2"/>
            <w:shd w:val="clear" w:color="auto" w:fill="auto"/>
          </w:tcPr>
          <w:p w:rsidR="00F07DDB" w:rsidRPr="00F07DDB" w:rsidRDefault="00F07DDB" w:rsidP="00F07DDB">
            <w:pPr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F07DDB">
              <w:rPr>
                <w:b/>
                <w:bCs/>
                <w:iCs/>
                <w:sz w:val="24"/>
                <w:szCs w:val="24"/>
              </w:rPr>
              <w:t>Agro-ecological zone</w:t>
            </w:r>
          </w:p>
        </w:tc>
      </w:tr>
      <w:tr w:rsidR="00F07DDB" w:rsidRPr="00F07DDB" w:rsidTr="0002705C">
        <w:tc>
          <w:tcPr>
            <w:tcW w:w="3348" w:type="dxa"/>
            <w:vMerge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F07DDB">
              <w:rPr>
                <w:b/>
                <w:bCs/>
                <w:iCs/>
                <w:sz w:val="24"/>
                <w:szCs w:val="24"/>
              </w:rPr>
              <w:t>Code</w:t>
            </w:r>
          </w:p>
        </w:tc>
        <w:tc>
          <w:tcPr>
            <w:tcW w:w="382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F07DDB">
              <w:rPr>
                <w:b/>
                <w:bCs/>
                <w:iCs/>
                <w:sz w:val="24"/>
                <w:szCs w:val="24"/>
              </w:rPr>
              <w:t>Description</w:t>
            </w:r>
          </w:p>
        </w:tc>
      </w:tr>
      <w:tr w:rsidR="00F07DDB" w:rsidRPr="00F07DDB" w:rsidTr="0002705C">
        <w:tc>
          <w:tcPr>
            <w:tcW w:w="334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proofErr w:type="spellStart"/>
            <w:r w:rsidRPr="00F07DDB">
              <w:rPr>
                <w:bCs/>
                <w:iCs/>
                <w:sz w:val="24"/>
                <w:szCs w:val="24"/>
              </w:rPr>
              <w:t>Cedara</w:t>
            </w:r>
            <w:proofErr w:type="spellEnd"/>
            <w:r w:rsidRPr="00F07DDB">
              <w:rPr>
                <w:bCs/>
                <w:iCs/>
                <w:sz w:val="24"/>
                <w:szCs w:val="24"/>
              </w:rPr>
              <w:t xml:space="preserve"> Research Station</w:t>
            </w:r>
          </w:p>
        </w:tc>
        <w:tc>
          <w:tcPr>
            <w:tcW w:w="900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A</w:t>
            </w:r>
          </w:p>
        </w:tc>
        <w:tc>
          <w:tcPr>
            <w:tcW w:w="382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Optimum; high rainfall</w:t>
            </w:r>
          </w:p>
        </w:tc>
      </w:tr>
      <w:tr w:rsidR="00F07DDB" w:rsidRPr="00F07DDB" w:rsidTr="0002705C">
        <w:tc>
          <w:tcPr>
            <w:tcW w:w="334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proofErr w:type="spellStart"/>
            <w:r w:rsidRPr="00F07DDB">
              <w:rPr>
                <w:bCs/>
                <w:iCs/>
                <w:sz w:val="24"/>
                <w:szCs w:val="24"/>
              </w:rPr>
              <w:t>Towoomba</w:t>
            </w:r>
            <w:proofErr w:type="spellEnd"/>
            <w:r w:rsidRPr="00F07DDB">
              <w:rPr>
                <w:bCs/>
                <w:iCs/>
                <w:sz w:val="24"/>
                <w:szCs w:val="24"/>
              </w:rPr>
              <w:t xml:space="preserve"> Research Station</w:t>
            </w:r>
          </w:p>
        </w:tc>
        <w:tc>
          <w:tcPr>
            <w:tcW w:w="900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B</w:t>
            </w:r>
          </w:p>
        </w:tc>
        <w:tc>
          <w:tcPr>
            <w:tcW w:w="382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High potential with limited rainfall</w:t>
            </w:r>
          </w:p>
        </w:tc>
      </w:tr>
      <w:tr w:rsidR="00F07DDB" w:rsidRPr="00F07DDB" w:rsidTr="0002705C">
        <w:tc>
          <w:tcPr>
            <w:tcW w:w="334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ARC-Grain Crops, Potchefstroom</w:t>
            </w:r>
          </w:p>
        </w:tc>
        <w:tc>
          <w:tcPr>
            <w:tcW w:w="900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382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Transitional low rainfall</w:t>
            </w:r>
          </w:p>
        </w:tc>
      </w:tr>
      <w:tr w:rsidR="00F07DDB" w:rsidRPr="00F07DDB" w:rsidTr="0002705C">
        <w:tc>
          <w:tcPr>
            <w:tcW w:w="334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proofErr w:type="spellStart"/>
            <w:r w:rsidRPr="00F07DDB">
              <w:rPr>
                <w:bCs/>
                <w:iCs/>
                <w:sz w:val="24"/>
                <w:szCs w:val="24"/>
              </w:rPr>
              <w:t>Taung</w:t>
            </w:r>
            <w:proofErr w:type="spellEnd"/>
            <w:r w:rsidRPr="00F07DDB">
              <w:rPr>
                <w:bCs/>
                <w:iCs/>
                <w:sz w:val="24"/>
                <w:szCs w:val="24"/>
              </w:rPr>
              <w:t xml:space="preserve"> Research Station</w:t>
            </w:r>
          </w:p>
        </w:tc>
        <w:tc>
          <w:tcPr>
            <w:tcW w:w="900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382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Transitional low rainfall</w:t>
            </w:r>
          </w:p>
        </w:tc>
      </w:tr>
      <w:tr w:rsidR="00F07DDB" w:rsidRPr="00F07DDB" w:rsidTr="0002705C">
        <w:tc>
          <w:tcPr>
            <w:tcW w:w="334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proofErr w:type="spellStart"/>
            <w:r w:rsidRPr="00F07DDB">
              <w:rPr>
                <w:bCs/>
                <w:iCs/>
                <w:sz w:val="24"/>
                <w:szCs w:val="24"/>
              </w:rPr>
              <w:t>Vaalharts</w:t>
            </w:r>
            <w:proofErr w:type="spellEnd"/>
            <w:r w:rsidRPr="00F07DDB">
              <w:rPr>
                <w:bCs/>
                <w:iCs/>
                <w:sz w:val="24"/>
                <w:szCs w:val="24"/>
              </w:rPr>
              <w:t xml:space="preserve"> Research Station</w:t>
            </w:r>
          </w:p>
        </w:tc>
        <w:tc>
          <w:tcPr>
            <w:tcW w:w="900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C</w:t>
            </w:r>
          </w:p>
        </w:tc>
        <w:tc>
          <w:tcPr>
            <w:tcW w:w="382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Transitional low rainfall</w:t>
            </w:r>
          </w:p>
        </w:tc>
      </w:tr>
      <w:tr w:rsidR="00F07DDB" w:rsidRPr="00F07DDB" w:rsidTr="0002705C">
        <w:tc>
          <w:tcPr>
            <w:tcW w:w="334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proofErr w:type="spellStart"/>
            <w:r w:rsidRPr="00F07DDB">
              <w:rPr>
                <w:bCs/>
                <w:iCs/>
                <w:sz w:val="24"/>
                <w:szCs w:val="24"/>
              </w:rPr>
              <w:lastRenderedPageBreak/>
              <w:t>Makhathini</w:t>
            </w:r>
            <w:proofErr w:type="spellEnd"/>
            <w:r w:rsidRPr="00F07DDB">
              <w:rPr>
                <w:bCs/>
                <w:iCs/>
                <w:sz w:val="24"/>
                <w:szCs w:val="24"/>
              </w:rPr>
              <w:t xml:space="preserve"> Research Station</w:t>
            </w:r>
          </w:p>
        </w:tc>
        <w:tc>
          <w:tcPr>
            <w:tcW w:w="900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382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 xml:space="preserve">Lowland hot and dry </w:t>
            </w:r>
          </w:p>
        </w:tc>
      </w:tr>
      <w:tr w:rsidR="00F07DDB" w:rsidRPr="00F07DDB" w:rsidTr="0002705C">
        <w:tc>
          <w:tcPr>
            <w:tcW w:w="334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proofErr w:type="spellStart"/>
            <w:r w:rsidRPr="00F07DDB">
              <w:rPr>
                <w:bCs/>
                <w:iCs/>
                <w:sz w:val="24"/>
                <w:szCs w:val="24"/>
              </w:rPr>
              <w:t>Lutzville</w:t>
            </w:r>
            <w:proofErr w:type="spellEnd"/>
            <w:r w:rsidRPr="00F07DDB">
              <w:rPr>
                <w:bCs/>
                <w:iCs/>
                <w:sz w:val="24"/>
                <w:szCs w:val="24"/>
              </w:rPr>
              <w:t xml:space="preserve"> Research Station</w:t>
            </w:r>
          </w:p>
        </w:tc>
        <w:tc>
          <w:tcPr>
            <w:tcW w:w="900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E</w:t>
            </w:r>
          </w:p>
        </w:tc>
        <w:tc>
          <w:tcPr>
            <w:tcW w:w="3828" w:type="dxa"/>
            <w:shd w:val="clear" w:color="auto" w:fill="auto"/>
          </w:tcPr>
          <w:p w:rsidR="00F07DDB" w:rsidRPr="00F07DDB" w:rsidRDefault="00F07DDB" w:rsidP="00F07DDB">
            <w:pPr>
              <w:jc w:val="both"/>
              <w:outlineLvl w:val="0"/>
              <w:rPr>
                <w:bCs/>
                <w:iCs/>
                <w:sz w:val="24"/>
                <w:szCs w:val="24"/>
              </w:rPr>
            </w:pPr>
            <w:r w:rsidRPr="00F07DDB">
              <w:rPr>
                <w:bCs/>
                <w:iCs/>
                <w:sz w:val="24"/>
                <w:szCs w:val="24"/>
              </w:rPr>
              <w:t>Hot and dry (winter rainfall)</w:t>
            </w:r>
          </w:p>
        </w:tc>
      </w:tr>
    </w:tbl>
    <w:p w:rsidR="00F07DDB" w:rsidRPr="00F07DDB" w:rsidRDefault="00F07DDB" w:rsidP="00F07DDB">
      <w:pPr>
        <w:ind w:left="360"/>
        <w:jc w:val="both"/>
        <w:outlineLvl w:val="0"/>
        <w:rPr>
          <w:bCs/>
          <w:iCs/>
          <w:sz w:val="24"/>
          <w:szCs w:val="24"/>
        </w:rPr>
      </w:pPr>
    </w:p>
    <w:p w:rsidR="00F07DDB" w:rsidRPr="00F07DDB" w:rsidRDefault="00F07DDB" w:rsidP="00F07DDB">
      <w:pPr>
        <w:numPr>
          <w:ilvl w:val="0"/>
          <w:numId w:val="1"/>
        </w:numPr>
        <w:jc w:val="both"/>
        <w:outlineLvl w:val="0"/>
        <w:rPr>
          <w:bCs/>
          <w:iCs/>
          <w:sz w:val="24"/>
          <w:szCs w:val="24"/>
        </w:rPr>
      </w:pPr>
      <w:r w:rsidRPr="00F07DDB">
        <w:rPr>
          <w:bCs/>
          <w:iCs/>
          <w:sz w:val="24"/>
          <w:szCs w:val="24"/>
        </w:rPr>
        <w:t>(</w:t>
      </w:r>
      <w:proofErr w:type="spellStart"/>
      <w:r w:rsidRPr="00F07DDB">
        <w:rPr>
          <w:bCs/>
          <w:iCs/>
          <w:sz w:val="24"/>
          <w:szCs w:val="24"/>
        </w:rPr>
        <w:t>i</w:t>
      </w:r>
      <w:proofErr w:type="spellEnd"/>
      <w:r w:rsidRPr="00F07DDB">
        <w:rPr>
          <w:bCs/>
          <w:iCs/>
          <w:sz w:val="24"/>
          <w:szCs w:val="24"/>
        </w:rPr>
        <w:t>) The Limpopo Department of Agriculture purchased 10.9 tonnes of conventional WEMA hybrid WE3128 for the farmer support programme in January 2017. The province was responsible for distributing the seed.</w:t>
      </w:r>
    </w:p>
    <w:p w:rsidR="00F07DDB" w:rsidRPr="00F07DDB" w:rsidRDefault="00F07DDB" w:rsidP="00F07DDB">
      <w:pPr>
        <w:ind w:left="360"/>
        <w:jc w:val="both"/>
        <w:outlineLvl w:val="0"/>
        <w:rPr>
          <w:bCs/>
          <w:iCs/>
          <w:sz w:val="24"/>
          <w:szCs w:val="24"/>
        </w:rPr>
      </w:pPr>
      <w:r w:rsidRPr="00F07DDB">
        <w:rPr>
          <w:bCs/>
          <w:iCs/>
          <w:sz w:val="24"/>
          <w:szCs w:val="24"/>
        </w:rPr>
        <w:t>(ii) The seed bought in January 2017 was too late for farmers to plant during the 2016/17 summer season. The seed will be planted during the coming 2017/18 summer season and farmer responses will be known after the 2017/18 season.</w:t>
      </w:r>
    </w:p>
    <w:p w:rsidR="00F07DDB" w:rsidRPr="00F07DDB" w:rsidRDefault="00F07DDB" w:rsidP="004E73BC">
      <w:pPr>
        <w:spacing w:before="100" w:beforeAutospacing="1" w:after="100" w:afterAutospacing="1"/>
        <w:jc w:val="both"/>
        <w:rPr>
          <w:b/>
          <w:sz w:val="24"/>
          <w:szCs w:val="24"/>
          <w:u w:val="single"/>
        </w:rPr>
      </w:pPr>
    </w:p>
    <w:p w:rsidR="004E73BC" w:rsidRPr="00F07DDB" w:rsidRDefault="004E73BC" w:rsidP="004E73BC">
      <w:pPr>
        <w:rPr>
          <w:sz w:val="24"/>
          <w:szCs w:val="24"/>
        </w:rPr>
      </w:pPr>
    </w:p>
    <w:p w:rsidR="005F561C" w:rsidRPr="00F07DDB" w:rsidRDefault="00F07DDB">
      <w:pPr>
        <w:rPr>
          <w:sz w:val="24"/>
          <w:szCs w:val="24"/>
        </w:rPr>
      </w:pPr>
      <w:bookmarkStart w:id="0" w:name="_GoBack"/>
      <w:bookmarkEnd w:id="0"/>
    </w:p>
    <w:sectPr w:rsidR="005F561C" w:rsidRPr="00F07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05F"/>
    <w:multiLevelType w:val="hybridMultilevel"/>
    <w:tmpl w:val="8C6EF6C8"/>
    <w:lvl w:ilvl="0" w:tplc="92FC53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C"/>
    <w:rsid w:val="004E73BC"/>
    <w:rsid w:val="00DD6449"/>
    <w:rsid w:val="00F07DDB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BC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BC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2017-08-11T12:19:00Z</dcterms:created>
  <dcterms:modified xsi:type="dcterms:W3CDTF">2017-08-22T14:26:00Z</dcterms:modified>
</cp:coreProperties>
</file>