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1678B5"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CF63EF">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CF63EF">
      <w:pPr>
        <w:jc w:val="center"/>
        <w:rPr>
          <w:rFonts w:ascii="Arial" w:hAnsi="Arial" w:cs="Arial"/>
          <w:b/>
        </w:rPr>
      </w:pPr>
      <w:r w:rsidRPr="00AE382F">
        <w:rPr>
          <w:rFonts w:ascii="Arial" w:hAnsi="Arial" w:cs="Arial"/>
          <w:b/>
        </w:rPr>
        <w:t>QUESTION FOR WRITTEN REPLY</w:t>
      </w:r>
    </w:p>
    <w:p w:rsidR="007252FF" w:rsidRPr="00AE382F" w:rsidRDefault="007252FF" w:rsidP="00CF63EF">
      <w:pPr>
        <w:jc w:val="center"/>
        <w:rPr>
          <w:rFonts w:ascii="Arial" w:hAnsi="Arial" w:cs="Arial"/>
          <w:b/>
        </w:rPr>
      </w:pPr>
      <w:r w:rsidRPr="00AE382F">
        <w:rPr>
          <w:rFonts w:ascii="Arial" w:hAnsi="Arial" w:cs="Arial"/>
          <w:b/>
        </w:rPr>
        <w:t xml:space="preserve">QUESTION NO.: </w:t>
      </w:r>
      <w:r w:rsidR="00687115">
        <w:rPr>
          <w:rFonts w:ascii="Arial" w:hAnsi="Arial" w:cs="Arial"/>
          <w:b/>
        </w:rPr>
        <w:t>2111</w:t>
      </w:r>
    </w:p>
    <w:p w:rsidR="007252FF" w:rsidRDefault="007252FF" w:rsidP="006C7F97">
      <w:pPr>
        <w:jc w:val="both"/>
        <w:rPr>
          <w:rFonts w:ascii="Arial" w:hAnsi="Arial" w:cs="Arial"/>
          <w:b/>
        </w:rPr>
      </w:pPr>
    </w:p>
    <w:p w:rsidR="00CF63EF" w:rsidRPr="00CF63EF" w:rsidRDefault="00CF63EF" w:rsidP="006C7F97">
      <w:pPr>
        <w:jc w:val="both"/>
        <w:rPr>
          <w:rFonts w:ascii="Arial" w:hAnsi="Arial" w:cs="Arial"/>
          <w:b/>
          <w:u w:val="single"/>
        </w:rPr>
      </w:pPr>
      <w:r w:rsidRPr="00CF63EF">
        <w:rPr>
          <w:rFonts w:ascii="Arial" w:hAnsi="Arial" w:cs="Arial"/>
          <w:b/>
          <w:u w:val="single"/>
        </w:rPr>
        <w:t>QUESTION:</w:t>
      </w:r>
    </w:p>
    <w:p w:rsidR="00687115" w:rsidRPr="003308D2" w:rsidRDefault="00687115" w:rsidP="00687115">
      <w:pPr>
        <w:spacing w:before="100" w:beforeAutospacing="1" w:after="100" w:afterAutospacing="1"/>
        <w:ind w:left="720" w:hanging="720"/>
        <w:jc w:val="both"/>
        <w:rPr>
          <w:rFonts w:ascii="Arial" w:hAnsi="Arial" w:cs="Arial"/>
          <w:b/>
          <w:bCs/>
          <w:sz w:val="22"/>
          <w:szCs w:val="22"/>
          <w:lang w:val="en-GB"/>
        </w:rPr>
      </w:pPr>
      <w:r w:rsidRPr="003308D2">
        <w:rPr>
          <w:rFonts w:ascii="Arial" w:hAnsi="Arial" w:cs="Arial"/>
          <w:b/>
          <w:bCs/>
          <w:sz w:val="22"/>
          <w:szCs w:val="22"/>
          <w:lang w:val="en-GB"/>
        </w:rPr>
        <w:t>2111.    Ms B M van Minnen (DA) to ask the Minister of Public Enterprises:</w:t>
      </w:r>
    </w:p>
    <w:p w:rsidR="00687115" w:rsidRPr="003308D2" w:rsidRDefault="00687115" w:rsidP="00687115">
      <w:pPr>
        <w:spacing w:before="100" w:beforeAutospacing="1" w:after="100" w:afterAutospacing="1"/>
        <w:ind w:left="1440" w:hanging="720"/>
        <w:jc w:val="both"/>
        <w:rPr>
          <w:rStyle w:val="markedcontent"/>
          <w:rFonts w:ascii="Arial" w:hAnsi="Arial" w:cs="Arial"/>
          <w:sz w:val="22"/>
          <w:szCs w:val="22"/>
        </w:rPr>
      </w:pPr>
      <w:r w:rsidRPr="003308D2">
        <w:rPr>
          <w:rStyle w:val="markedcontent"/>
          <w:rFonts w:ascii="Arial" w:hAnsi="Arial" w:cs="Arial"/>
          <w:sz w:val="22"/>
          <w:szCs w:val="22"/>
          <w:lang w:val="en-GB"/>
        </w:rPr>
        <w:t xml:space="preserve">(1)        With reference to Denel’s presentation to the Standing Committee on Public Accounts on 24 August 2021, (a) what are the reasons for the 161% increase in the </w:t>
      </w:r>
      <w:r w:rsidRPr="003308D2">
        <w:rPr>
          <w:rFonts w:ascii="Arial" w:hAnsi="Arial" w:cs="Arial"/>
          <w:sz w:val="22"/>
          <w:szCs w:val="22"/>
          <w:lang w:val="en-GB"/>
        </w:rPr>
        <w:t>number</w:t>
      </w:r>
      <w:r w:rsidRPr="003308D2">
        <w:rPr>
          <w:rStyle w:val="markedcontent"/>
          <w:rFonts w:ascii="Arial" w:hAnsi="Arial" w:cs="Arial"/>
          <w:sz w:val="22"/>
          <w:szCs w:val="22"/>
          <w:lang w:val="en-GB"/>
        </w:rPr>
        <w:t xml:space="preserve"> of contractors from 1 April 2021 to 30 June 2021;</w:t>
      </w:r>
    </w:p>
    <w:p w:rsidR="00687115" w:rsidRPr="003308D2" w:rsidRDefault="00687115" w:rsidP="00687115">
      <w:pPr>
        <w:spacing w:before="100" w:beforeAutospacing="1" w:after="100" w:afterAutospacing="1"/>
        <w:ind w:left="1440" w:hanging="720"/>
        <w:jc w:val="both"/>
        <w:rPr>
          <w:rStyle w:val="markedcontent"/>
          <w:rFonts w:ascii="Arial" w:hAnsi="Arial" w:cs="Arial"/>
          <w:sz w:val="22"/>
          <w:szCs w:val="22"/>
          <w:lang w:val="en-GB"/>
        </w:rPr>
      </w:pPr>
      <w:r w:rsidRPr="003308D2">
        <w:rPr>
          <w:rStyle w:val="markedcontent"/>
          <w:rFonts w:ascii="Arial" w:hAnsi="Arial" w:cs="Arial"/>
          <w:sz w:val="22"/>
          <w:szCs w:val="22"/>
          <w:lang w:val="en-GB"/>
        </w:rPr>
        <w:t>(2)       </w:t>
      </w:r>
      <w:r w:rsidR="003308D2">
        <w:rPr>
          <w:rStyle w:val="markedcontent"/>
          <w:rFonts w:ascii="Arial" w:hAnsi="Arial" w:cs="Arial"/>
          <w:sz w:val="22"/>
          <w:szCs w:val="22"/>
          <w:lang w:val="en-GB"/>
        </w:rPr>
        <w:t>W</w:t>
      </w:r>
      <w:r w:rsidRPr="003308D2">
        <w:rPr>
          <w:rStyle w:val="markedcontent"/>
          <w:rFonts w:ascii="Arial" w:hAnsi="Arial" w:cs="Arial"/>
          <w:sz w:val="22"/>
          <w:szCs w:val="22"/>
          <w:lang w:val="en-GB"/>
        </w:rPr>
        <w:t xml:space="preserve">hether any arrangement has been reached with the SA Revenue Service regarding the outstanding pay as you earn-debts owed by Denel; if not, what are the </w:t>
      </w:r>
      <w:r w:rsidRPr="003308D2">
        <w:rPr>
          <w:rFonts w:ascii="Arial" w:hAnsi="Arial" w:cs="Arial"/>
          <w:sz w:val="22"/>
          <w:szCs w:val="22"/>
          <w:lang w:val="en-GB"/>
        </w:rPr>
        <w:t>implications</w:t>
      </w:r>
      <w:r w:rsidRPr="003308D2">
        <w:rPr>
          <w:rStyle w:val="markedcontent"/>
          <w:rFonts w:ascii="Arial" w:hAnsi="Arial" w:cs="Arial"/>
          <w:sz w:val="22"/>
          <w:szCs w:val="22"/>
          <w:lang w:val="en-GB"/>
        </w:rPr>
        <w:t xml:space="preserve"> for Denel and its relevant officials as it pertains to possible criminal prosecution under section 234(p) of the Tax Administration Act, Act 28 of 2011; if so, what are the relevant details;</w:t>
      </w:r>
    </w:p>
    <w:p w:rsidR="00687115" w:rsidRPr="003308D2" w:rsidRDefault="00687115" w:rsidP="00687115">
      <w:pPr>
        <w:spacing w:before="100" w:beforeAutospacing="1" w:after="100" w:afterAutospacing="1"/>
        <w:ind w:left="1440" w:hanging="720"/>
        <w:jc w:val="both"/>
        <w:rPr>
          <w:rStyle w:val="markedcontent"/>
          <w:rFonts w:ascii="Arial" w:hAnsi="Arial" w:cs="Arial"/>
          <w:sz w:val="22"/>
          <w:szCs w:val="22"/>
          <w:lang w:val="en-GB"/>
        </w:rPr>
      </w:pPr>
      <w:r w:rsidRPr="003308D2">
        <w:rPr>
          <w:rStyle w:val="markedcontent"/>
          <w:rFonts w:ascii="Arial" w:hAnsi="Arial" w:cs="Arial"/>
          <w:sz w:val="22"/>
          <w:szCs w:val="22"/>
          <w:lang w:val="en-GB"/>
        </w:rPr>
        <w:t>(3)        </w:t>
      </w:r>
      <w:r w:rsidR="003308D2">
        <w:rPr>
          <w:rStyle w:val="markedcontent"/>
          <w:rFonts w:ascii="Arial" w:hAnsi="Arial" w:cs="Arial"/>
          <w:sz w:val="22"/>
          <w:szCs w:val="22"/>
          <w:lang w:val="en-GB"/>
        </w:rPr>
        <w:t>W</w:t>
      </w:r>
      <w:r w:rsidRPr="003308D2">
        <w:rPr>
          <w:rStyle w:val="markedcontent"/>
          <w:rFonts w:ascii="Arial" w:hAnsi="Arial" w:cs="Arial"/>
          <w:sz w:val="22"/>
          <w:szCs w:val="22"/>
          <w:lang w:val="en-GB"/>
        </w:rPr>
        <w:t xml:space="preserve">hether the three executives implicated in the Ngidi report with respect to the R356 </w:t>
      </w:r>
      <w:r w:rsidRPr="003308D2">
        <w:rPr>
          <w:rFonts w:ascii="Arial" w:hAnsi="Arial" w:cs="Arial"/>
          <w:sz w:val="22"/>
          <w:szCs w:val="22"/>
          <w:lang w:val="en-GB"/>
        </w:rPr>
        <w:t>million</w:t>
      </w:r>
      <w:r w:rsidRPr="003308D2">
        <w:rPr>
          <w:rStyle w:val="markedcontent"/>
          <w:rFonts w:ascii="Arial" w:hAnsi="Arial" w:cs="Arial"/>
          <w:sz w:val="22"/>
          <w:szCs w:val="22"/>
          <w:lang w:val="en-GB"/>
        </w:rPr>
        <w:t xml:space="preserve"> VR Laser Group were suspended with pay or without pay; if not, why not; if so, what are the reasons;</w:t>
      </w:r>
    </w:p>
    <w:p w:rsidR="00687115" w:rsidRPr="003308D2" w:rsidRDefault="00687115" w:rsidP="00687115">
      <w:pPr>
        <w:spacing w:before="100" w:beforeAutospacing="1" w:after="100" w:afterAutospacing="1"/>
        <w:ind w:left="1440" w:hanging="720"/>
        <w:jc w:val="both"/>
        <w:rPr>
          <w:rFonts w:ascii="Arial" w:hAnsi="Arial" w:cs="Arial"/>
          <w:sz w:val="22"/>
          <w:szCs w:val="22"/>
        </w:rPr>
      </w:pPr>
      <w:r w:rsidRPr="003308D2">
        <w:rPr>
          <w:rStyle w:val="markedcontent"/>
          <w:rFonts w:ascii="Arial" w:hAnsi="Arial" w:cs="Arial"/>
          <w:sz w:val="22"/>
          <w:szCs w:val="22"/>
          <w:lang w:val="en-GB"/>
        </w:rPr>
        <w:t>(4)        </w:t>
      </w:r>
      <w:r w:rsidR="003308D2">
        <w:rPr>
          <w:rStyle w:val="markedcontent"/>
          <w:rFonts w:ascii="Arial" w:hAnsi="Arial" w:cs="Arial"/>
          <w:sz w:val="22"/>
          <w:szCs w:val="22"/>
          <w:lang w:val="en-GB"/>
        </w:rPr>
        <w:t>W</w:t>
      </w:r>
      <w:r w:rsidRPr="003308D2">
        <w:rPr>
          <w:rStyle w:val="markedcontent"/>
          <w:rFonts w:ascii="Arial" w:hAnsi="Arial" w:cs="Arial"/>
          <w:sz w:val="22"/>
          <w:szCs w:val="22"/>
          <w:lang w:val="en-GB"/>
        </w:rPr>
        <w:t xml:space="preserve">hat were the outcomes of the completed disciplinary action taken against the Denel </w:t>
      </w:r>
      <w:r w:rsidRPr="003308D2">
        <w:rPr>
          <w:rFonts w:ascii="Arial" w:hAnsi="Arial" w:cs="Arial"/>
          <w:sz w:val="22"/>
          <w:szCs w:val="22"/>
          <w:lang w:val="en-GB"/>
        </w:rPr>
        <w:t>employees</w:t>
      </w:r>
      <w:r w:rsidRPr="003308D2">
        <w:rPr>
          <w:rStyle w:val="markedcontent"/>
          <w:rFonts w:ascii="Arial" w:hAnsi="Arial" w:cs="Arial"/>
          <w:sz w:val="22"/>
          <w:szCs w:val="22"/>
          <w:lang w:val="en-GB"/>
        </w:rPr>
        <w:t xml:space="preserve"> implicated in the R69 million ENNE7 contract</w:t>
      </w:r>
      <w:r w:rsidRPr="003308D2">
        <w:rPr>
          <w:rFonts w:ascii="Arial" w:hAnsi="Arial" w:cs="Arial"/>
          <w:sz w:val="22"/>
          <w:szCs w:val="22"/>
          <w:lang w:val="en-GB"/>
        </w:rPr>
        <w:t>?        NW2395E</w:t>
      </w:r>
    </w:p>
    <w:p w:rsidR="00687115" w:rsidRPr="00CF63EF" w:rsidRDefault="00687115" w:rsidP="00687115">
      <w:pPr>
        <w:rPr>
          <w:rFonts w:ascii="Arial" w:eastAsia="Calibri" w:hAnsi="Arial" w:cs="Arial"/>
          <w:b/>
          <w:color w:val="000000"/>
          <w:u w:val="single"/>
        </w:rPr>
      </w:pPr>
      <w:r w:rsidRPr="003308D2">
        <w:rPr>
          <w:rFonts w:cs="Arial"/>
          <w:b/>
          <w:sz w:val="22"/>
          <w:szCs w:val="22"/>
        </w:rPr>
        <w:br w:type="page"/>
      </w:r>
      <w:r w:rsidR="00CF63EF" w:rsidRPr="00CF63EF">
        <w:rPr>
          <w:rFonts w:ascii="Arial" w:hAnsi="Arial" w:cs="Arial"/>
          <w:b/>
          <w:u w:val="single"/>
        </w:rPr>
        <w:lastRenderedPageBreak/>
        <w:t>REPLY:</w:t>
      </w:r>
    </w:p>
    <w:p w:rsidR="00277F2F" w:rsidRPr="003308D2" w:rsidRDefault="00277F2F" w:rsidP="00277F2F">
      <w:pPr>
        <w:autoSpaceDE w:val="0"/>
        <w:autoSpaceDN w:val="0"/>
        <w:adjustRightInd w:val="0"/>
        <w:spacing w:line="280" w:lineRule="atLeast"/>
        <w:jc w:val="both"/>
        <w:rPr>
          <w:rFonts w:ascii="Arial" w:hAnsi="Arial" w:cs="Arial"/>
          <w:sz w:val="22"/>
          <w:szCs w:val="22"/>
        </w:rPr>
      </w:pPr>
    </w:p>
    <w:p w:rsidR="002F5E77" w:rsidRPr="003308D2" w:rsidRDefault="00CF63EF" w:rsidP="00787410">
      <w:pPr>
        <w:tabs>
          <w:tab w:val="left" w:pos="6930"/>
        </w:tabs>
        <w:spacing w:line="360" w:lineRule="auto"/>
        <w:rPr>
          <w:rFonts w:ascii="Arial" w:hAnsi="Arial" w:cs="Arial"/>
          <w:b/>
          <w:sz w:val="22"/>
          <w:szCs w:val="22"/>
        </w:rPr>
      </w:pPr>
      <w:r>
        <w:rPr>
          <w:rFonts w:ascii="Arial" w:hAnsi="Arial" w:cs="Arial"/>
          <w:b/>
          <w:sz w:val="22"/>
          <w:szCs w:val="22"/>
        </w:rPr>
        <w:t xml:space="preserve">According to the information received from </w:t>
      </w:r>
      <w:r w:rsidR="009C1128" w:rsidRPr="003308D2">
        <w:rPr>
          <w:rFonts w:ascii="Arial" w:hAnsi="Arial" w:cs="Arial"/>
          <w:b/>
          <w:sz w:val="22"/>
          <w:szCs w:val="22"/>
        </w:rPr>
        <w:t>Denel</w:t>
      </w:r>
      <w:r w:rsidR="0097033F" w:rsidRPr="003308D2">
        <w:rPr>
          <w:rFonts w:ascii="Arial" w:hAnsi="Arial" w:cs="Arial"/>
          <w:b/>
          <w:sz w:val="22"/>
          <w:szCs w:val="22"/>
        </w:rPr>
        <w:t>:</w:t>
      </w:r>
      <w:r w:rsidR="002A0C5B" w:rsidRPr="003308D2">
        <w:rPr>
          <w:rFonts w:ascii="Arial" w:hAnsi="Arial" w:cs="Arial"/>
          <w:b/>
          <w:sz w:val="22"/>
          <w:szCs w:val="22"/>
        </w:rPr>
        <w:tab/>
      </w:r>
    </w:p>
    <w:p w:rsidR="00687115" w:rsidRPr="003308D2" w:rsidRDefault="00687115" w:rsidP="00687115">
      <w:pPr>
        <w:pStyle w:val="Default"/>
        <w:spacing w:after="155" w:line="276" w:lineRule="auto"/>
        <w:ind w:left="360" w:hanging="360"/>
        <w:jc w:val="both"/>
        <w:rPr>
          <w:rFonts w:ascii="Arial" w:hAnsi="Arial" w:cs="Arial"/>
          <w:b/>
          <w:sz w:val="22"/>
          <w:szCs w:val="22"/>
        </w:rPr>
      </w:pPr>
    </w:p>
    <w:p w:rsidR="00687115" w:rsidRPr="003308D2" w:rsidRDefault="00687115" w:rsidP="00687115">
      <w:pPr>
        <w:pStyle w:val="Default"/>
        <w:spacing w:after="155"/>
        <w:ind w:left="360" w:hanging="360"/>
        <w:jc w:val="both"/>
        <w:rPr>
          <w:rFonts w:ascii="Arial" w:hAnsi="Arial" w:cs="Arial"/>
          <w:b/>
          <w:sz w:val="22"/>
          <w:szCs w:val="22"/>
        </w:rPr>
      </w:pPr>
      <w:r w:rsidRPr="003308D2">
        <w:rPr>
          <w:rFonts w:ascii="Arial" w:hAnsi="Arial" w:cs="Arial"/>
          <w:b/>
          <w:sz w:val="22"/>
          <w:szCs w:val="22"/>
        </w:rPr>
        <w:t xml:space="preserve">1. </w:t>
      </w:r>
      <w:r w:rsidRPr="003308D2">
        <w:rPr>
          <w:rFonts w:ascii="Arial" w:hAnsi="Arial" w:cs="Arial"/>
          <w:sz w:val="22"/>
          <w:szCs w:val="22"/>
        </w:rPr>
        <w:t>The increase in the number of contractors in the period from 1 April 2021 to 30 June 2021 was as a result of permanent employees, who resigned from their permanent positions and later offered their services on a fixed term basis.</w:t>
      </w:r>
    </w:p>
    <w:p w:rsidR="00687115" w:rsidRPr="003308D2" w:rsidRDefault="00687115" w:rsidP="00687115">
      <w:pPr>
        <w:pStyle w:val="Default"/>
        <w:spacing w:after="155" w:line="276" w:lineRule="auto"/>
        <w:ind w:left="360" w:hanging="360"/>
        <w:jc w:val="both"/>
        <w:rPr>
          <w:rFonts w:ascii="Arial" w:hAnsi="Arial" w:cs="Arial"/>
          <w:sz w:val="22"/>
          <w:szCs w:val="22"/>
        </w:rPr>
      </w:pPr>
      <w:r w:rsidRPr="003308D2">
        <w:rPr>
          <w:rFonts w:ascii="Arial" w:hAnsi="Arial" w:cs="Arial"/>
          <w:b/>
          <w:sz w:val="22"/>
          <w:szCs w:val="22"/>
        </w:rPr>
        <w:t>2.</w:t>
      </w:r>
      <w:r w:rsidRPr="003308D2">
        <w:rPr>
          <w:rFonts w:ascii="Arial" w:hAnsi="Arial" w:cs="Arial"/>
          <w:sz w:val="22"/>
          <w:szCs w:val="22"/>
        </w:rPr>
        <w:tab/>
        <w:t>SARS is amenable to granting Denel a deferred payment arrangement for the legacy tax debts and a compliant tax status provided the entity pays the current monthly Value Added Tax (VAT) and Pay as You Earn (PAYE) for August and the subsequent tax periods. Denel managed to pay the VAT due on 31 August but the PAYE remains unpaid.</w:t>
      </w:r>
    </w:p>
    <w:p w:rsidR="00687115" w:rsidRPr="003308D2" w:rsidRDefault="00687115" w:rsidP="00687115">
      <w:pPr>
        <w:pStyle w:val="Default"/>
        <w:spacing w:after="155" w:line="276" w:lineRule="auto"/>
        <w:ind w:left="360"/>
        <w:jc w:val="both"/>
        <w:rPr>
          <w:rFonts w:ascii="Arial" w:hAnsi="Arial" w:cs="Arial"/>
          <w:sz w:val="22"/>
          <w:szCs w:val="22"/>
        </w:rPr>
      </w:pPr>
      <w:r w:rsidRPr="003308D2">
        <w:rPr>
          <w:rFonts w:ascii="Arial" w:hAnsi="Arial" w:cs="Arial"/>
          <w:sz w:val="22"/>
          <w:szCs w:val="22"/>
        </w:rPr>
        <w:t>SARS has indicated their intention to invoke the provisions of section 169 of TAA and recover tax that is due to the fiscus followed by the provisions of section 172 (Application for civil judgment for recovery of tax) in the event of not securing enough cash to liquidate the current outstanding liabilities.</w:t>
      </w:r>
    </w:p>
    <w:p w:rsidR="00687115" w:rsidRPr="003308D2" w:rsidRDefault="00D243A1" w:rsidP="00687115">
      <w:pPr>
        <w:pStyle w:val="Default"/>
        <w:spacing w:after="155" w:line="276" w:lineRule="auto"/>
        <w:ind w:left="360"/>
        <w:jc w:val="both"/>
        <w:rPr>
          <w:rFonts w:ascii="Arial" w:hAnsi="Arial" w:cs="Arial"/>
          <w:sz w:val="22"/>
          <w:szCs w:val="22"/>
        </w:rPr>
      </w:pPr>
      <w:r>
        <w:rPr>
          <w:rFonts w:ascii="Arial" w:hAnsi="Arial" w:cs="Arial"/>
          <w:sz w:val="22"/>
          <w:szCs w:val="22"/>
        </w:rPr>
        <w:t>P</w:t>
      </w:r>
      <w:r w:rsidR="00687115" w:rsidRPr="003308D2">
        <w:rPr>
          <w:rFonts w:ascii="Arial" w:hAnsi="Arial" w:cs="Arial"/>
          <w:sz w:val="22"/>
          <w:szCs w:val="22"/>
        </w:rPr>
        <w:t>rovisions of section 234(2)(k) that lead to conviction, fine or imprisonment for a period not exceeding two years may be applied by SARS against the management of Denel due to non-payment of VAT and PAYE withheld and not paid over to SARS.</w:t>
      </w:r>
    </w:p>
    <w:p w:rsidR="00687115" w:rsidRPr="003308D2" w:rsidRDefault="00687115" w:rsidP="00687115">
      <w:pPr>
        <w:pStyle w:val="Default"/>
        <w:spacing w:after="155" w:line="276" w:lineRule="auto"/>
        <w:ind w:left="360" w:hanging="360"/>
        <w:jc w:val="both"/>
        <w:rPr>
          <w:rFonts w:ascii="Arial" w:hAnsi="Arial" w:cs="Arial"/>
          <w:b/>
          <w:sz w:val="22"/>
          <w:szCs w:val="22"/>
        </w:rPr>
      </w:pPr>
      <w:r w:rsidRPr="003308D2">
        <w:rPr>
          <w:rFonts w:ascii="Arial" w:hAnsi="Arial" w:cs="Arial"/>
          <w:b/>
          <w:sz w:val="22"/>
          <w:szCs w:val="22"/>
        </w:rPr>
        <w:t>3.</w:t>
      </w:r>
      <w:r w:rsidRPr="003308D2">
        <w:rPr>
          <w:rFonts w:ascii="Arial" w:hAnsi="Arial" w:cs="Arial"/>
          <w:b/>
          <w:sz w:val="22"/>
          <w:szCs w:val="22"/>
        </w:rPr>
        <w:tab/>
      </w:r>
      <w:r w:rsidRPr="003308D2">
        <w:rPr>
          <w:rFonts w:ascii="Arial" w:hAnsi="Arial" w:cs="Arial"/>
          <w:sz w:val="22"/>
          <w:szCs w:val="22"/>
        </w:rPr>
        <w:t>The three (3) executives, implicated in the Ngidi Report are currently on precautionary suspension with full pay.</w:t>
      </w:r>
      <w:r w:rsidRPr="003308D2">
        <w:rPr>
          <w:rFonts w:ascii="Arial" w:hAnsi="Arial" w:cs="Arial"/>
          <w:b/>
          <w:sz w:val="22"/>
          <w:szCs w:val="22"/>
        </w:rPr>
        <w:t xml:space="preserve"> </w:t>
      </w:r>
      <w:r w:rsidRPr="003308D2">
        <w:rPr>
          <w:rFonts w:ascii="Arial" w:hAnsi="Arial" w:cs="Arial"/>
          <w:sz w:val="22"/>
          <w:szCs w:val="22"/>
        </w:rPr>
        <w:t>The suspension with full pay is in line with the Denel SOC Ltd Disciplinary Code.</w:t>
      </w:r>
    </w:p>
    <w:p w:rsidR="00687115" w:rsidRPr="003308D2" w:rsidRDefault="00687115" w:rsidP="00687115">
      <w:pPr>
        <w:pStyle w:val="Default"/>
        <w:spacing w:after="155" w:line="276" w:lineRule="auto"/>
        <w:ind w:left="360" w:hanging="360"/>
        <w:jc w:val="both"/>
        <w:rPr>
          <w:rFonts w:ascii="Arial" w:hAnsi="Arial" w:cs="Arial"/>
          <w:b/>
          <w:sz w:val="22"/>
          <w:szCs w:val="22"/>
        </w:rPr>
      </w:pPr>
      <w:r w:rsidRPr="003308D2">
        <w:rPr>
          <w:rFonts w:ascii="Arial" w:hAnsi="Arial" w:cs="Arial"/>
          <w:b/>
          <w:sz w:val="22"/>
          <w:szCs w:val="22"/>
        </w:rPr>
        <w:t>4.</w:t>
      </w:r>
      <w:r w:rsidRPr="003308D2">
        <w:rPr>
          <w:rFonts w:ascii="Arial" w:hAnsi="Arial" w:cs="Arial"/>
          <w:b/>
          <w:sz w:val="22"/>
          <w:szCs w:val="22"/>
        </w:rPr>
        <w:tab/>
      </w:r>
      <w:r w:rsidRPr="003308D2">
        <w:rPr>
          <w:rFonts w:ascii="Arial" w:hAnsi="Arial" w:cs="Arial"/>
          <w:sz w:val="22"/>
          <w:szCs w:val="22"/>
        </w:rPr>
        <w:t>Four (4) employees who were implicated in the ENNE 7 contract were subjected to disciplinary hearings. Two were found not guilty. The other 2 were found guilty and were given Final Written Warnings. In addition to the Final Written Warning, one also received an additional 12 months suspension without pay.</w:t>
      </w:r>
    </w:p>
    <w:p w:rsidR="00687115" w:rsidRPr="003308D2" w:rsidRDefault="00687115" w:rsidP="00687115">
      <w:pPr>
        <w:pStyle w:val="Default"/>
        <w:spacing w:after="155" w:line="276" w:lineRule="auto"/>
        <w:ind w:left="360" w:hanging="360"/>
        <w:jc w:val="both"/>
        <w:rPr>
          <w:rFonts w:ascii="Arial" w:hAnsi="Arial" w:cs="Arial"/>
          <w:b/>
          <w:sz w:val="22"/>
          <w:szCs w:val="22"/>
        </w:rPr>
      </w:pPr>
    </w:p>
    <w:sectPr w:rsidR="00687115" w:rsidRPr="003308D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F9" w:rsidRDefault="000C33F9" w:rsidP="002F7B6C">
      <w:r>
        <w:separator/>
      </w:r>
    </w:p>
  </w:endnote>
  <w:endnote w:type="continuationSeparator" w:id="0">
    <w:p w:rsidR="000C33F9" w:rsidRDefault="000C33F9"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C33F9">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F9" w:rsidRDefault="000C33F9" w:rsidP="002F7B6C">
      <w:r>
        <w:separator/>
      </w:r>
    </w:p>
  </w:footnote>
  <w:footnote w:type="continuationSeparator" w:id="0">
    <w:p w:rsidR="000C33F9" w:rsidRDefault="000C33F9"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DA5BD3">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7">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4850F2"/>
    <w:multiLevelType w:val="multilevel"/>
    <w:tmpl w:val="1C09001D"/>
    <w:numStyleLink w:val="Style1"/>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B02F63"/>
    <w:multiLevelType w:val="hybridMultilevel"/>
    <w:tmpl w:val="63B8EAF0"/>
    <w:lvl w:ilvl="0" w:tplc="1C090001">
      <w:start w:val="1"/>
      <w:numFmt w:val="bullet"/>
      <w:lvlText w:val=""/>
      <w:lvlJc w:val="left"/>
      <w:pPr>
        <w:ind w:left="114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start w:val="1"/>
      <w:numFmt w:val="bullet"/>
      <w:lvlText w:val=""/>
      <w:lvlJc w:val="left"/>
      <w:pPr>
        <w:ind w:left="2585" w:hanging="360"/>
      </w:pPr>
      <w:rPr>
        <w:rFonts w:ascii="Wingdings" w:hAnsi="Wingdings" w:hint="default"/>
      </w:rPr>
    </w:lvl>
    <w:lvl w:ilvl="3" w:tplc="1C090001">
      <w:start w:val="1"/>
      <w:numFmt w:val="bullet"/>
      <w:lvlText w:val=""/>
      <w:lvlJc w:val="left"/>
      <w:pPr>
        <w:ind w:left="3305" w:hanging="360"/>
      </w:pPr>
      <w:rPr>
        <w:rFonts w:ascii="Symbol" w:hAnsi="Symbol" w:hint="default"/>
      </w:rPr>
    </w:lvl>
    <w:lvl w:ilvl="4" w:tplc="1C090003">
      <w:start w:val="1"/>
      <w:numFmt w:val="bullet"/>
      <w:lvlText w:val="o"/>
      <w:lvlJc w:val="left"/>
      <w:pPr>
        <w:ind w:left="4025" w:hanging="360"/>
      </w:pPr>
      <w:rPr>
        <w:rFonts w:ascii="Courier New" w:hAnsi="Courier New" w:cs="Courier New" w:hint="default"/>
      </w:rPr>
    </w:lvl>
    <w:lvl w:ilvl="5" w:tplc="1C090005">
      <w:start w:val="1"/>
      <w:numFmt w:val="bullet"/>
      <w:lvlText w:val=""/>
      <w:lvlJc w:val="left"/>
      <w:pPr>
        <w:ind w:left="4745" w:hanging="360"/>
      </w:pPr>
      <w:rPr>
        <w:rFonts w:ascii="Wingdings" w:hAnsi="Wingdings" w:hint="default"/>
      </w:rPr>
    </w:lvl>
    <w:lvl w:ilvl="6" w:tplc="1C090001">
      <w:start w:val="1"/>
      <w:numFmt w:val="bullet"/>
      <w:lvlText w:val=""/>
      <w:lvlJc w:val="left"/>
      <w:pPr>
        <w:ind w:left="5465" w:hanging="360"/>
      </w:pPr>
      <w:rPr>
        <w:rFonts w:ascii="Symbol" w:hAnsi="Symbol" w:hint="default"/>
      </w:rPr>
    </w:lvl>
    <w:lvl w:ilvl="7" w:tplc="1C090003">
      <w:start w:val="1"/>
      <w:numFmt w:val="bullet"/>
      <w:lvlText w:val="o"/>
      <w:lvlJc w:val="left"/>
      <w:pPr>
        <w:ind w:left="6185" w:hanging="360"/>
      </w:pPr>
      <w:rPr>
        <w:rFonts w:ascii="Courier New" w:hAnsi="Courier New" w:cs="Courier New" w:hint="default"/>
      </w:rPr>
    </w:lvl>
    <w:lvl w:ilvl="8" w:tplc="1C090005">
      <w:start w:val="1"/>
      <w:numFmt w:val="bullet"/>
      <w:lvlText w:val=""/>
      <w:lvlJc w:val="left"/>
      <w:pPr>
        <w:ind w:left="6905" w:hanging="360"/>
      </w:pPr>
      <w:rPr>
        <w:rFonts w:ascii="Wingdings" w:hAnsi="Wingdings" w:hint="default"/>
      </w:rPr>
    </w:lvl>
  </w:abstractNum>
  <w:abstractNum w:abstractNumId="16">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4">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7">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1">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2">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5">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4"/>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12"/>
  </w:num>
  <w:num w:numId="10">
    <w:abstractNumId w:val="1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1"/>
  </w:num>
  <w:num w:numId="16">
    <w:abstractNumId w:val="8"/>
  </w:num>
  <w:num w:numId="17">
    <w:abstractNumId w:val="13"/>
  </w:num>
  <w:num w:numId="18">
    <w:abstractNumId w:val="34"/>
  </w:num>
  <w:num w:numId="19">
    <w:abstractNumId w:val="26"/>
  </w:num>
  <w:num w:numId="20">
    <w:abstractNumId w:val="9"/>
  </w:num>
  <w:num w:numId="21">
    <w:abstractNumId w:val="3"/>
  </w:num>
  <w:num w:numId="22">
    <w:abstractNumId w:val="30"/>
  </w:num>
  <w:num w:numId="23">
    <w:abstractNumId w:val="29"/>
  </w:num>
  <w:num w:numId="24">
    <w:abstractNumId w:val="35"/>
  </w:num>
  <w:num w:numId="25">
    <w:abstractNumId w:val="0"/>
  </w:num>
  <w:num w:numId="26">
    <w:abstractNumId w:val="25"/>
  </w:num>
  <w:num w:numId="27">
    <w:abstractNumId w:val="10"/>
  </w:num>
  <w:num w:numId="28">
    <w:abstractNumId w:val="32"/>
  </w:num>
  <w:num w:numId="29">
    <w:abstractNumId w:val="4"/>
  </w:num>
  <w:num w:numId="30">
    <w:abstractNumId w:val="7"/>
  </w:num>
  <w:num w:numId="31">
    <w:abstractNumId w:val="3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56247"/>
    <w:rsid w:val="00063424"/>
    <w:rsid w:val="00064DE9"/>
    <w:rsid w:val="000761C1"/>
    <w:rsid w:val="00082DF7"/>
    <w:rsid w:val="00093C4D"/>
    <w:rsid w:val="000A6768"/>
    <w:rsid w:val="000A6E4F"/>
    <w:rsid w:val="000B0078"/>
    <w:rsid w:val="000B0758"/>
    <w:rsid w:val="000B1785"/>
    <w:rsid w:val="000B6C62"/>
    <w:rsid w:val="000C33F9"/>
    <w:rsid w:val="000C36EA"/>
    <w:rsid w:val="000D0546"/>
    <w:rsid w:val="000D2BC4"/>
    <w:rsid w:val="000D7B56"/>
    <w:rsid w:val="000E13FF"/>
    <w:rsid w:val="000E5477"/>
    <w:rsid w:val="000F170E"/>
    <w:rsid w:val="000F1AE2"/>
    <w:rsid w:val="000F3B54"/>
    <w:rsid w:val="000F4733"/>
    <w:rsid w:val="000F4C3B"/>
    <w:rsid w:val="001002CA"/>
    <w:rsid w:val="00100F38"/>
    <w:rsid w:val="0010539F"/>
    <w:rsid w:val="00115F2A"/>
    <w:rsid w:val="00121003"/>
    <w:rsid w:val="00143667"/>
    <w:rsid w:val="001465A8"/>
    <w:rsid w:val="00154917"/>
    <w:rsid w:val="001617C6"/>
    <w:rsid w:val="001678B5"/>
    <w:rsid w:val="001740EB"/>
    <w:rsid w:val="001768FA"/>
    <w:rsid w:val="00180887"/>
    <w:rsid w:val="00181A85"/>
    <w:rsid w:val="001824E2"/>
    <w:rsid w:val="001835A6"/>
    <w:rsid w:val="00187731"/>
    <w:rsid w:val="001A14A0"/>
    <w:rsid w:val="001A15FB"/>
    <w:rsid w:val="001A2020"/>
    <w:rsid w:val="001A63AA"/>
    <w:rsid w:val="001B5577"/>
    <w:rsid w:val="001B58A0"/>
    <w:rsid w:val="001C5D73"/>
    <w:rsid w:val="001D6636"/>
    <w:rsid w:val="001D6AD9"/>
    <w:rsid w:val="001E36FF"/>
    <w:rsid w:val="001E4674"/>
    <w:rsid w:val="001E5099"/>
    <w:rsid w:val="001F68BA"/>
    <w:rsid w:val="00202E8D"/>
    <w:rsid w:val="00204BA5"/>
    <w:rsid w:val="00205793"/>
    <w:rsid w:val="002102C5"/>
    <w:rsid w:val="0022523E"/>
    <w:rsid w:val="002257AD"/>
    <w:rsid w:val="00226482"/>
    <w:rsid w:val="00231713"/>
    <w:rsid w:val="00232CF8"/>
    <w:rsid w:val="00251886"/>
    <w:rsid w:val="00253EEE"/>
    <w:rsid w:val="002558F8"/>
    <w:rsid w:val="00262CCB"/>
    <w:rsid w:val="0026535D"/>
    <w:rsid w:val="00277F2F"/>
    <w:rsid w:val="002860E0"/>
    <w:rsid w:val="002877CD"/>
    <w:rsid w:val="00292E7A"/>
    <w:rsid w:val="002945C8"/>
    <w:rsid w:val="002A0C5B"/>
    <w:rsid w:val="002A2992"/>
    <w:rsid w:val="002B5729"/>
    <w:rsid w:val="002C183F"/>
    <w:rsid w:val="002C219A"/>
    <w:rsid w:val="002C356F"/>
    <w:rsid w:val="002D0F08"/>
    <w:rsid w:val="002D70A6"/>
    <w:rsid w:val="002E237E"/>
    <w:rsid w:val="002E2DEB"/>
    <w:rsid w:val="002F25CC"/>
    <w:rsid w:val="002F35E9"/>
    <w:rsid w:val="002F564A"/>
    <w:rsid w:val="002F5E77"/>
    <w:rsid w:val="002F6546"/>
    <w:rsid w:val="002F7B6C"/>
    <w:rsid w:val="003022B2"/>
    <w:rsid w:val="00304D24"/>
    <w:rsid w:val="003237C9"/>
    <w:rsid w:val="003308D2"/>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0FF3"/>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07D9"/>
    <w:rsid w:val="005C2BD3"/>
    <w:rsid w:val="005C3BE9"/>
    <w:rsid w:val="005D4452"/>
    <w:rsid w:val="005E232A"/>
    <w:rsid w:val="005E53CB"/>
    <w:rsid w:val="00600858"/>
    <w:rsid w:val="00617391"/>
    <w:rsid w:val="00632C36"/>
    <w:rsid w:val="00634841"/>
    <w:rsid w:val="00643BA9"/>
    <w:rsid w:val="006473EC"/>
    <w:rsid w:val="006503D1"/>
    <w:rsid w:val="006522AE"/>
    <w:rsid w:val="006574A8"/>
    <w:rsid w:val="006639BE"/>
    <w:rsid w:val="00674548"/>
    <w:rsid w:val="00683DF1"/>
    <w:rsid w:val="00687115"/>
    <w:rsid w:val="00691516"/>
    <w:rsid w:val="00692C78"/>
    <w:rsid w:val="00693729"/>
    <w:rsid w:val="006A0C98"/>
    <w:rsid w:val="006B1B03"/>
    <w:rsid w:val="006B6CAA"/>
    <w:rsid w:val="006B7A8C"/>
    <w:rsid w:val="006C24C3"/>
    <w:rsid w:val="006C3A71"/>
    <w:rsid w:val="006C630D"/>
    <w:rsid w:val="006C63EE"/>
    <w:rsid w:val="006C7F97"/>
    <w:rsid w:val="006D2780"/>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0F42"/>
    <w:rsid w:val="007821F5"/>
    <w:rsid w:val="007861CC"/>
    <w:rsid w:val="00787410"/>
    <w:rsid w:val="00794BA1"/>
    <w:rsid w:val="007A0A55"/>
    <w:rsid w:val="007A205F"/>
    <w:rsid w:val="007A5976"/>
    <w:rsid w:val="007B3B72"/>
    <w:rsid w:val="007B55B5"/>
    <w:rsid w:val="007C59C4"/>
    <w:rsid w:val="007D3B93"/>
    <w:rsid w:val="007D51A4"/>
    <w:rsid w:val="007D5303"/>
    <w:rsid w:val="007D5D61"/>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6CC7"/>
    <w:rsid w:val="0097033F"/>
    <w:rsid w:val="00971EA8"/>
    <w:rsid w:val="00983134"/>
    <w:rsid w:val="00983745"/>
    <w:rsid w:val="009B001C"/>
    <w:rsid w:val="009B7F8A"/>
    <w:rsid w:val="009C1128"/>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B1C3D"/>
    <w:rsid w:val="00AC40F3"/>
    <w:rsid w:val="00AD1830"/>
    <w:rsid w:val="00AD22A9"/>
    <w:rsid w:val="00AD4554"/>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C02B81"/>
    <w:rsid w:val="00C04A5B"/>
    <w:rsid w:val="00C05B52"/>
    <w:rsid w:val="00C163FA"/>
    <w:rsid w:val="00C33287"/>
    <w:rsid w:val="00C33AC7"/>
    <w:rsid w:val="00C35B67"/>
    <w:rsid w:val="00C35C85"/>
    <w:rsid w:val="00C36C5A"/>
    <w:rsid w:val="00C37C01"/>
    <w:rsid w:val="00C51A9C"/>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CF63EF"/>
    <w:rsid w:val="00D042B8"/>
    <w:rsid w:val="00D1161C"/>
    <w:rsid w:val="00D15DA1"/>
    <w:rsid w:val="00D243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9141D"/>
    <w:rsid w:val="00D960C4"/>
    <w:rsid w:val="00DA2A51"/>
    <w:rsid w:val="00DA33E4"/>
    <w:rsid w:val="00DA5BD3"/>
    <w:rsid w:val="00DA61B8"/>
    <w:rsid w:val="00DB00DD"/>
    <w:rsid w:val="00DB2624"/>
    <w:rsid w:val="00DB49FC"/>
    <w:rsid w:val="00DC0DD3"/>
    <w:rsid w:val="00DD247F"/>
    <w:rsid w:val="00DD305B"/>
    <w:rsid w:val="00DD58A5"/>
    <w:rsid w:val="00DE23D3"/>
    <w:rsid w:val="00DE4554"/>
    <w:rsid w:val="00DE5833"/>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282C"/>
    <w:rsid w:val="00ED3319"/>
    <w:rsid w:val="00ED5E86"/>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 w:type="character" w:customStyle="1" w:styleId="markedcontent">
    <w:name w:val="markedcontent"/>
    <w:basedOn w:val="DefaultParagraphFont"/>
    <w:rsid w:val="00687115"/>
  </w:style>
</w:styles>
</file>

<file path=word/webSettings.xml><?xml version="1.0" encoding="utf-8"?>
<w:webSettings xmlns:r="http://schemas.openxmlformats.org/officeDocument/2006/relationships" xmlns:w="http://schemas.openxmlformats.org/wordprocessingml/2006/main">
  <w:divs>
    <w:div w:id="58482076">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05B9-CFF4-4842-9EFB-C4C15A2E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2021-09-20T07:37:00Z</cp:lastPrinted>
  <dcterms:created xsi:type="dcterms:W3CDTF">2021-10-12T11:43:00Z</dcterms:created>
  <dcterms:modified xsi:type="dcterms:W3CDTF">2021-10-12T11:43:00Z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000000009336D1C12D4D0046878667334586BC40070063DF6E4B393449499EEA02FD7183CFED00000000010C000063DF6E4B393449499EEA02FD7183CFED00037A1A7EAB0000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