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69" w:rsidRPr="00412355" w:rsidRDefault="00354F69" w:rsidP="00412355">
      <w:pPr>
        <w:spacing w:after="0" w:line="360" w:lineRule="auto"/>
        <w:ind w:left="720" w:hanging="720"/>
        <w:outlineLvl w:val="0"/>
        <w:rPr>
          <w:rFonts w:ascii="Arial" w:hAnsi="Arial" w:cs="Arial"/>
          <w:b/>
        </w:rPr>
      </w:pPr>
      <w:r w:rsidRPr="00412355">
        <w:rPr>
          <w:rFonts w:ascii="Arial" w:hAnsi="Arial" w:cs="Arial"/>
          <w:noProof/>
          <w:lang w:eastAsia="en-ZA"/>
        </w:rPr>
        <w:drawing>
          <wp:inline distT="0" distB="0" distL="0" distR="0">
            <wp:extent cx="2171700" cy="762000"/>
            <wp:effectExtent l="0" t="0" r="0" b="0"/>
            <wp:docPr id="5" name="Picture 5"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Pr="00412355">
        <w:rPr>
          <w:rFonts w:ascii="Arial" w:hAnsi="Arial" w:cs="Arial"/>
          <w:b/>
        </w:rPr>
        <w:t xml:space="preserve"> </w:t>
      </w:r>
    </w:p>
    <w:p w:rsidR="00936D98" w:rsidRPr="00412355" w:rsidRDefault="00936D98" w:rsidP="00412355">
      <w:pPr>
        <w:spacing w:after="0" w:line="360" w:lineRule="auto"/>
        <w:ind w:left="720" w:hanging="720"/>
        <w:jc w:val="center"/>
        <w:outlineLvl w:val="0"/>
        <w:rPr>
          <w:rFonts w:ascii="Arial" w:hAnsi="Arial" w:cs="Arial"/>
          <w:b/>
        </w:rPr>
      </w:pPr>
      <w:r w:rsidRPr="00412355">
        <w:rPr>
          <w:rFonts w:ascii="Arial" w:hAnsi="Arial" w:cs="Arial"/>
          <w:b/>
        </w:rPr>
        <w:t>THE NATIONAL ASSEMBLY</w:t>
      </w:r>
    </w:p>
    <w:p w:rsidR="00B236EF" w:rsidRPr="00412355" w:rsidRDefault="00B236EF" w:rsidP="00412355">
      <w:pPr>
        <w:spacing w:after="0" w:line="360" w:lineRule="auto"/>
        <w:ind w:left="720" w:hanging="720"/>
        <w:jc w:val="center"/>
        <w:outlineLvl w:val="0"/>
        <w:rPr>
          <w:rFonts w:ascii="Arial" w:hAnsi="Arial" w:cs="Arial"/>
          <w:b/>
        </w:rPr>
      </w:pPr>
    </w:p>
    <w:p w:rsidR="00936D98" w:rsidRPr="00412355" w:rsidRDefault="001C2546" w:rsidP="00412355">
      <w:pPr>
        <w:spacing w:after="0" w:line="360" w:lineRule="auto"/>
        <w:ind w:left="720" w:hanging="720"/>
        <w:jc w:val="center"/>
        <w:outlineLvl w:val="0"/>
        <w:rPr>
          <w:rFonts w:ascii="Arial" w:hAnsi="Arial" w:cs="Arial"/>
          <w:b/>
        </w:rPr>
      </w:pPr>
      <w:r w:rsidRPr="00412355">
        <w:rPr>
          <w:rFonts w:ascii="Arial" w:hAnsi="Arial" w:cs="Arial"/>
          <w:b/>
        </w:rPr>
        <w:t xml:space="preserve">QUESTION </w:t>
      </w:r>
      <w:r w:rsidR="00D67B07">
        <w:rPr>
          <w:rFonts w:ascii="Arial" w:hAnsi="Arial" w:cs="Arial"/>
          <w:b/>
        </w:rPr>
        <w:t xml:space="preserve">TRANSFERRED </w:t>
      </w:r>
      <w:r w:rsidRPr="00412355">
        <w:rPr>
          <w:rFonts w:ascii="Arial" w:hAnsi="Arial" w:cs="Arial"/>
          <w:b/>
        </w:rPr>
        <w:t xml:space="preserve">FOR </w:t>
      </w:r>
      <w:r w:rsidR="00D67B07">
        <w:rPr>
          <w:rFonts w:ascii="Arial" w:hAnsi="Arial" w:cs="Arial"/>
          <w:b/>
        </w:rPr>
        <w:t xml:space="preserve">WRITTEN </w:t>
      </w:r>
      <w:r w:rsidR="00936D98" w:rsidRPr="00412355">
        <w:rPr>
          <w:rFonts w:ascii="Arial" w:hAnsi="Arial" w:cs="Arial"/>
          <w:b/>
        </w:rPr>
        <w:t>REPLY</w:t>
      </w:r>
    </w:p>
    <w:p w:rsidR="00294D96" w:rsidRPr="00412355" w:rsidRDefault="00294D96" w:rsidP="00412355">
      <w:pPr>
        <w:spacing w:after="0" w:line="360" w:lineRule="auto"/>
        <w:ind w:left="720" w:hanging="720"/>
        <w:jc w:val="both"/>
        <w:outlineLvl w:val="0"/>
        <w:rPr>
          <w:rFonts w:ascii="Arial" w:hAnsi="Arial" w:cs="Arial"/>
          <w:b/>
          <w:bCs/>
        </w:rPr>
      </w:pPr>
    </w:p>
    <w:p w:rsidR="00E11932" w:rsidRDefault="00B236EF" w:rsidP="00412355">
      <w:pPr>
        <w:spacing w:after="0" w:line="360" w:lineRule="auto"/>
        <w:ind w:left="720" w:hanging="720"/>
        <w:jc w:val="both"/>
        <w:outlineLvl w:val="0"/>
        <w:rPr>
          <w:rFonts w:ascii="Arial" w:hAnsi="Arial" w:cs="Arial"/>
          <w:b/>
          <w:bCs/>
        </w:rPr>
      </w:pPr>
      <w:r w:rsidRPr="00412355">
        <w:rPr>
          <w:rFonts w:ascii="Arial" w:hAnsi="Arial" w:cs="Arial"/>
          <w:b/>
          <w:bCs/>
        </w:rPr>
        <w:t>QUESTION</w:t>
      </w:r>
      <w:r w:rsidR="00C85DD8" w:rsidRPr="00412355">
        <w:rPr>
          <w:rFonts w:ascii="Arial" w:hAnsi="Arial" w:cs="Arial"/>
          <w:b/>
          <w:bCs/>
        </w:rPr>
        <w:t xml:space="preserve"> NO</w:t>
      </w:r>
      <w:r w:rsidR="00D66290" w:rsidRPr="00412355">
        <w:rPr>
          <w:rFonts w:ascii="Arial" w:hAnsi="Arial" w:cs="Arial"/>
          <w:b/>
          <w:bCs/>
        </w:rPr>
        <w:t xml:space="preserve">. </w:t>
      </w:r>
      <w:r w:rsidR="00DE1165" w:rsidRPr="00412355">
        <w:rPr>
          <w:rFonts w:ascii="Arial" w:hAnsi="Arial" w:cs="Arial"/>
          <w:b/>
          <w:bCs/>
        </w:rPr>
        <w:t>2</w:t>
      </w:r>
      <w:r w:rsidR="00E11932">
        <w:rPr>
          <w:rFonts w:ascii="Arial" w:hAnsi="Arial" w:cs="Arial"/>
          <w:b/>
          <w:bCs/>
        </w:rPr>
        <w:t>106</w:t>
      </w:r>
      <w:r w:rsidR="00D67B07">
        <w:rPr>
          <w:rFonts w:ascii="Arial" w:hAnsi="Arial" w:cs="Arial"/>
          <w:b/>
          <w:bCs/>
        </w:rPr>
        <w:t>[*261]</w:t>
      </w:r>
      <w:r w:rsidR="00E11932">
        <w:rPr>
          <w:rFonts w:ascii="Arial" w:hAnsi="Arial" w:cs="Arial"/>
          <w:b/>
          <w:bCs/>
        </w:rPr>
        <w:t xml:space="preserve">, </w:t>
      </w:r>
    </w:p>
    <w:p w:rsidR="00B236EF" w:rsidRPr="00412355" w:rsidRDefault="00294D96" w:rsidP="00412355">
      <w:pPr>
        <w:spacing w:after="0" w:line="360" w:lineRule="auto"/>
        <w:ind w:left="720" w:hanging="720"/>
        <w:jc w:val="both"/>
        <w:outlineLvl w:val="0"/>
        <w:rPr>
          <w:rFonts w:ascii="Arial" w:hAnsi="Arial" w:cs="Arial"/>
          <w:b/>
          <w:bCs/>
        </w:rPr>
      </w:pPr>
      <w:r w:rsidRPr="00412355">
        <w:rPr>
          <w:rFonts w:ascii="Arial" w:hAnsi="Arial" w:cs="Arial"/>
          <w:b/>
          <w:bCs/>
        </w:rPr>
        <w:tab/>
      </w:r>
    </w:p>
    <w:p w:rsidR="00B236EF" w:rsidRPr="00412355" w:rsidRDefault="00B236EF" w:rsidP="00412355">
      <w:pPr>
        <w:spacing w:after="0" w:line="360" w:lineRule="auto"/>
        <w:ind w:left="720" w:hanging="720"/>
        <w:jc w:val="both"/>
        <w:outlineLvl w:val="0"/>
        <w:rPr>
          <w:rFonts w:ascii="Arial" w:hAnsi="Arial" w:cs="Arial"/>
          <w:b/>
          <w:bCs/>
        </w:rPr>
      </w:pPr>
    </w:p>
    <w:p w:rsidR="00294D96" w:rsidRPr="00412355" w:rsidRDefault="00DE1165" w:rsidP="00412355">
      <w:pPr>
        <w:spacing w:after="0" w:line="360" w:lineRule="auto"/>
        <w:ind w:left="720" w:hanging="720"/>
        <w:jc w:val="both"/>
        <w:outlineLvl w:val="0"/>
        <w:rPr>
          <w:rFonts w:ascii="Arial" w:eastAsia="Times New Roman" w:hAnsi="Arial" w:cs="Arial"/>
          <w:lang w:val="en-US"/>
        </w:rPr>
      </w:pPr>
      <w:r w:rsidRPr="00412355">
        <w:rPr>
          <w:rFonts w:ascii="Arial" w:eastAsia="Times New Roman" w:hAnsi="Arial" w:cs="Arial"/>
          <w:b/>
          <w:lang w:val="en-US"/>
        </w:rPr>
        <w:t>Mr S H Mbuyane (ANC) to ask the Minister of Trade, Industry and Competition</w:t>
      </w:r>
      <w:r w:rsidR="00A82165" w:rsidRPr="00412355">
        <w:rPr>
          <w:rFonts w:ascii="Arial" w:eastAsia="Times New Roman" w:hAnsi="Arial" w:cs="Arial"/>
          <w:b/>
          <w:lang w:val="en-US"/>
        </w:rPr>
        <w:t>:</w:t>
      </w:r>
    </w:p>
    <w:p w:rsidR="00DE45A5" w:rsidRPr="00412355" w:rsidRDefault="007513A0" w:rsidP="00412355">
      <w:pPr>
        <w:spacing w:after="0" w:line="360" w:lineRule="auto"/>
        <w:jc w:val="both"/>
        <w:outlineLvl w:val="0"/>
        <w:rPr>
          <w:rFonts w:ascii="Arial" w:eastAsia="Calibri" w:hAnsi="Arial" w:cs="Arial"/>
          <w:lang w:val="en-GB"/>
        </w:rPr>
      </w:pPr>
      <w:r w:rsidRPr="00412355">
        <w:rPr>
          <w:rFonts w:ascii="Arial" w:eastAsia="Calibri" w:hAnsi="Arial" w:cs="Arial"/>
          <w:lang w:val="en-GB"/>
        </w:rPr>
        <w:t>Noting that the Competition Commission released their report on measuring the levels of concentration in the South African economy in November 2021, wherein it was recommended that considering the financial constraints of the Government in funding small-, medium- and micro- enterprises, the Government should ensure that the private sector financial institutions close that gap and fund small businesses owned by previously disadvantaged individuals, particularly those in the agro-processing and manufacturing sectors, what measures has his department adopted to date to ensure the implementation of the specified recommendation?   N</w:t>
      </w:r>
      <w:r w:rsidR="00D67B07">
        <w:rPr>
          <w:rFonts w:ascii="Arial" w:eastAsia="Calibri" w:hAnsi="Arial" w:cs="Arial"/>
          <w:lang w:val="en-GB"/>
        </w:rPr>
        <w:t>W</w:t>
      </w:r>
      <w:r w:rsidRPr="00412355">
        <w:rPr>
          <w:rFonts w:ascii="Arial" w:eastAsia="Calibri" w:hAnsi="Arial" w:cs="Arial"/>
          <w:lang w:val="en-GB"/>
        </w:rPr>
        <w:t>2383E</w:t>
      </w:r>
    </w:p>
    <w:p w:rsidR="00AC7704" w:rsidRDefault="00AC7704" w:rsidP="00412355">
      <w:pPr>
        <w:spacing w:after="0" w:line="360" w:lineRule="auto"/>
        <w:jc w:val="both"/>
        <w:outlineLvl w:val="0"/>
        <w:rPr>
          <w:rFonts w:ascii="Arial" w:eastAsia="Calibri" w:hAnsi="Arial" w:cs="Arial"/>
          <w:color w:val="FF0000"/>
          <w:lang w:val="en-GB"/>
        </w:rPr>
      </w:pPr>
    </w:p>
    <w:p w:rsidR="007513A0" w:rsidRPr="00412355" w:rsidRDefault="00354F69" w:rsidP="00412355">
      <w:pPr>
        <w:spacing w:after="0" w:line="360" w:lineRule="auto"/>
        <w:jc w:val="both"/>
        <w:outlineLvl w:val="0"/>
        <w:rPr>
          <w:rFonts w:ascii="Arial" w:eastAsia="Calibri" w:hAnsi="Arial" w:cs="Arial"/>
          <w:b/>
          <w:lang w:val="en-GB"/>
        </w:rPr>
      </w:pPr>
      <w:r w:rsidRPr="00412355">
        <w:rPr>
          <w:rFonts w:ascii="Arial" w:eastAsia="Calibri" w:hAnsi="Arial" w:cs="Arial"/>
          <w:b/>
          <w:lang w:val="en-GB"/>
        </w:rPr>
        <w:t>REPLY</w:t>
      </w:r>
    </w:p>
    <w:p w:rsidR="007513A0" w:rsidRPr="00AC7704" w:rsidRDefault="007513A0" w:rsidP="00412355">
      <w:pPr>
        <w:spacing w:after="0" w:line="360" w:lineRule="auto"/>
        <w:jc w:val="both"/>
        <w:outlineLvl w:val="0"/>
        <w:rPr>
          <w:rFonts w:ascii="Arial" w:eastAsia="Calibri" w:hAnsi="Arial" w:cs="Arial"/>
          <w:bCs/>
          <w:lang w:val="en-GB"/>
        </w:rPr>
      </w:pPr>
    </w:p>
    <w:p w:rsidR="00AC7704" w:rsidRDefault="00AC7704" w:rsidP="00412355">
      <w:pPr>
        <w:spacing w:after="0" w:line="360" w:lineRule="auto"/>
        <w:jc w:val="both"/>
        <w:outlineLvl w:val="0"/>
        <w:rPr>
          <w:rFonts w:ascii="Arial" w:eastAsia="Calibri" w:hAnsi="Arial" w:cs="Arial"/>
          <w:bCs/>
          <w:lang w:val="en-GB"/>
        </w:rPr>
      </w:pPr>
      <w:r w:rsidRPr="00AC7704">
        <w:rPr>
          <w:rFonts w:ascii="Arial" w:eastAsia="Calibri" w:hAnsi="Arial" w:cs="Arial"/>
          <w:bCs/>
          <w:lang w:val="en-GB"/>
        </w:rPr>
        <w:t xml:space="preserve">The findings of the </w:t>
      </w:r>
      <w:r>
        <w:rPr>
          <w:rFonts w:ascii="Arial" w:eastAsia="Calibri" w:hAnsi="Arial" w:cs="Arial"/>
          <w:bCs/>
          <w:lang w:val="en-GB"/>
        </w:rPr>
        <w:t xml:space="preserve">Competition Commission report </w:t>
      </w:r>
      <w:r w:rsidR="00B216C7">
        <w:rPr>
          <w:rFonts w:ascii="Arial" w:eastAsia="Calibri" w:hAnsi="Arial" w:cs="Arial"/>
          <w:bCs/>
          <w:lang w:val="en-GB"/>
        </w:rPr>
        <w:t xml:space="preserve">are </w:t>
      </w:r>
      <w:r>
        <w:rPr>
          <w:rFonts w:ascii="Arial" w:eastAsia="Calibri" w:hAnsi="Arial" w:cs="Arial"/>
          <w:bCs/>
          <w:lang w:val="en-GB"/>
        </w:rPr>
        <w:t xml:space="preserve">taken up in a number of ways. They include the following: </w:t>
      </w:r>
    </w:p>
    <w:p w:rsidR="00AC7704" w:rsidRDefault="00AC7704" w:rsidP="00412355">
      <w:pPr>
        <w:spacing w:after="0" w:line="360" w:lineRule="auto"/>
        <w:jc w:val="both"/>
        <w:outlineLvl w:val="0"/>
        <w:rPr>
          <w:rFonts w:ascii="Arial" w:eastAsia="Calibri" w:hAnsi="Arial" w:cs="Arial"/>
          <w:bCs/>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bCs/>
          <w:lang w:val="en-GB"/>
        </w:rPr>
        <w:t xml:space="preserve">1. </w:t>
      </w:r>
      <w:r w:rsidR="001031F7" w:rsidRPr="00412355">
        <w:rPr>
          <w:rFonts w:ascii="Arial" w:eastAsia="Calibri" w:hAnsi="Arial" w:cs="Arial"/>
          <w:lang w:val="en-GB"/>
        </w:rPr>
        <w:t>Market I</w:t>
      </w:r>
      <w:r w:rsidR="0071675B" w:rsidRPr="00412355">
        <w:rPr>
          <w:rFonts w:ascii="Arial" w:eastAsia="Calibri" w:hAnsi="Arial" w:cs="Arial"/>
          <w:lang w:val="en-GB"/>
        </w:rPr>
        <w:t>nquiries/</w:t>
      </w:r>
      <w:r w:rsidR="008B2D99" w:rsidRPr="00412355">
        <w:rPr>
          <w:rFonts w:ascii="Arial" w:eastAsia="Calibri" w:hAnsi="Arial" w:cs="Arial"/>
          <w:lang w:val="en-GB"/>
        </w:rPr>
        <w:t>investigations</w:t>
      </w:r>
      <w:r w:rsidR="001031F7" w:rsidRPr="00412355">
        <w:rPr>
          <w:rFonts w:ascii="Arial" w:eastAsia="Calibri" w:hAnsi="Arial" w:cs="Arial"/>
          <w:lang w:val="en-GB"/>
        </w:rPr>
        <w:t xml:space="preserve"> in terms of the Competition Act</w:t>
      </w:r>
      <w:r w:rsidR="00603E6F">
        <w:rPr>
          <w:rFonts w:ascii="Arial" w:eastAsia="Calibri" w:hAnsi="Arial" w:cs="Arial"/>
          <w:lang w:val="en-GB"/>
        </w:rPr>
        <w:t xml:space="preserve">. </w:t>
      </w:r>
    </w:p>
    <w:p w:rsidR="00AC7704" w:rsidRDefault="00AC7704" w:rsidP="00412355">
      <w:pPr>
        <w:spacing w:after="0" w:line="360" w:lineRule="auto"/>
        <w:jc w:val="both"/>
        <w:outlineLvl w:val="0"/>
        <w:rPr>
          <w:rFonts w:ascii="Arial" w:eastAsia="Calibri" w:hAnsi="Arial" w:cs="Arial"/>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lang w:val="en-GB"/>
        </w:rPr>
        <w:t>2. Considerations applied during the assessment of merger applications.</w:t>
      </w:r>
    </w:p>
    <w:p w:rsidR="00AC7704" w:rsidRDefault="00AC7704" w:rsidP="00412355">
      <w:pPr>
        <w:spacing w:after="0" w:line="360" w:lineRule="auto"/>
        <w:jc w:val="both"/>
        <w:outlineLvl w:val="0"/>
        <w:rPr>
          <w:rFonts w:ascii="Arial" w:eastAsia="Calibri" w:hAnsi="Arial" w:cs="Arial"/>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lang w:val="en-GB"/>
        </w:rPr>
        <w:t>3. Support for SMMEs through financing packages.</w:t>
      </w:r>
    </w:p>
    <w:p w:rsidR="00AC7704" w:rsidRDefault="00AC7704" w:rsidP="00412355">
      <w:pPr>
        <w:spacing w:after="0" w:line="360" w:lineRule="auto"/>
        <w:jc w:val="both"/>
        <w:outlineLvl w:val="0"/>
        <w:rPr>
          <w:rFonts w:ascii="Arial" w:eastAsia="Calibri" w:hAnsi="Arial" w:cs="Arial"/>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lang w:val="en-GB"/>
        </w:rPr>
        <w:t>4. Measures to strengthen the competitiveness of smaller firms.</w:t>
      </w:r>
    </w:p>
    <w:p w:rsidR="00AC7704" w:rsidRDefault="00AC7704" w:rsidP="00412355">
      <w:pPr>
        <w:spacing w:after="0" w:line="360" w:lineRule="auto"/>
        <w:jc w:val="both"/>
        <w:outlineLvl w:val="0"/>
        <w:rPr>
          <w:rFonts w:ascii="Arial" w:eastAsia="Calibri" w:hAnsi="Arial" w:cs="Arial"/>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lang w:val="en-GB"/>
        </w:rPr>
        <w:t>5. Promotion of supplier development funds and partnerships.</w:t>
      </w:r>
    </w:p>
    <w:p w:rsidR="00AC7704" w:rsidRDefault="00AC7704" w:rsidP="00412355">
      <w:pPr>
        <w:spacing w:after="0" w:line="360" w:lineRule="auto"/>
        <w:jc w:val="both"/>
        <w:outlineLvl w:val="0"/>
        <w:rPr>
          <w:rFonts w:ascii="Arial" w:eastAsia="Calibri" w:hAnsi="Arial" w:cs="Arial"/>
          <w:lang w:val="en-GB"/>
        </w:rPr>
      </w:pPr>
    </w:p>
    <w:p w:rsidR="00AC7704" w:rsidRDefault="00AC7704" w:rsidP="00412355">
      <w:pPr>
        <w:spacing w:after="0" w:line="360" w:lineRule="auto"/>
        <w:jc w:val="both"/>
        <w:outlineLvl w:val="0"/>
        <w:rPr>
          <w:rFonts w:ascii="Arial" w:eastAsia="Calibri" w:hAnsi="Arial" w:cs="Arial"/>
          <w:lang w:val="en-GB"/>
        </w:rPr>
      </w:pPr>
      <w:r>
        <w:rPr>
          <w:rFonts w:ascii="Arial" w:eastAsia="Calibri" w:hAnsi="Arial" w:cs="Arial"/>
          <w:lang w:val="en-GB"/>
        </w:rPr>
        <w:t xml:space="preserve">6. Measures in masterplans. </w:t>
      </w:r>
    </w:p>
    <w:p w:rsidR="00AC7704" w:rsidRDefault="00AC7704" w:rsidP="00412355">
      <w:pPr>
        <w:spacing w:after="0" w:line="360" w:lineRule="auto"/>
        <w:jc w:val="both"/>
        <w:outlineLvl w:val="0"/>
        <w:rPr>
          <w:rFonts w:ascii="Arial" w:eastAsia="Calibri" w:hAnsi="Arial" w:cs="Arial"/>
          <w:lang w:val="en-GB"/>
        </w:rPr>
      </w:pPr>
    </w:p>
    <w:p w:rsidR="00847D2E" w:rsidRPr="00412355" w:rsidRDefault="001031F7" w:rsidP="00AC7704">
      <w:pPr>
        <w:spacing w:after="0" w:line="360" w:lineRule="auto"/>
        <w:jc w:val="both"/>
        <w:outlineLvl w:val="0"/>
        <w:rPr>
          <w:rFonts w:ascii="Arial" w:eastAsia="Calibri" w:hAnsi="Arial" w:cs="Arial"/>
          <w:lang w:val="en-GB"/>
        </w:rPr>
      </w:pPr>
      <w:r w:rsidRPr="00412355">
        <w:rPr>
          <w:rFonts w:ascii="Arial" w:eastAsia="Calibri" w:hAnsi="Arial" w:cs="Arial"/>
          <w:lang w:val="en-GB"/>
        </w:rPr>
        <w:lastRenderedPageBreak/>
        <w:t xml:space="preserve"> </w:t>
      </w:r>
    </w:p>
    <w:p w:rsidR="00141A5F" w:rsidRPr="00412355" w:rsidRDefault="00141A5F" w:rsidP="00412355">
      <w:pPr>
        <w:pStyle w:val="ListParagraph"/>
        <w:spacing w:line="360" w:lineRule="auto"/>
        <w:ind w:left="0"/>
        <w:jc w:val="both"/>
        <w:rPr>
          <w:rFonts w:ascii="Arial" w:hAnsi="Arial" w:cs="Arial"/>
          <w:bCs/>
          <w:color w:val="FF0000"/>
          <w:lang w:val="en-US"/>
        </w:rPr>
      </w:pPr>
    </w:p>
    <w:p w:rsidR="00487AD2" w:rsidRPr="00B216C7" w:rsidRDefault="00487AD2" w:rsidP="00412355">
      <w:pPr>
        <w:spacing w:after="0" w:line="360" w:lineRule="auto"/>
        <w:rPr>
          <w:rFonts w:ascii="Arial" w:hAnsi="Arial" w:cs="Arial"/>
          <w:bCs/>
          <w:color w:val="000000" w:themeColor="text1"/>
        </w:rPr>
      </w:pPr>
    </w:p>
    <w:p w:rsidR="00487AD2" w:rsidRPr="00B216C7" w:rsidRDefault="00487AD2" w:rsidP="00412355">
      <w:pPr>
        <w:spacing w:after="0" w:line="360" w:lineRule="auto"/>
        <w:jc w:val="both"/>
        <w:rPr>
          <w:rFonts w:ascii="Arial" w:hAnsi="Arial" w:cs="Arial"/>
          <w:bCs/>
          <w:color w:val="000000" w:themeColor="text1"/>
        </w:rPr>
      </w:pPr>
      <w:r w:rsidRPr="00B216C7">
        <w:rPr>
          <w:rFonts w:ascii="Arial" w:hAnsi="Arial" w:cs="Arial"/>
          <w:b/>
          <w:bCs/>
          <w:color w:val="000000" w:themeColor="text1"/>
        </w:rPr>
        <w:t>the dtic</w:t>
      </w:r>
      <w:r w:rsidRPr="00B216C7">
        <w:rPr>
          <w:rFonts w:ascii="Arial" w:hAnsi="Arial" w:cs="Arial"/>
          <w:bCs/>
          <w:color w:val="000000" w:themeColor="text1"/>
        </w:rPr>
        <w:t xml:space="preserve"> and its entities</w:t>
      </w:r>
      <w:r w:rsidR="00AC7704" w:rsidRPr="00B216C7">
        <w:rPr>
          <w:rFonts w:ascii="Arial" w:hAnsi="Arial" w:cs="Arial"/>
          <w:bCs/>
          <w:color w:val="000000" w:themeColor="text1"/>
        </w:rPr>
        <w:t>,</w:t>
      </w:r>
      <w:r w:rsidRPr="00B216C7">
        <w:rPr>
          <w:rFonts w:ascii="Arial" w:hAnsi="Arial" w:cs="Arial"/>
          <w:bCs/>
          <w:color w:val="000000" w:themeColor="text1"/>
        </w:rPr>
        <w:t xml:space="preserve"> </w:t>
      </w:r>
      <w:r w:rsidR="00AC7704" w:rsidRPr="00B216C7">
        <w:rPr>
          <w:rFonts w:ascii="Arial" w:hAnsi="Arial" w:cs="Arial"/>
          <w:bCs/>
          <w:color w:val="000000" w:themeColor="text1"/>
        </w:rPr>
        <w:t xml:space="preserve">the </w:t>
      </w:r>
      <w:r w:rsidRPr="00B216C7">
        <w:rPr>
          <w:rFonts w:ascii="Arial" w:hAnsi="Arial" w:cs="Arial"/>
          <w:bCs/>
          <w:color w:val="000000" w:themeColor="text1"/>
        </w:rPr>
        <w:t>Industrial Development Corporation (</w:t>
      </w:r>
      <w:r w:rsidRPr="00B216C7">
        <w:rPr>
          <w:rFonts w:ascii="Arial" w:hAnsi="Arial" w:cs="Arial"/>
          <w:b/>
          <w:bCs/>
          <w:color w:val="000000" w:themeColor="text1"/>
        </w:rPr>
        <w:t>IDC</w:t>
      </w:r>
      <w:r w:rsidRPr="00B216C7">
        <w:rPr>
          <w:rFonts w:ascii="Arial" w:hAnsi="Arial" w:cs="Arial"/>
          <w:bCs/>
          <w:color w:val="000000" w:themeColor="text1"/>
        </w:rPr>
        <w:t>) and National Empowerment Fund (</w:t>
      </w:r>
      <w:r w:rsidRPr="00B216C7">
        <w:rPr>
          <w:rFonts w:ascii="Arial" w:hAnsi="Arial" w:cs="Arial"/>
          <w:b/>
          <w:bCs/>
          <w:color w:val="000000" w:themeColor="text1"/>
        </w:rPr>
        <w:t>NEF</w:t>
      </w:r>
      <w:r w:rsidRPr="00B216C7">
        <w:rPr>
          <w:rFonts w:ascii="Arial" w:hAnsi="Arial" w:cs="Arial"/>
          <w:bCs/>
          <w:color w:val="000000" w:themeColor="text1"/>
        </w:rPr>
        <w:t>) offer a range of funding instruments for the support of SMMES as grants and loans.</w:t>
      </w:r>
    </w:p>
    <w:p w:rsidR="00487AD2" w:rsidRPr="00B216C7" w:rsidRDefault="00487AD2" w:rsidP="00412355">
      <w:pPr>
        <w:spacing w:after="0" w:line="360" w:lineRule="auto"/>
        <w:rPr>
          <w:rFonts w:ascii="Arial" w:hAnsi="Arial" w:cs="Arial"/>
          <w:bCs/>
          <w:color w:val="000000" w:themeColor="text1"/>
        </w:rPr>
      </w:pPr>
    </w:p>
    <w:p w:rsidR="00487AD2" w:rsidRPr="00B216C7" w:rsidRDefault="00487AD2" w:rsidP="00412355">
      <w:pPr>
        <w:spacing w:line="360" w:lineRule="auto"/>
        <w:jc w:val="both"/>
        <w:rPr>
          <w:rFonts w:ascii="Arial" w:hAnsi="Arial" w:cs="Arial"/>
          <w:bCs/>
          <w:color w:val="000000" w:themeColor="text1"/>
        </w:rPr>
      </w:pPr>
      <w:r w:rsidRPr="00B216C7">
        <w:rPr>
          <w:rFonts w:ascii="Arial" w:hAnsi="Arial" w:cs="Arial"/>
          <w:b/>
          <w:bCs/>
          <w:color w:val="000000" w:themeColor="text1"/>
        </w:rPr>
        <w:t>the dtic</w:t>
      </w:r>
      <w:r w:rsidRPr="00B216C7">
        <w:rPr>
          <w:rFonts w:ascii="Arial" w:hAnsi="Arial" w:cs="Arial"/>
          <w:bCs/>
          <w:color w:val="000000" w:themeColor="text1"/>
        </w:rPr>
        <w:t xml:space="preserve"> provide</w:t>
      </w:r>
      <w:r w:rsidR="00AC7704" w:rsidRPr="00B216C7">
        <w:rPr>
          <w:rFonts w:ascii="Arial" w:hAnsi="Arial" w:cs="Arial"/>
          <w:bCs/>
          <w:color w:val="000000" w:themeColor="text1"/>
        </w:rPr>
        <w:t>s</w:t>
      </w:r>
      <w:r w:rsidRPr="00B216C7">
        <w:rPr>
          <w:rFonts w:ascii="Arial" w:hAnsi="Arial" w:cs="Arial"/>
          <w:bCs/>
          <w:color w:val="000000" w:themeColor="text1"/>
        </w:rPr>
        <w:t xml:space="preserve"> support to emerging exporters, to show</w:t>
      </w:r>
      <w:r w:rsidR="00AC7704" w:rsidRPr="00B216C7">
        <w:rPr>
          <w:rFonts w:ascii="Arial" w:hAnsi="Arial" w:cs="Arial"/>
          <w:bCs/>
          <w:color w:val="000000" w:themeColor="text1"/>
        </w:rPr>
        <w:t>-</w:t>
      </w:r>
      <w:r w:rsidRPr="00B216C7">
        <w:rPr>
          <w:rFonts w:ascii="Arial" w:hAnsi="Arial" w:cs="Arial"/>
          <w:bCs/>
          <w:color w:val="000000" w:themeColor="text1"/>
        </w:rPr>
        <w:t>case their products at international exhibitions, funding to develop emerging black film makers through the Film and TV incentive as well as emerging black aquaculture farmers</w:t>
      </w:r>
      <w:r w:rsidR="00AC7704" w:rsidRPr="00B216C7">
        <w:rPr>
          <w:rFonts w:ascii="Arial" w:hAnsi="Arial" w:cs="Arial"/>
          <w:bCs/>
          <w:color w:val="000000" w:themeColor="text1"/>
        </w:rPr>
        <w:t>.</w:t>
      </w:r>
    </w:p>
    <w:p w:rsidR="00487AD2" w:rsidRPr="00B216C7" w:rsidRDefault="00487AD2" w:rsidP="00AC7704">
      <w:pPr>
        <w:spacing w:line="360" w:lineRule="auto"/>
        <w:jc w:val="both"/>
        <w:rPr>
          <w:rFonts w:ascii="Arial" w:hAnsi="Arial" w:cs="Arial"/>
          <w:bCs/>
          <w:color w:val="000000" w:themeColor="text1"/>
        </w:rPr>
      </w:pPr>
      <w:r w:rsidRPr="00B216C7">
        <w:rPr>
          <w:rFonts w:ascii="Arial" w:hAnsi="Arial" w:cs="Arial"/>
          <w:bCs/>
          <w:color w:val="000000" w:themeColor="text1"/>
        </w:rPr>
        <w:t xml:space="preserve">Other cost-sharing grant funding is available to SMMEs operating in the research and development field </w:t>
      </w:r>
      <w:r w:rsidR="00AC7704" w:rsidRPr="00B216C7">
        <w:rPr>
          <w:rFonts w:ascii="Arial" w:hAnsi="Arial" w:cs="Arial"/>
          <w:bCs/>
          <w:color w:val="000000" w:themeColor="text1"/>
        </w:rPr>
        <w:t xml:space="preserve">. </w:t>
      </w:r>
      <w:r w:rsidRPr="00B216C7">
        <w:rPr>
          <w:rFonts w:ascii="Arial" w:hAnsi="Arial" w:cs="Arial"/>
          <w:bCs/>
          <w:color w:val="000000" w:themeColor="text1"/>
        </w:rPr>
        <w:t xml:space="preserve">The funding for these incentives is structured to encourage collaboration between industry and academia that will result in the development of pioneering prototypes ready for commercialisation. </w:t>
      </w:r>
    </w:p>
    <w:p w:rsidR="00AC7704" w:rsidRPr="00B216C7" w:rsidRDefault="00AC7704" w:rsidP="00AC7704">
      <w:pPr>
        <w:spacing w:line="360" w:lineRule="auto"/>
        <w:jc w:val="both"/>
        <w:rPr>
          <w:rFonts w:ascii="Arial" w:hAnsi="Arial" w:cs="Arial"/>
          <w:bCs/>
          <w:color w:val="000000" w:themeColor="text1"/>
        </w:rPr>
      </w:pPr>
      <w:r w:rsidRPr="00B216C7">
        <w:rPr>
          <w:rFonts w:ascii="Arial" w:hAnsi="Arial" w:cs="Arial"/>
          <w:bCs/>
          <w:color w:val="000000" w:themeColor="text1"/>
        </w:rPr>
        <w:t xml:space="preserve">A recent report to the Portfolio Committee highlighted the work of the dtic-group on township economies. </w:t>
      </w:r>
    </w:p>
    <w:p w:rsidR="00AC7704" w:rsidRPr="00B216C7" w:rsidRDefault="00AC7704" w:rsidP="00AC7704">
      <w:pPr>
        <w:pStyle w:val="ListParagraph"/>
        <w:spacing w:line="360" w:lineRule="auto"/>
        <w:ind w:left="0"/>
        <w:jc w:val="both"/>
        <w:rPr>
          <w:rFonts w:ascii="Arial" w:hAnsi="Arial" w:cs="Arial"/>
          <w:bCs/>
          <w:color w:val="000000" w:themeColor="text1"/>
          <w:lang w:val="en-US"/>
        </w:rPr>
      </w:pPr>
      <w:r w:rsidRPr="00B216C7">
        <w:rPr>
          <w:rFonts w:ascii="Arial" w:hAnsi="Arial" w:cs="Arial"/>
          <w:bCs/>
          <w:color w:val="000000" w:themeColor="text1"/>
          <w:lang w:val="en-US"/>
        </w:rPr>
        <w:t xml:space="preserve">Additional resources are mobilised through </w:t>
      </w:r>
      <w:r w:rsidR="00B216C7" w:rsidRPr="00B216C7">
        <w:rPr>
          <w:rFonts w:ascii="Arial" w:hAnsi="Arial" w:cs="Arial"/>
          <w:bCs/>
          <w:color w:val="000000" w:themeColor="text1"/>
          <w:lang w:val="en-US"/>
        </w:rPr>
        <w:t xml:space="preserve">supplier funds, such as: </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Shoprite establishing a R350 million development fund to develop independent retails, spaza shops, micro caterers and micro farmers</w:t>
      </w:r>
      <w:r w:rsidR="00E11932">
        <w:rPr>
          <w:rFonts w:ascii="Arial" w:hAnsi="Arial" w:cs="Arial"/>
          <w:bCs/>
          <w:color w:val="000000" w:themeColor="text1"/>
          <w:lang w:val="en-US"/>
        </w:rPr>
        <w:t>.</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Heineken to establish a R400 million Supplier Development Fund, and procure R4.7 billion from Historically Disadvantaged Persons</w:t>
      </w:r>
      <w:r w:rsidR="00E11932">
        <w:rPr>
          <w:rFonts w:ascii="Arial" w:hAnsi="Arial" w:cs="Arial"/>
          <w:bCs/>
          <w:color w:val="000000" w:themeColor="text1"/>
          <w:lang w:val="en-US"/>
        </w:rPr>
        <w:t>.</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Pepsico has made R300 million available as a development fund to develop the capacity of emerging farmers, R100 million contribution for enterprise development and R200 million for educational programmes in partnership with universities.</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Coca-Cola has contributed R240 million to a localization fund and will increase volumes of sugar procured from black sugarcane farmers</w:t>
      </w:r>
      <w:r w:rsidR="00E11932">
        <w:rPr>
          <w:rFonts w:ascii="Arial" w:hAnsi="Arial" w:cs="Arial"/>
          <w:bCs/>
          <w:color w:val="000000" w:themeColor="text1"/>
          <w:lang w:val="en-US"/>
        </w:rPr>
        <w:t>.</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Implats will contribute R50 million for regional enterprise development that will benefit women and youth owned businesses.</w:t>
      </w:r>
    </w:p>
    <w:p w:rsidR="00AC7704" w:rsidRPr="00B216C7" w:rsidRDefault="00AC7704" w:rsidP="00AC7704">
      <w:pPr>
        <w:pStyle w:val="ListParagraph"/>
        <w:numPr>
          <w:ilvl w:val="0"/>
          <w:numId w:val="35"/>
        </w:numPr>
        <w:spacing w:line="360" w:lineRule="auto"/>
        <w:jc w:val="both"/>
        <w:rPr>
          <w:rFonts w:ascii="Arial" w:hAnsi="Arial" w:cs="Arial"/>
          <w:bCs/>
          <w:color w:val="000000" w:themeColor="text1"/>
          <w:lang w:val="en-US"/>
        </w:rPr>
      </w:pPr>
      <w:r w:rsidRPr="00B216C7">
        <w:rPr>
          <w:rFonts w:ascii="Arial" w:hAnsi="Arial" w:cs="Arial"/>
          <w:bCs/>
          <w:color w:val="000000" w:themeColor="text1"/>
          <w:lang w:val="en-US"/>
        </w:rPr>
        <w:t>Mediclinic will for a period of five years will ensure procurement of R2.5 billion from small and black owned enterprises</w:t>
      </w:r>
      <w:r w:rsidR="00E11932">
        <w:rPr>
          <w:rFonts w:ascii="Arial" w:hAnsi="Arial" w:cs="Arial"/>
          <w:bCs/>
          <w:color w:val="000000" w:themeColor="text1"/>
          <w:lang w:val="en-US"/>
        </w:rPr>
        <w:t>.</w:t>
      </w:r>
      <w:r w:rsidRPr="00B216C7">
        <w:rPr>
          <w:rFonts w:ascii="Arial" w:hAnsi="Arial" w:cs="Arial"/>
          <w:bCs/>
          <w:color w:val="000000" w:themeColor="text1"/>
          <w:lang w:val="en-US"/>
        </w:rPr>
        <w:t xml:space="preserve"> </w:t>
      </w:r>
    </w:p>
    <w:p w:rsidR="00AC7704" w:rsidRPr="00412355" w:rsidRDefault="00AC7704" w:rsidP="00AC7704">
      <w:pPr>
        <w:pStyle w:val="ListParagraph"/>
        <w:spacing w:line="360" w:lineRule="auto"/>
        <w:ind w:left="0"/>
        <w:jc w:val="both"/>
        <w:rPr>
          <w:rFonts w:ascii="Arial" w:hAnsi="Arial" w:cs="Arial"/>
          <w:bCs/>
          <w:lang w:val="en-US"/>
        </w:rPr>
      </w:pPr>
    </w:p>
    <w:p w:rsidR="007513A0" w:rsidRPr="00412355" w:rsidRDefault="007513A0" w:rsidP="00412355">
      <w:pPr>
        <w:spacing w:after="0" w:line="360" w:lineRule="auto"/>
        <w:jc w:val="both"/>
        <w:rPr>
          <w:rFonts w:ascii="Arial" w:hAnsi="Arial" w:cs="Arial"/>
          <w:b/>
          <w:bCs/>
        </w:rPr>
      </w:pPr>
    </w:p>
    <w:p w:rsidR="0031644A" w:rsidRPr="00412355" w:rsidRDefault="0031644A" w:rsidP="00412355">
      <w:pPr>
        <w:spacing w:after="0" w:line="360" w:lineRule="auto"/>
        <w:jc w:val="both"/>
        <w:rPr>
          <w:rFonts w:ascii="Arial" w:eastAsia="Calibri" w:hAnsi="Arial" w:cs="Arial"/>
        </w:rPr>
      </w:pPr>
    </w:p>
    <w:p w:rsidR="007513A0" w:rsidRPr="00412355" w:rsidRDefault="007513A0" w:rsidP="00412355">
      <w:pPr>
        <w:spacing w:after="0" w:line="360" w:lineRule="auto"/>
        <w:jc w:val="both"/>
        <w:rPr>
          <w:rFonts w:ascii="Arial" w:eastAsia="Calibri" w:hAnsi="Arial" w:cs="Arial"/>
        </w:rPr>
      </w:pPr>
    </w:p>
    <w:p w:rsidR="007513A0" w:rsidRPr="00412355" w:rsidRDefault="007513A0" w:rsidP="00412355">
      <w:pPr>
        <w:spacing w:after="0" w:line="360" w:lineRule="auto"/>
        <w:jc w:val="both"/>
        <w:rPr>
          <w:rFonts w:ascii="Arial" w:eastAsia="Calibri" w:hAnsi="Arial" w:cs="Arial"/>
        </w:rPr>
      </w:pPr>
    </w:p>
    <w:p w:rsidR="00EA5109" w:rsidRPr="00412355" w:rsidRDefault="00E11932" w:rsidP="00E11932">
      <w:pPr>
        <w:spacing w:line="360" w:lineRule="auto"/>
        <w:jc w:val="center"/>
        <w:rPr>
          <w:rFonts w:ascii="Arial" w:eastAsia="Calibri" w:hAnsi="Arial" w:cs="Arial"/>
          <w:b/>
        </w:rPr>
      </w:pPr>
      <w:r>
        <w:rPr>
          <w:rFonts w:ascii="Arial" w:eastAsia="Calibri" w:hAnsi="Arial" w:cs="Arial"/>
          <w:b/>
        </w:rPr>
        <w:t>-END-</w:t>
      </w:r>
    </w:p>
    <w:sectPr w:rsidR="00EA5109" w:rsidRPr="00412355" w:rsidSect="0055404C">
      <w:headerReference w:type="default" r:id="rId9"/>
      <w:footerReference w:type="default" r:id="rId10"/>
      <w:pgSz w:w="11906" w:h="16838"/>
      <w:pgMar w:top="1264" w:right="991"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A2" w:rsidRDefault="00BF28A2" w:rsidP="006D054B">
      <w:pPr>
        <w:spacing w:after="0" w:line="240" w:lineRule="auto"/>
      </w:pPr>
      <w:r>
        <w:separator/>
      </w:r>
    </w:p>
  </w:endnote>
  <w:endnote w:type="continuationSeparator" w:id="0">
    <w:p w:rsidR="00BF28A2" w:rsidRDefault="00BF28A2"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B4749">
        <w:pPr>
          <w:pStyle w:val="Footer"/>
          <w:jc w:val="center"/>
        </w:pPr>
        <w:r>
          <w:fldChar w:fldCharType="begin"/>
        </w:r>
        <w:r w:rsidR="00C90387">
          <w:instrText xml:space="preserve"> PAGE   \* MERGEFORMAT </w:instrText>
        </w:r>
        <w:r>
          <w:fldChar w:fldCharType="separate"/>
        </w:r>
        <w:r w:rsidR="00BF28A2">
          <w:rPr>
            <w:noProof/>
          </w:rPr>
          <w:t>1</w:t>
        </w:r>
        <w:r>
          <w:rPr>
            <w:noProof/>
          </w:rPr>
          <w:fldChar w:fldCharType="end"/>
        </w:r>
      </w:p>
    </w:sdtContent>
  </w:sdt>
  <w:p w:rsidR="00C90387" w:rsidRDefault="00B70823" w:rsidP="00C90387">
    <w:pPr>
      <w:pStyle w:val="Footer"/>
      <w:jc w:val="center"/>
    </w:pPr>
    <w:r>
      <w:t>Parliamentary Question</w:t>
    </w:r>
    <w:r w:rsidR="00D66290">
      <w:t xml:space="preserve">: NA </w:t>
    </w:r>
    <w:r w:rsidR="00CE5C19">
      <w:t xml:space="preserve">ORAL </w:t>
    </w:r>
    <w:r w:rsidR="007513A0">
      <w:t>PQ 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A2" w:rsidRDefault="00BF28A2" w:rsidP="006D054B">
      <w:pPr>
        <w:spacing w:after="0" w:line="240" w:lineRule="auto"/>
      </w:pPr>
      <w:r>
        <w:separator/>
      </w:r>
    </w:p>
  </w:footnote>
  <w:footnote w:type="continuationSeparator" w:id="0">
    <w:p w:rsidR="00BF28A2" w:rsidRDefault="00BF28A2"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7513A0" w:rsidRDefault="007513A0"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F0D"/>
    <w:multiLevelType w:val="hybridMultilevel"/>
    <w:tmpl w:val="6BE81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20CD7"/>
    <w:multiLevelType w:val="hybridMultilevel"/>
    <w:tmpl w:val="96AE0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5272A7"/>
    <w:multiLevelType w:val="hybridMultilevel"/>
    <w:tmpl w:val="C1A2D83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48E2027"/>
    <w:multiLevelType w:val="hybridMultilevel"/>
    <w:tmpl w:val="48A2C652"/>
    <w:lvl w:ilvl="0" w:tplc="5C3CD1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4535CF"/>
    <w:multiLevelType w:val="hybridMultilevel"/>
    <w:tmpl w:val="BDFACD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96DE1"/>
    <w:multiLevelType w:val="multilevel"/>
    <w:tmpl w:val="F3B06ACA"/>
    <w:lvl w:ilvl="0">
      <w:start w:val="1"/>
      <w:numFmt w:val="decimal"/>
      <w:lvlText w:val="%1."/>
      <w:lvlJc w:val="left"/>
      <w:pPr>
        <w:tabs>
          <w:tab w:val="num" w:pos="720"/>
        </w:tabs>
        <w:ind w:left="720" w:hanging="360"/>
      </w:pPr>
    </w:lvl>
    <w:lvl w:ilvl="1">
      <w:start w:val="212"/>
      <w:numFmt w:val="bullet"/>
      <w:lvlText w:val="-"/>
      <w:lvlJc w:val="left"/>
      <w:pPr>
        <w:ind w:left="1440" w:hanging="360"/>
      </w:pPr>
      <w:rPr>
        <w:rFonts w:ascii="Arial" w:eastAsia="Calibr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962AA"/>
    <w:multiLevelType w:val="hybridMultilevel"/>
    <w:tmpl w:val="2D92B218"/>
    <w:lvl w:ilvl="0" w:tplc="4BDA6C6E">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900F8"/>
    <w:multiLevelType w:val="hybridMultilevel"/>
    <w:tmpl w:val="DEE0BCBC"/>
    <w:lvl w:ilvl="0" w:tplc="37ECC83A">
      <w:numFmt w:val="bullet"/>
      <w:lvlText w:val="-"/>
      <w:lvlJc w:val="left"/>
      <w:pPr>
        <w:ind w:left="786" w:hanging="360"/>
      </w:pPr>
      <w:rPr>
        <w:rFonts w:ascii="Arial" w:eastAsia="Times New Roman" w:hAnsi="Arial" w:cs="Arial"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3">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542E9C"/>
    <w:multiLevelType w:val="hybridMultilevel"/>
    <w:tmpl w:val="ECC00CF2"/>
    <w:lvl w:ilvl="0" w:tplc="D21ACE1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7BC3978"/>
    <w:multiLevelType w:val="hybridMultilevel"/>
    <w:tmpl w:val="DD407CDC"/>
    <w:lvl w:ilvl="0" w:tplc="650E3DDE">
      <w:start w:val="1"/>
      <w:numFmt w:val="upperLetter"/>
      <w:lvlText w:val="%1)"/>
      <w:lvlJc w:val="left"/>
      <w:pPr>
        <w:ind w:left="927"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9"/>
  </w:num>
  <w:num w:numId="9">
    <w:abstractNumId w:val="23"/>
  </w:num>
  <w:num w:numId="10">
    <w:abstractNumId w:val="1"/>
  </w:num>
  <w:num w:numId="11">
    <w:abstractNumId w:val="19"/>
  </w:num>
  <w:num w:numId="12">
    <w:abstractNumId w:val="25"/>
  </w:num>
  <w:num w:numId="13">
    <w:abstractNumId w:val="32"/>
  </w:num>
  <w:num w:numId="14">
    <w:abstractNumId w:val="17"/>
  </w:num>
  <w:num w:numId="15">
    <w:abstractNumId w:val="3"/>
  </w:num>
  <w:num w:numId="16">
    <w:abstractNumId w:val="18"/>
  </w:num>
  <w:num w:numId="17">
    <w:abstractNumId w:val="28"/>
  </w:num>
  <w:num w:numId="18">
    <w:abstractNumId w:val="21"/>
  </w:num>
  <w:num w:numId="19">
    <w:abstractNumId w:val="27"/>
  </w:num>
  <w:num w:numId="20">
    <w:abstractNumId w:val="2"/>
  </w:num>
  <w:num w:numId="21">
    <w:abstractNumId w:val="30"/>
  </w:num>
  <w:num w:numId="22">
    <w:abstractNumId w:val="16"/>
  </w:num>
  <w:num w:numId="23">
    <w:abstractNumId w:val="20"/>
  </w:num>
  <w:num w:numId="24">
    <w:abstractNumId w:val="12"/>
  </w:num>
  <w:num w:numId="25">
    <w:abstractNumId w:val="13"/>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0"/>
  </w:num>
  <w:num w:numId="32">
    <w:abstractNumId w:val="5"/>
  </w:num>
  <w:num w:numId="33">
    <w:abstractNumId w:val="15"/>
  </w:num>
  <w:num w:numId="34">
    <w:abstractNumId w:val="26"/>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B0517"/>
    <w:rsid w:val="000B2DB1"/>
    <w:rsid w:val="000C03DC"/>
    <w:rsid w:val="000C4638"/>
    <w:rsid w:val="000D3BB4"/>
    <w:rsid w:val="000D608B"/>
    <w:rsid w:val="001031F7"/>
    <w:rsid w:val="00110EA8"/>
    <w:rsid w:val="00130895"/>
    <w:rsid w:val="00141A5F"/>
    <w:rsid w:val="001571B3"/>
    <w:rsid w:val="0016019E"/>
    <w:rsid w:val="001602E3"/>
    <w:rsid w:val="00172E12"/>
    <w:rsid w:val="00176749"/>
    <w:rsid w:val="00182352"/>
    <w:rsid w:val="001877AA"/>
    <w:rsid w:val="0019258D"/>
    <w:rsid w:val="00197D18"/>
    <w:rsid w:val="001A16B3"/>
    <w:rsid w:val="001A33E4"/>
    <w:rsid w:val="001C2546"/>
    <w:rsid w:val="001D40EC"/>
    <w:rsid w:val="001E13D9"/>
    <w:rsid w:val="00212F7F"/>
    <w:rsid w:val="002150F1"/>
    <w:rsid w:val="00226F0C"/>
    <w:rsid w:val="002329A1"/>
    <w:rsid w:val="0023521C"/>
    <w:rsid w:val="0024155F"/>
    <w:rsid w:val="00242E7F"/>
    <w:rsid w:val="002447C0"/>
    <w:rsid w:val="002459C4"/>
    <w:rsid w:val="00251810"/>
    <w:rsid w:val="002534B7"/>
    <w:rsid w:val="00266B0C"/>
    <w:rsid w:val="0028153A"/>
    <w:rsid w:val="002855D7"/>
    <w:rsid w:val="0028785A"/>
    <w:rsid w:val="0029231C"/>
    <w:rsid w:val="00294D96"/>
    <w:rsid w:val="002A1D56"/>
    <w:rsid w:val="002A2D2D"/>
    <w:rsid w:val="002A46DB"/>
    <w:rsid w:val="002A5258"/>
    <w:rsid w:val="002B0ED2"/>
    <w:rsid w:val="002C1B9E"/>
    <w:rsid w:val="002D0830"/>
    <w:rsid w:val="002D3A40"/>
    <w:rsid w:val="002D69F4"/>
    <w:rsid w:val="00301F58"/>
    <w:rsid w:val="0031644A"/>
    <w:rsid w:val="00332C21"/>
    <w:rsid w:val="00351BDA"/>
    <w:rsid w:val="00352C4E"/>
    <w:rsid w:val="00354F69"/>
    <w:rsid w:val="003632E6"/>
    <w:rsid w:val="00383F6C"/>
    <w:rsid w:val="00385BF1"/>
    <w:rsid w:val="003A3726"/>
    <w:rsid w:val="003B2450"/>
    <w:rsid w:val="003C5DAD"/>
    <w:rsid w:val="003D6475"/>
    <w:rsid w:val="003E04EA"/>
    <w:rsid w:val="00402C36"/>
    <w:rsid w:val="00405055"/>
    <w:rsid w:val="00412355"/>
    <w:rsid w:val="00414059"/>
    <w:rsid w:val="00414E30"/>
    <w:rsid w:val="00431C51"/>
    <w:rsid w:val="00437E8B"/>
    <w:rsid w:val="004469F4"/>
    <w:rsid w:val="00484CF4"/>
    <w:rsid w:val="00487AD2"/>
    <w:rsid w:val="00493614"/>
    <w:rsid w:val="004B2BE0"/>
    <w:rsid w:val="004B3E2B"/>
    <w:rsid w:val="004B4749"/>
    <w:rsid w:val="004C20BB"/>
    <w:rsid w:val="004C432F"/>
    <w:rsid w:val="004D0F02"/>
    <w:rsid w:val="004E2E71"/>
    <w:rsid w:val="004E5C1A"/>
    <w:rsid w:val="004F429F"/>
    <w:rsid w:val="004F6E62"/>
    <w:rsid w:val="00513CF0"/>
    <w:rsid w:val="0051724E"/>
    <w:rsid w:val="00522CB2"/>
    <w:rsid w:val="00526B52"/>
    <w:rsid w:val="00532838"/>
    <w:rsid w:val="005401FB"/>
    <w:rsid w:val="00546254"/>
    <w:rsid w:val="0054791A"/>
    <w:rsid w:val="0055404C"/>
    <w:rsid w:val="005624DD"/>
    <w:rsid w:val="00564EBD"/>
    <w:rsid w:val="00567F57"/>
    <w:rsid w:val="00575A3A"/>
    <w:rsid w:val="005829C2"/>
    <w:rsid w:val="00597203"/>
    <w:rsid w:val="005A5FEE"/>
    <w:rsid w:val="005C3727"/>
    <w:rsid w:val="005D3B6A"/>
    <w:rsid w:val="005E30FD"/>
    <w:rsid w:val="00603E6F"/>
    <w:rsid w:val="00622A03"/>
    <w:rsid w:val="00640078"/>
    <w:rsid w:val="006420D0"/>
    <w:rsid w:val="006445D1"/>
    <w:rsid w:val="00645F45"/>
    <w:rsid w:val="006847A1"/>
    <w:rsid w:val="006932B2"/>
    <w:rsid w:val="00694349"/>
    <w:rsid w:val="006B0FE2"/>
    <w:rsid w:val="006B1132"/>
    <w:rsid w:val="006C6F31"/>
    <w:rsid w:val="006D054B"/>
    <w:rsid w:val="006E5CFB"/>
    <w:rsid w:val="00707C88"/>
    <w:rsid w:val="0071675B"/>
    <w:rsid w:val="0072078E"/>
    <w:rsid w:val="007357F2"/>
    <w:rsid w:val="007477F1"/>
    <w:rsid w:val="007513A0"/>
    <w:rsid w:val="00761225"/>
    <w:rsid w:val="0078637F"/>
    <w:rsid w:val="00792751"/>
    <w:rsid w:val="007B14C3"/>
    <w:rsid w:val="007B412F"/>
    <w:rsid w:val="007B7DA8"/>
    <w:rsid w:val="007D1596"/>
    <w:rsid w:val="007D1D58"/>
    <w:rsid w:val="007D2A4F"/>
    <w:rsid w:val="00803209"/>
    <w:rsid w:val="00833544"/>
    <w:rsid w:val="00833E81"/>
    <w:rsid w:val="00841350"/>
    <w:rsid w:val="00847D2E"/>
    <w:rsid w:val="008528EA"/>
    <w:rsid w:val="00853BDC"/>
    <w:rsid w:val="00855ABA"/>
    <w:rsid w:val="00861F02"/>
    <w:rsid w:val="008634FA"/>
    <w:rsid w:val="00864B91"/>
    <w:rsid w:val="00877B58"/>
    <w:rsid w:val="00892467"/>
    <w:rsid w:val="00894F69"/>
    <w:rsid w:val="00897F25"/>
    <w:rsid w:val="008A796E"/>
    <w:rsid w:val="008B2D99"/>
    <w:rsid w:val="008D06C0"/>
    <w:rsid w:val="00911828"/>
    <w:rsid w:val="00916351"/>
    <w:rsid w:val="0093226B"/>
    <w:rsid w:val="00936D98"/>
    <w:rsid w:val="009433BE"/>
    <w:rsid w:val="0094388C"/>
    <w:rsid w:val="009546F8"/>
    <w:rsid w:val="00962A53"/>
    <w:rsid w:val="009644E4"/>
    <w:rsid w:val="00970287"/>
    <w:rsid w:val="0099215A"/>
    <w:rsid w:val="009A0FF0"/>
    <w:rsid w:val="009C3E7C"/>
    <w:rsid w:val="009C4FA8"/>
    <w:rsid w:val="009C7C07"/>
    <w:rsid w:val="009D6756"/>
    <w:rsid w:val="009D6C77"/>
    <w:rsid w:val="009F3102"/>
    <w:rsid w:val="009F4DA1"/>
    <w:rsid w:val="00A01A30"/>
    <w:rsid w:val="00A1169C"/>
    <w:rsid w:val="00A1795F"/>
    <w:rsid w:val="00A21156"/>
    <w:rsid w:val="00A424AD"/>
    <w:rsid w:val="00A45B2E"/>
    <w:rsid w:val="00A46E81"/>
    <w:rsid w:val="00A557B1"/>
    <w:rsid w:val="00A81AFD"/>
    <w:rsid w:val="00A82165"/>
    <w:rsid w:val="00A8329E"/>
    <w:rsid w:val="00A84F6F"/>
    <w:rsid w:val="00A87CE8"/>
    <w:rsid w:val="00A922E1"/>
    <w:rsid w:val="00AB1371"/>
    <w:rsid w:val="00AB27A3"/>
    <w:rsid w:val="00AB6763"/>
    <w:rsid w:val="00AC7704"/>
    <w:rsid w:val="00AD1369"/>
    <w:rsid w:val="00AD5AE5"/>
    <w:rsid w:val="00AD7FCF"/>
    <w:rsid w:val="00AE418E"/>
    <w:rsid w:val="00AE6F53"/>
    <w:rsid w:val="00AF23A5"/>
    <w:rsid w:val="00AF736F"/>
    <w:rsid w:val="00B04589"/>
    <w:rsid w:val="00B17922"/>
    <w:rsid w:val="00B17AC2"/>
    <w:rsid w:val="00B216C7"/>
    <w:rsid w:val="00B2231A"/>
    <w:rsid w:val="00B236EF"/>
    <w:rsid w:val="00B263F6"/>
    <w:rsid w:val="00B43F0E"/>
    <w:rsid w:val="00B536E7"/>
    <w:rsid w:val="00B54A00"/>
    <w:rsid w:val="00B55CFF"/>
    <w:rsid w:val="00B61B07"/>
    <w:rsid w:val="00B66060"/>
    <w:rsid w:val="00B66578"/>
    <w:rsid w:val="00B70823"/>
    <w:rsid w:val="00B77AE5"/>
    <w:rsid w:val="00B85961"/>
    <w:rsid w:val="00B9157F"/>
    <w:rsid w:val="00B95D43"/>
    <w:rsid w:val="00BA3106"/>
    <w:rsid w:val="00BA3DD8"/>
    <w:rsid w:val="00BB36A7"/>
    <w:rsid w:val="00BB497F"/>
    <w:rsid w:val="00BB62D5"/>
    <w:rsid w:val="00BB6F32"/>
    <w:rsid w:val="00BC607B"/>
    <w:rsid w:val="00BF1775"/>
    <w:rsid w:val="00BF28A2"/>
    <w:rsid w:val="00C02FFC"/>
    <w:rsid w:val="00C0398D"/>
    <w:rsid w:val="00C05717"/>
    <w:rsid w:val="00C07922"/>
    <w:rsid w:val="00C120D5"/>
    <w:rsid w:val="00C1754E"/>
    <w:rsid w:val="00C23C1E"/>
    <w:rsid w:val="00C26949"/>
    <w:rsid w:val="00C4613A"/>
    <w:rsid w:val="00C56886"/>
    <w:rsid w:val="00C569C0"/>
    <w:rsid w:val="00C60F52"/>
    <w:rsid w:val="00C71BF9"/>
    <w:rsid w:val="00C84F7E"/>
    <w:rsid w:val="00C8544C"/>
    <w:rsid w:val="00C85DD8"/>
    <w:rsid w:val="00C90387"/>
    <w:rsid w:val="00C9270E"/>
    <w:rsid w:val="00CC0725"/>
    <w:rsid w:val="00CC7044"/>
    <w:rsid w:val="00CE5C19"/>
    <w:rsid w:val="00CE67CE"/>
    <w:rsid w:val="00D3539F"/>
    <w:rsid w:val="00D37942"/>
    <w:rsid w:val="00D410C1"/>
    <w:rsid w:val="00D43581"/>
    <w:rsid w:val="00D462DD"/>
    <w:rsid w:val="00D52868"/>
    <w:rsid w:val="00D64A3F"/>
    <w:rsid w:val="00D66290"/>
    <w:rsid w:val="00D67B07"/>
    <w:rsid w:val="00D722D0"/>
    <w:rsid w:val="00D75E12"/>
    <w:rsid w:val="00D81223"/>
    <w:rsid w:val="00D906CA"/>
    <w:rsid w:val="00D93BDC"/>
    <w:rsid w:val="00D95D80"/>
    <w:rsid w:val="00D97348"/>
    <w:rsid w:val="00DA7981"/>
    <w:rsid w:val="00DD063F"/>
    <w:rsid w:val="00DE1165"/>
    <w:rsid w:val="00DE45A5"/>
    <w:rsid w:val="00DE4BB9"/>
    <w:rsid w:val="00DF2B43"/>
    <w:rsid w:val="00E11932"/>
    <w:rsid w:val="00E44BAD"/>
    <w:rsid w:val="00E554C9"/>
    <w:rsid w:val="00E6096E"/>
    <w:rsid w:val="00E846E6"/>
    <w:rsid w:val="00E900D5"/>
    <w:rsid w:val="00EA2BA8"/>
    <w:rsid w:val="00EA5109"/>
    <w:rsid w:val="00EA6E2E"/>
    <w:rsid w:val="00EE05BB"/>
    <w:rsid w:val="00EE6E0C"/>
    <w:rsid w:val="00EF6351"/>
    <w:rsid w:val="00F02BD3"/>
    <w:rsid w:val="00F04A3B"/>
    <w:rsid w:val="00F065DF"/>
    <w:rsid w:val="00F15796"/>
    <w:rsid w:val="00F32232"/>
    <w:rsid w:val="00F51CB8"/>
    <w:rsid w:val="00F533E7"/>
    <w:rsid w:val="00F671DD"/>
    <w:rsid w:val="00F704F8"/>
    <w:rsid w:val="00F716B6"/>
    <w:rsid w:val="00F7185B"/>
    <w:rsid w:val="00F8074E"/>
    <w:rsid w:val="00F9020F"/>
    <w:rsid w:val="00FB765E"/>
    <w:rsid w:val="00FC3609"/>
    <w:rsid w:val="00FC502E"/>
    <w:rsid w:val="00FD0332"/>
    <w:rsid w:val="00FD7453"/>
    <w:rsid w:val="00FE28AA"/>
    <w:rsid w:val="00FF24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Listenabsatz,Standard Paragraph,normal,Normal1,List Paragraph for forestry"/>
    <w:basedOn w:val="Normal"/>
    <w:link w:val="ListParagraphChar"/>
    <w:uiPriority w:val="1"/>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Listenabsatz Char,Standard Paragraph Char,normal Char,Normal1 Char,List Paragraph for forestry Char"/>
    <w:link w:val="ListParagraph"/>
    <w:uiPriority w:val="1"/>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8F18-D99D-4FA1-9406-97090D18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2023-06-12T12:01:00Z</cp:lastPrinted>
  <dcterms:created xsi:type="dcterms:W3CDTF">2023-06-27T13:12:00Z</dcterms:created>
  <dcterms:modified xsi:type="dcterms:W3CDTF">2023-06-27T13:12:00Z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3320d8c74ab278feed4b4448054c4207273b240515efceb2531dedacbf2581f9</vt:lpwstr>
  </property>
</Properties>
</file>