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B378DB">
        <w:rPr>
          <w:rFonts w:ascii="Times New Roman" w:hAnsi="Times New Roman" w:cs="Times New Roman"/>
          <w:b/>
          <w:sz w:val="24"/>
          <w:szCs w:val="24"/>
        </w:rPr>
        <w:t xml:space="preserve"> 2101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735204">
        <w:rPr>
          <w:rFonts w:ascii="Times New Roman" w:hAnsi="Times New Roman" w:cs="Times New Roman"/>
          <w:b/>
          <w:sz w:val="24"/>
          <w:szCs w:val="24"/>
          <w:u w:val="single"/>
        </w:rPr>
        <w:t>F INTERNAL QUESTION PAPER: 15</w:t>
      </w:r>
      <w:r w:rsidR="007D5B29">
        <w:rPr>
          <w:rFonts w:ascii="Times New Roman" w:hAnsi="Times New Roman" w:cs="Times New Roman"/>
          <w:b/>
          <w:sz w:val="24"/>
          <w:szCs w:val="24"/>
          <w:u w:val="single"/>
        </w:rPr>
        <w:t>/06</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735204">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21</w:t>
      </w:r>
      <w:r w:rsidR="001034EB">
        <w:rPr>
          <w:rFonts w:ascii="Times New Roman" w:hAnsi="Times New Roman" w:cs="Times New Roman"/>
          <w:b/>
          <w:sz w:val="24"/>
          <w:szCs w:val="24"/>
          <w:u w:val="single"/>
        </w:rPr>
        <w:t>/2018</w:t>
      </w:r>
    </w:p>
    <w:p w:rsidR="001C10FE" w:rsidRPr="001C10FE" w:rsidRDefault="001C10FE" w:rsidP="001C10FE">
      <w:pPr>
        <w:spacing w:before="100" w:beforeAutospacing="1" w:after="100" w:afterAutospacing="1" w:line="240" w:lineRule="auto"/>
        <w:ind w:left="709" w:hanging="709"/>
        <w:jc w:val="both"/>
        <w:outlineLvl w:val="0"/>
        <w:rPr>
          <w:rFonts w:ascii="Times New Roman" w:eastAsia="Calibri" w:hAnsi="Times New Roman" w:cs="Times New Roman"/>
          <w:b/>
          <w:sz w:val="24"/>
          <w:szCs w:val="24"/>
        </w:rPr>
      </w:pPr>
      <w:r w:rsidRPr="001C10FE">
        <w:rPr>
          <w:rFonts w:ascii="Times New Roman" w:eastAsia="Calibri" w:hAnsi="Times New Roman" w:cs="Times New Roman"/>
          <w:b/>
          <w:sz w:val="24"/>
          <w:szCs w:val="24"/>
        </w:rPr>
        <w:t>2101.</w:t>
      </w:r>
      <w:r w:rsidRPr="001C10FE">
        <w:rPr>
          <w:rFonts w:ascii="Times New Roman" w:eastAsia="Calibri" w:hAnsi="Times New Roman" w:cs="Times New Roman"/>
          <w:b/>
          <w:sz w:val="24"/>
          <w:szCs w:val="24"/>
        </w:rPr>
        <w:tab/>
        <w:t>Ms N I Tarabella Marchesi (DA) to ask the Minister of Basic Education:</w:t>
      </w:r>
    </w:p>
    <w:p w:rsidR="001C10FE" w:rsidRPr="001C10FE" w:rsidRDefault="001C10FE" w:rsidP="007D30B1">
      <w:pPr>
        <w:pBdr>
          <w:top w:val="nil"/>
          <w:left w:val="nil"/>
          <w:bottom w:val="nil"/>
          <w:right w:val="nil"/>
          <w:between w:val="nil"/>
        </w:pBdr>
        <w:spacing w:before="100" w:beforeAutospacing="1" w:after="100" w:afterAutospacing="1" w:line="240" w:lineRule="auto"/>
        <w:ind w:left="720"/>
        <w:rPr>
          <w:rFonts w:ascii="Times New Roman" w:eastAsia="Calibri" w:hAnsi="Times New Roman" w:cs="Times New Roman"/>
          <w:sz w:val="24"/>
          <w:szCs w:val="24"/>
        </w:rPr>
      </w:pPr>
      <w:r w:rsidRPr="001C10FE">
        <w:rPr>
          <w:rFonts w:ascii="Times New Roman" w:eastAsia="Calibri" w:hAnsi="Times New Roman" w:cs="Times New Roman"/>
          <w:sz w:val="24"/>
          <w:szCs w:val="24"/>
        </w:rPr>
        <w:t>(a) What is the current dropout rate of learners in each province between (i) Grade 1 and Grade 8, and (ii) Grade 1 and Grade 12, (b) how does her department measure the dropout rate, (c) what are the main reasons for learners dropping out that have been identified by her department and (d) what actions is her department taking to reduce the number of learners who drop out of school?</w:t>
      </w:r>
      <w:r w:rsidRPr="001C10FE">
        <w:rPr>
          <w:rFonts w:ascii="Times New Roman" w:eastAsia="Calibri" w:hAnsi="Times New Roman" w:cs="Times New Roman"/>
          <w:sz w:val="24"/>
          <w:szCs w:val="24"/>
        </w:rPr>
        <w:tab/>
      </w:r>
      <w:r w:rsidRPr="001C10FE">
        <w:rPr>
          <w:rFonts w:ascii="Times New Roman" w:eastAsia="Calibri" w:hAnsi="Times New Roman" w:cs="Times New Roman"/>
          <w:sz w:val="24"/>
          <w:szCs w:val="24"/>
        </w:rPr>
        <w:tab/>
      </w:r>
      <w:r w:rsidRPr="001C10FE">
        <w:rPr>
          <w:rFonts w:ascii="Times New Roman" w:eastAsia="Calibri" w:hAnsi="Times New Roman" w:cs="Times New Roman"/>
          <w:sz w:val="24"/>
          <w:szCs w:val="24"/>
        </w:rPr>
        <w:tab/>
      </w:r>
      <w:r w:rsidRPr="001C10FE">
        <w:rPr>
          <w:rFonts w:ascii="Times New Roman" w:eastAsia="Calibri" w:hAnsi="Times New Roman" w:cs="Times New Roman"/>
          <w:sz w:val="24"/>
          <w:szCs w:val="24"/>
        </w:rPr>
        <w:tab/>
      </w:r>
      <w:r w:rsidRPr="001C10FE">
        <w:rPr>
          <w:rFonts w:ascii="Times New Roman" w:eastAsia="Calibri" w:hAnsi="Times New Roman" w:cs="Times New Roman"/>
          <w:sz w:val="24"/>
          <w:szCs w:val="24"/>
        </w:rPr>
        <w:tab/>
      </w:r>
      <w:r w:rsidRPr="001C10FE">
        <w:rPr>
          <w:rFonts w:ascii="Times New Roman" w:eastAsia="Calibri" w:hAnsi="Times New Roman" w:cs="Times New Roman"/>
          <w:sz w:val="20"/>
          <w:szCs w:val="20"/>
        </w:rPr>
        <w:t>NW2255E</w:t>
      </w:r>
    </w:p>
    <w:p w:rsidR="004666CA" w:rsidRDefault="004666CA" w:rsidP="004666CA">
      <w:pPr>
        <w:pStyle w:val="ListParagraph"/>
        <w:numPr>
          <w:ilvl w:val="0"/>
          <w:numId w:val="1"/>
        </w:numPr>
        <w:autoSpaceDE w:val="0"/>
        <w:autoSpaceDN w:val="0"/>
        <w:adjustRightInd w:val="0"/>
        <w:spacing w:after="0" w:line="240" w:lineRule="auto"/>
        <w:jc w:val="both"/>
        <w:rPr>
          <w:rFonts w:ascii="Times New Roman" w:eastAsia="Calibri" w:hAnsi="Times New Roman" w:cs="Times New Roman"/>
          <w:b/>
          <w:sz w:val="24"/>
          <w:szCs w:val="24"/>
          <w:lang w:val="en-US"/>
        </w:rPr>
      </w:pPr>
      <w:r w:rsidRPr="00122B81">
        <w:rPr>
          <w:rFonts w:ascii="Times New Roman" w:eastAsia="Calibri" w:hAnsi="Times New Roman" w:cs="Times New Roman"/>
          <w:b/>
          <w:sz w:val="24"/>
          <w:szCs w:val="24"/>
          <w:lang w:val="en-US"/>
        </w:rPr>
        <w:t xml:space="preserve">Drop-out rate </w:t>
      </w:r>
      <w:r w:rsidR="005D6763">
        <w:rPr>
          <w:rFonts w:ascii="Times New Roman" w:eastAsia="Calibri" w:hAnsi="Times New Roman" w:cs="Times New Roman"/>
          <w:b/>
          <w:sz w:val="24"/>
          <w:szCs w:val="24"/>
          <w:lang w:val="en-US"/>
        </w:rPr>
        <w:t>in each province</w:t>
      </w:r>
      <w:r w:rsidR="004F1970">
        <w:rPr>
          <w:rFonts w:ascii="Times New Roman" w:eastAsia="Calibri" w:hAnsi="Times New Roman" w:cs="Times New Roman"/>
          <w:b/>
          <w:sz w:val="24"/>
          <w:szCs w:val="24"/>
          <w:lang w:val="en-US"/>
        </w:rPr>
        <w:t>;</w:t>
      </w:r>
      <w:r w:rsidR="005D6763">
        <w:rPr>
          <w:rFonts w:ascii="Times New Roman" w:eastAsia="Calibri" w:hAnsi="Times New Roman" w:cs="Times New Roman"/>
          <w:b/>
          <w:sz w:val="24"/>
          <w:szCs w:val="24"/>
          <w:lang w:val="en-US"/>
        </w:rPr>
        <w:t xml:space="preserve"> and </w:t>
      </w:r>
    </w:p>
    <w:p w:rsidR="004F1970" w:rsidRDefault="004F1970" w:rsidP="004F1970">
      <w:pPr>
        <w:pStyle w:val="ListParagraph"/>
        <w:autoSpaceDE w:val="0"/>
        <w:autoSpaceDN w:val="0"/>
        <w:adjustRightInd w:val="0"/>
        <w:spacing w:after="0" w:line="240" w:lineRule="auto"/>
        <w:jc w:val="both"/>
        <w:rPr>
          <w:rFonts w:ascii="Times New Roman" w:eastAsia="Calibri" w:hAnsi="Times New Roman" w:cs="Times New Roman"/>
          <w:b/>
          <w:sz w:val="24"/>
          <w:szCs w:val="24"/>
          <w:lang w:val="en-US"/>
        </w:rPr>
      </w:pPr>
    </w:p>
    <w:p w:rsidR="004F1970" w:rsidRDefault="004F1970" w:rsidP="004666CA">
      <w:pPr>
        <w:pStyle w:val="ListParagraph"/>
        <w:numPr>
          <w:ilvl w:val="0"/>
          <w:numId w:val="1"/>
        </w:numPr>
        <w:autoSpaceDE w:val="0"/>
        <w:autoSpaceDN w:val="0"/>
        <w:adjustRightInd w:val="0"/>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w:t>
      </w:r>
      <w:r w:rsidRPr="004F1970">
        <w:rPr>
          <w:rFonts w:ascii="Times New Roman" w:eastAsia="Calibri" w:hAnsi="Times New Roman" w:cs="Times New Roman"/>
          <w:b/>
          <w:sz w:val="24"/>
          <w:szCs w:val="24"/>
          <w:lang w:val="en-US"/>
        </w:rPr>
        <w:t>he method of calculation</w:t>
      </w:r>
      <w:r>
        <w:rPr>
          <w:rFonts w:ascii="Times New Roman" w:eastAsia="Calibri" w:hAnsi="Times New Roman" w:cs="Times New Roman"/>
          <w:b/>
          <w:sz w:val="24"/>
          <w:szCs w:val="24"/>
          <w:lang w:val="en-US"/>
        </w:rPr>
        <w:t xml:space="preserve"> in the Department of Basic Education</w:t>
      </w:r>
    </w:p>
    <w:p w:rsidR="004F1970" w:rsidRPr="004F1970" w:rsidRDefault="004F1970" w:rsidP="004F1970">
      <w:pPr>
        <w:pStyle w:val="ListParagraph"/>
        <w:rPr>
          <w:rFonts w:ascii="Times New Roman" w:eastAsia="Calibri" w:hAnsi="Times New Roman" w:cs="Times New Roman"/>
          <w:b/>
          <w:sz w:val="24"/>
          <w:szCs w:val="24"/>
          <w:lang w:val="en-US"/>
        </w:rPr>
      </w:pPr>
    </w:p>
    <w:p w:rsidR="004666CA" w:rsidRPr="00122B81" w:rsidRDefault="004666CA" w:rsidP="004666CA">
      <w:pPr>
        <w:pStyle w:val="ListParagraph"/>
        <w:autoSpaceDE w:val="0"/>
        <w:autoSpaceDN w:val="0"/>
        <w:adjustRightInd w:val="0"/>
        <w:spacing w:after="0" w:line="240" w:lineRule="auto"/>
        <w:jc w:val="both"/>
        <w:rPr>
          <w:rFonts w:ascii="Times New Roman" w:eastAsia="Calibri" w:hAnsi="Times New Roman" w:cs="Times New Roman"/>
          <w:b/>
          <w:sz w:val="24"/>
          <w:szCs w:val="24"/>
          <w:lang w:val="en-US"/>
        </w:rPr>
      </w:pPr>
    </w:p>
    <w:p w:rsidR="004666CA" w:rsidRDefault="004666CA" w:rsidP="004666CA">
      <w:pPr>
        <w:autoSpaceDE w:val="0"/>
        <w:autoSpaceDN w:val="0"/>
        <w:adjustRightInd w:val="0"/>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Currently, the best source of data available for </w:t>
      </w:r>
      <w:r w:rsidRPr="004666CA">
        <w:rPr>
          <w:rFonts w:ascii="Times New Roman" w:eastAsia="Calibri" w:hAnsi="Times New Roman" w:cs="Times New Roman"/>
          <w:i/>
          <w:sz w:val="24"/>
          <w:szCs w:val="24"/>
          <w:lang w:val="en-US"/>
        </w:rPr>
        <w:t>estimating</w:t>
      </w:r>
      <w:r>
        <w:rPr>
          <w:rFonts w:ascii="Times New Roman" w:eastAsia="Calibri" w:hAnsi="Times New Roman" w:cs="Times New Roman"/>
          <w:sz w:val="24"/>
          <w:szCs w:val="24"/>
          <w:lang w:val="en-US"/>
        </w:rPr>
        <w:t xml:space="preserve"> drop-out rates is STATS SA’s General Household Survey (GHS). The most recent data is from 2016. The table below</w:t>
      </w:r>
      <w:r w:rsidRPr="00122B81">
        <w:rPr>
          <w:rFonts w:ascii="Times New Roman" w:eastAsia="Calibri" w:hAnsi="Times New Roman" w:cs="Times New Roman"/>
          <w:sz w:val="24"/>
          <w:szCs w:val="24"/>
          <w:lang w:val="en-US"/>
        </w:rPr>
        <w:t xml:space="preserve"> shows the drop-out rates and survival rates for 2 different age cohorts, those born during 1987-1989 </w:t>
      </w:r>
      <w:r>
        <w:rPr>
          <w:rFonts w:ascii="Times New Roman" w:eastAsia="Calibri" w:hAnsi="Times New Roman" w:cs="Times New Roman"/>
          <w:sz w:val="24"/>
          <w:szCs w:val="24"/>
          <w:lang w:val="en-US"/>
        </w:rPr>
        <w:t xml:space="preserve">(and surveyed between 2011-2013) </w:t>
      </w:r>
      <w:r w:rsidRPr="00122B81">
        <w:rPr>
          <w:rFonts w:ascii="Times New Roman" w:eastAsia="Calibri" w:hAnsi="Times New Roman" w:cs="Times New Roman"/>
          <w:sz w:val="24"/>
          <w:szCs w:val="24"/>
          <w:lang w:val="en-US"/>
        </w:rPr>
        <w:t>and those born during 1990-1992</w:t>
      </w:r>
      <w:r>
        <w:rPr>
          <w:rFonts w:ascii="Times New Roman" w:eastAsia="Calibri" w:hAnsi="Times New Roman" w:cs="Times New Roman"/>
          <w:sz w:val="24"/>
          <w:szCs w:val="24"/>
          <w:lang w:val="en-US"/>
        </w:rPr>
        <w:t xml:space="preserve"> (and surveyed between 2014-2016)</w:t>
      </w:r>
      <w:r w:rsidRPr="00122B81">
        <w:rPr>
          <w:rFonts w:ascii="Times New Roman" w:eastAsia="Calibri" w:hAnsi="Times New Roman" w:cs="Times New Roman"/>
          <w:sz w:val="24"/>
          <w:szCs w:val="24"/>
          <w:lang w:val="en-US"/>
        </w:rPr>
        <w:t>. The</w:t>
      </w:r>
      <w:r>
        <w:rPr>
          <w:rFonts w:ascii="Times New Roman" w:eastAsia="Calibri" w:hAnsi="Times New Roman" w:cs="Times New Roman"/>
          <w:sz w:val="24"/>
          <w:szCs w:val="24"/>
          <w:lang w:val="en-US"/>
        </w:rPr>
        <w:t>se</w:t>
      </w:r>
      <w:r w:rsidRPr="00122B81">
        <w:rPr>
          <w:rFonts w:ascii="Times New Roman" w:eastAsia="Calibri" w:hAnsi="Times New Roman" w:cs="Times New Roman"/>
          <w:sz w:val="24"/>
          <w:szCs w:val="24"/>
          <w:lang w:val="en-US"/>
        </w:rPr>
        <w:t xml:space="preserve"> two cohorts </w:t>
      </w:r>
      <w:r>
        <w:rPr>
          <w:rFonts w:ascii="Times New Roman" w:eastAsia="Calibri" w:hAnsi="Times New Roman" w:cs="Times New Roman"/>
          <w:sz w:val="24"/>
          <w:szCs w:val="24"/>
          <w:lang w:val="en-US"/>
        </w:rPr>
        <w:t xml:space="preserve">provide a justifiable comparison across time, because </w:t>
      </w:r>
      <w:r w:rsidRPr="00122B81">
        <w:rPr>
          <w:rFonts w:ascii="Times New Roman" w:eastAsia="Calibri" w:hAnsi="Times New Roman" w:cs="Times New Roman"/>
          <w:sz w:val="24"/>
          <w:szCs w:val="24"/>
          <w:lang w:val="en-US"/>
        </w:rPr>
        <w:t xml:space="preserve">the individuals </w:t>
      </w:r>
      <w:r>
        <w:rPr>
          <w:rFonts w:ascii="Times New Roman" w:eastAsia="Calibri" w:hAnsi="Times New Roman" w:cs="Times New Roman"/>
          <w:sz w:val="24"/>
          <w:szCs w:val="24"/>
          <w:lang w:val="en-US"/>
        </w:rPr>
        <w:t>would have been</w:t>
      </w:r>
      <w:r w:rsidRPr="00122B81">
        <w:rPr>
          <w:rFonts w:ascii="Times New Roman" w:eastAsia="Calibri" w:hAnsi="Times New Roman" w:cs="Times New Roman"/>
          <w:sz w:val="24"/>
          <w:szCs w:val="24"/>
          <w:lang w:val="en-US"/>
        </w:rPr>
        <w:t xml:space="preserve"> the same age</w:t>
      </w:r>
      <w:r>
        <w:rPr>
          <w:rFonts w:ascii="Times New Roman" w:eastAsia="Calibri" w:hAnsi="Times New Roman" w:cs="Times New Roman"/>
          <w:sz w:val="24"/>
          <w:szCs w:val="24"/>
          <w:lang w:val="en-US"/>
        </w:rPr>
        <w:t xml:space="preserve"> when surveyed</w:t>
      </w:r>
      <w:r w:rsidRPr="00122B81">
        <w:rPr>
          <w:rFonts w:ascii="Times New Roman" w:eastAsia="Calibri" w:hAnsi="Times New Roman" w:cs="Times New Roman"/>
          <w:sz w:val="24"/>
          <w:szCs w:val="24"/>
          <w:lang w:val="en-US"/>
        </w:rPr>
        <w:t xml:space="preserve"> (between 22 and 26 years old). The specific cohorts were chosen, because individuals aged 22 – 26 years old would </w:t>
      </w:r>
      <w:r>
        <w:rPr>
          <w:rFonts w:ascii="Times New Roman" w:eastAsia="Calibri" w:hAnsi="Times New Roman" w:cs="Times New Roman"/>
          <w:sz w:val="24"/>
          <w:szCs w:val="24"/>
          <w:lang w:val="en-US"/>
        </w:rPr>
        <w:t xml:space="preserve">have been old enough to </w:t>
      </w:r>
      <w:r w:rsidRPr="00122B81">
        <w:rPr>
          <w:rFonts w:ascii="Times New Roman" w:eastAsia="Calibri" w:hAnsi="Times New Roman" w:cs="Times New Roman"/>
          <w:sz w:val="24"/>
          <w:szCs w:val="24"/>
          <w:lang w:val="en-US"/>
        </w:rPr>
        <w:t xml:space="preserve">have completed school </w:t>
      </w:r>
      <w:r>
        <w:rPr>
          <w:rFonts w:ascii="Times New Roman" w:eastAsia="Calibri" w:hAnsi="Times New Roman" w:cs="Times New Roman"/>
          <w:sz w:val="24"/>
          <w:szCs w:val="24"/>
          <w:lang w:val="en-US"/>
        </w:rPr>
        <w:t>at the time when</w:t>
      </w:r>
      <w:r w:rsidRPr="00122B81">
        <w:rPr>
          <w:rFonts w:ascii="Times New Roman" w:eastAsia="Calibri" w:hAnsi="Times New Roman" w:cs="Times New Roman"/>
          <w:sz w:val="24"/>
          <w:szCs w:val="24"/>
          <w:lang w:val="en-US"/>
        </w:rPr>
        <w:t xml:space="preserve"> the GHS data was collected, and we will therefore be able to gauge what percentage of them finished their schooling at which grades. The survival rate</w:t>
      </w:r>
      <w:r>
        <w:rPr>
          <w:rFonts w:ascii="Times New Roman" w:eastAsia="Calibri" w:hAnsi="Times New Roman" w:cs="Times New Roman"/>
          <w:sz w:val="24"/>
          <w:szCs w:val="24"/>
          <w:lang w:val="en-US"/>
        </w:rPr>
        <w:t>s</w:t>
      </w:r>
      <w:r w:rsidRPr="00122B81">
        <w:rPr>
          <w:rFonts w:ascii="Times New Roman" w:eastAsia="Calibri" w:hAnsi="Times New Roman" w:cs="Times New Roman"/>
          <w:sz w:val="24"/>
          <w:szCs w:val="24"/>
          <w:lang w:val="en-US"/>
        </w:rPr>
        <w:t xml:space="preserve"> in the table </w:t>
      </w:r>
      <w:r>
        <w:rPr>
          <w:rFonts w:ascii="Times New Roman" w:eastAsia="Calibri" w:hAnsi="Times New Roman" w:cs="Times New Roman"/>
          <w:sz w:val="24"/>
          <w:szCs w:val="24"/>
          <w:lang w:val="en-US"/>
        </w:rPr>
        <w:t xml:space="preserve">show the percentage of individuals who </w:t>
      </w:r>
      <w:r w:rsidRPr="00122B81">
        <w:rPr>
          <w:rFonts w:ascii="Times New Roman" w:eastAsia="Calibri" w:hAnsi="Times New Roman" w:cs="Times New Roman"/>
          <w:sz w:val="24"/>
          <w:szCs w:val="24"/>
          <w:lang w:val="en-US"/>
        </w:rPr>
        <w:t xml:space="preserve">reached each grade. The rate was then converted to show the number of individuals, out of a 1000 individuals </w:t>
      </w:r>
      <w:r>
        <w:rPr>
          <w:rFonts w:ascii="Times New Roman" w:eastAsia="Calibri" w:hAnsi="Times New Roman" w:cs="Times New Roman"/>
          <w:sz w:val="24"/>
          <w:szCs w:val="24"/>
          <w:lang w:val="en-US"/>
        </w:rPr>
        <w:t>who</w:t>
      </w:r>
      <w:r w:rsidRPr="00122B81">
        <w:rPr>
          <w:rFonts w:ascii="Times New Roman" w:eastAsia="Calibri" w:hAnsi="Times New Roman" w:cs="Times New Roman"/>
          <w:sz w:val="24"/>
          <w:szCs w:val="24"/>
          <w:lang w:val="en-US"/>
        </w:rPr>
        <w:t xml:space="preserve"> reached each grade. </w:t>
      </w:r>
      <w:r>
        <w:rPr>
          <w:rFonts w:ascii="Times New Roman" w:eastAsia="Calibri" w:hAnsi="Times New Roman" w:cs="Times New Roman"/>
          <w:sz w:val="24"/>
          <w:szCs w:val="24"/>
          <w:lang w:val="en-US"/>
        </w:rPr>
        <w:t>It was then also possible to calculate the percentage of all individuals reaching particular grades who then drop out before attaining the next grade.</w:t>
      </w:r>
    </w:p>
    <w:p w:rsidR="004666CA" w:rsidRDefault="004666CA" w:rsidP="004666CA">
      <w:pPr>
        <w:autoSpaceDE w:val="0"/>
        <w:autoSpaceDN w:val="0"/>
        <w:adjustRightInd w:val="0"/>
        <w:spacing w:after="0"/>
        <w:jc w:val="both"/>
        <w:rPr>
          <w:rFonts w:ascii="Times New Roman" w:eastAsia="Calibri" w:hAnsi="Times New Roman" w:cs="Times New Roman"/>
          <w:sz w:val="24"/>
          <w:szCs w:val="24"/>
          <w:lang w:val="en-US"/>
        </w:rPr>
      </w:pPr>
    </w:p>
    <w:p w:rsidR="004666CA" w:rsidRDefault="004666CA" w:rsidP="004666CA">
      <w:pPr>
        <w:autoSpaceDE w:val="0"/>
        <w:autoSpaceDN w:val="0"/>
        <w:adjustRightInd w:val="0"/>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Note that </w:t>
      </w:r>
      <w:r w:rsidR="004C40E6">
        <w:rPr>
          <w:rFonts w:ascii="Times New Roman" w:eastAsia="Calibri" w:hAnsi="Times New Roman" w:cs="Times New Roman"/>
          <w:sz w:val="24"/>
          <w:szCs w:val="24"/>
          <w:lang w:val="en-US"/>
        </w:rPr>
        <w:t xml:space="preserve">the data of </w:t>
      </w:r>
      <w:r>
        <w:rPr>
          <w:rFonts w:ascii="Times New Roman" w:eastAsia="Calibri" w:hAnsi="Times New Roman" w:cs="Times New Roman"/>
          <w:sz w:val="24"/>
          <w:szCs w:val="24"/>
          <w:lang w:val="en-US"/>
        </w:rPr>
        <w:t>several years have been combined for this analysis in order to ensure that there are sufficient sample sizes in each of the cells. It is also important to note that whilst this method provides the most reliable estimates of drop-out rates by grade, it does not reflect the drop-out that happened in a particular year – the data may have been collected from 22-26 year-olds between 2014-2016</w:t>
      </w:r>
      <w:r w:rsidR="007D30B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but those youths may have dropped out of school in an earlier year. </w:t>
      </w:r>
    </w:p>
    <w:p w:rsidR="007B3BF1" w:rsidRDefault="007B3BF1" w:rsidP="004666CA">
      <w:pPr>
        <w:autoSpaceDE w:val="0"/>
        <w:autoSpaceDN w:val="0"/>
        <w:adjustRightInd w:val="0"/>
        <w:spacing w:after="0"/>
        <w:jc w:val="both"/>
        <w:rPr>
          <w:rFonts w:ascii="Times New Roman" w:eastAsia="Calibri" w:hAnsi="Times New Roman" w:cs="Times New Roman"/>
          <w:sz w:val="24"/>
          <w:szCs w:val="24"/>
          <w:lang w:val="en-US"/>
        </w:rPr>
      </w:pPr>
    </w:p>
    <w:p w:rsidR="002A0C26" w:rsidRDefault="002A0C26" w:rsidP="004666CA">
      <w:pPr>
        <w:autoSpaceDE w:val="0"/>
        <w:autoSpaceDN w:val="0"/>
        <w:adjustRightInd w:val="0"/>
        <w:spacing w:after="0"/>
        <w:jc w:val="both"/>
        <w:rPr>
          <w:rFonts w:ascii="Times New Roman" w:eastAsia="Calibri" w:hAnsi="Times New Roman" w:cs="Times New Roman"/>
          <w:b/>
          <w:sz w:val="24"/>
          <w:szCs w:val="24"/>
          <w:lang w:val="en-US"/>
        </w:rPr>
      </w:pPr>
    </w:p>
    <w:p w:rsidR="002A0C26" w:rsidRDefault="002A0C26" w:rsidP="004666CA">
      <w:pPr>
        <w:autoSpaceDE w:val="0"/>
        <w:autoSpaceDN w:val="0"/>
        <w:adjustRightInd w:val="0"/>
        <w:spacing w:after="0"/>
        <w:jc w:val="both"/>
        <w:rPr>
          <w:rFonts w:ascii="Times New Roman" w:eastAsia="Calibri" w:hAnsi="Times New Roman" w:cs="Times New Roman"/>
          <w:b/>
          <w:sz w:val="24"/>
          <w:szCs w:val="24"/>
          <w:lang w:val="en-US"/>
        </w:rPr>
      </w:pPr>
    </w:p>
    <w:p w:rsidR="002A0C26" w:rsidRDefault="002A0C26" w:rsidP="004666CA">
      <w:pPr>
        <w:autoSpaceDE w:val="0"/>
        <w:autoSpaceDN w:val="0"/>
        <w:adjustRightInd w:val="0"/>
        <w:spacing w:after="0"/>
        <w:jc w:val="both"/>
        <w:rPr>
          <w:rFonts w:ascii="Times New Roman" w:eastAsia="Calibri" w:hAnsi="Times New Roman" w:cs="Times New Roman"/>
          <w:b/>
          <w:sz w:val="24"/>
          <w:szCs w:val="24"/>
          <w:lang w:val="en-US"/>
        </w:rPr>
      </w:pPr>
    </w:p>
    <w:p w:rsidR="004666CA" w:rsidRPr="00122B81" w:rsidRDefault="004666CA" w:rsidP="004666CA">
      <w:pPr>
        <w:autoSpaceDE w:val="0"/>
        <w:autoSpaceDN w:val="0"/>
        <w:adjustRightInd w:val="0"/>
        <w:spacing w:after="0"/>
        <w:jc w:val="both"/>
        <w:rPr>
          <w:rFonts w:ascii="Times New Roman" w:eastAsia="Calibri" w:hAnsi="Times New Roman" w:cs="Times New Roman"/>
          <w:sz w:val="24"/>
          <w:szCs w:val="24"/>
          <w:lang w:val="en-US"/>
        </w:rPr>
      </w:pPr>
      <w:r w:rsidRPr="00122B81">
        <w:rPr>
          <w:rFonts w:ascii="Times New Roman" w:eastAsia="Calibri" w:hAnsi="Times New Roman" w:cs="Times New Roman"/>
          <w:b/>
          <w:sz w:val="24"/>
          <w:szCs w:val="24"/>
          <w:lang w:val="en-US"/>
        </w:rPr>
        <w:lastRenderedPageBreak/>
        <w:t>Interpretation focusing on 201</w:t>
      </w:r>
      <w:r>
        <w:rPr>
          <w:rFonts w:ascii="Times New Roman" w:eastAsia="Calibri" w:hAnsi="Times New Roman" w:cs="Times New Roman"/>
          <w:b/>
          <w:sz w:val="24"/>
          <w:szCs w:val="24"/>
          <w:lang w:val="en-US"/>
        </w:rPr>
        <w:t>4-2016</w:t>
      </w:r>
      <w:r w:rsidRPr="00122B81">
        <w:rPr>
          <w:rFonts w:ascii="Times New Roman" w:eastAsia="Calibri" w:hAnsi="Times New Roman" w:cs="Times New Roman"/>
          <w:sz w:val="24"/>
          <w:szCs w:val="24"/>
          <w:lang w:val="en-US"/>
        </w:rPr>
        <w:t>:</w:t>
      </w:r>
    </w:p>
    <w:p w:rsidR="004666CA" w:rsidRPr="00122B81" w:rsidRDefault="004666CA" w:rsidP="004666CA">
      <w:pPr>
        <w:autoSpaceDE w:val="0"/>
        <w:autoSpaceDN w:val="0"/>
        <w:adjustRightInd w:val="0"/>
        <w:spacing w:after="0"/>
        <w:jc w:val="both"/>
        <w:rPr>
          <w:rFonts w:ascii="Times New Roman" w:eastAsia="Calibri" w:hAnsi="Times New Roman" w:cs="Times New Roman"/>
          <w:sz w:val="24"/>
          <w:szCs w:val="24"/>
          <w:lang w:val="en-US"/>
        </w:rPr>
      </w:pPr>
    </w:p>
    <w:p w:rsidR="004666CA" w:rsidRDefault="004666CA" w:rsidP="004666CA">
      <w:pPr>
        <w:autoSpaceDE w:val="0"/>
        <w:autoSpaceDN w:val="0"/>
        <w:adjustRightInd w:val="0"/>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An estimated</w:t>
      </w:r>
      <w:r w:rsidRPr="00122B81">
        <w:rPr>
          <w:rFonts w:ascii="Times New Roman" w:eastAsia="Calibri" w:hAnsi="Times New Roman" w:cs="Times New Roman"/>
          <w:sz w:val="24"/>
          <w:szCs w:val="24"/>
          <w:lang w:val="en-US"/>
        </w:rPr>
        <w:t xml:space="preserve"> 0.7% of </w:t>
      </w:r>
      <w:r w:rsidR="004C40E6">
        <w:rPr>
          <w:rFonts w:ascii="Times New Roman" w:eastAsia="Calibri" w:hAnsi="Times New Roman" w:cs="Times New Roman"/>
          <w:sz w:val="24"/>
          <w:szCs w:val="24"/>
          <w:lang w:val="en-US"/>
        </w:rPr>
        <w:t>22-26 year-olds</w:t>
      </w:r>
      <w:r>
        <w:rPr>
          <w:rFonts w:ascii="Times New Roman" w:eastAsia="Calibri" w:hAnsi="Times New Roman" w:cs="Times New Roman"/>
          <w:sz w:val="24"/>
          <w:szCs w:val="24"/>
          <w:lang w:val="en-US"/>
        </w:rPr>
        <w:t xml:space="preserve"> in 2014-2016 reported to have not even completed</w:t>
      </w:r>
      <w:r w:rsidRPr="00122B81">
        <w:rPr>
          <w:rFonts w:ascii="Times New Roman" w:eastAsia="Calibri" w:hAnsi="Times New Roman" w:cs="Times New Roman"/>
          <w:sz w:val="24"/>
          <w:szCs w:val="24"/>
          <w:lang w:val="en-US"/>
        </w:rPr>
        <w:t xml:space="preserve"> Grade 1</w:t>
      </w:r>
      <w:r w:rsidR="004C40E6">
        <w:rPr>
          <w:rFonts w:ascii="Times New Roman" w:eastAsia="Calibri" w:hAnsi="Times New Roman" w:cs="Times New Roman"/>
          <w:sz w:val="24"/>
          <w:szCs w:val="24"/>
          <w:lang w:val="en-US"/>
        </w:rPr>
        <w:t>, whereas</w:t>
      </w:r>
      <w:r>
        <w:rPr>
          <w:rFonts w:ascii="Times New Roman" w:eastAsia="Calibri" w:hAnsi="Times New Roman" w:cs="Times New Roman"/>
          <w:sz w:val="24"/>
          <w:szCs w:val="24"/>
          <w:lang w:val="en-US"/>
        </w:rPr>
        <w:t xml:space="preserve"> 51.5</w:t>
      </w:r>
      <w:r w:rsidRPr="00122B81">
        <w:rPr>
          <w:rFonts w:ascii="Times New Roman" w:eastAsia="Calibri" w:hAnsi="Times New Roman" w:cs="Times New Roman"/>
          <w:sz w:val="24"/>
          <w:szCs w:val="24"/>
          <w:lang w:val="en-US"/>
        </w:rPr>
        <w:t xml:space="preserve">% of </w:t>
      </w:r>
      <w:r>
        <w:rPr>
          <w:rFonts w:ascii="Times New Roman" w:eastAsia="Calibri" w:hAnsi="Times New Roman" w:cs="Times New Roman"/>
          <w:sz w:val="24"/>
          <w:szCs w:val="24"/>
          <w:lang w:val="en-US"/>
        </w:rPr>
        <w:t>this cohort attained Grade 12</w:t>
      </w:r>
      <w:r w:rsidRPr="00122B8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It was also calculated</w:t>
      </w:r>
      <w:r w:rsidRPr="00122B81">
        <w:rPr>
          <w:rFonts w:ascii="Times New Roman" w:eastAsia="Calibri" w:hAnsi="Times New Roman" w:cs="Times New Roman"/>
          <w:sz w:val="24"/>
          <w:szCs w:val="24"/>
          <w:lang w:val="en-US"/>
        </w:rPr>
        <w:t xml:space="preserve"> that 26% of </w:t>
      </w:r>
      <w:r>
        <w:rPr>
          <w:rFonts w:ascii="Times New Roman" w:eastAsia="Calibri" w:hAnsi="Times New Roman" w:cs="Times New Roman"/>
          <w:sz w:val="24"/>
          <w:szCs w:val="24"/>
          <w:lang w:val="en-US"/>
        </w:rPr>
        <w:t xml:space="preserve">those with </w:t>
      </w:r>
      <w:r w:rsidRPr="00122B81">
        <w:rPr>
          <w:rFonts w:ascii="Times New Roman" w:eastAsia="Calibri" w:hAnsi="Times New Roman" w:cs="Times New Roman"/>
          <w:sz w:val="24"/>
          <w:szCs w:val="24"/>
          <w:lang w:val="en-US"/>
        </w:rPr>
        <w:t xml:space="preserve">Grade 11 </w:t>
      </w:r>
      <w:r>
        <w:rPr>
          <w:rFonts w:ascii="Times New Roman" w:eastAsia="Calibri" w:hAnsi="Times New Roman" w:cs="Times New Roman"/>
          <w:sz w:val="24"/>
          <w:szCs w:val="24"/>
          <w:lang w:val="en-US"/>
        </w:rPr>
        <w:t xml:space="preserve">(NB: not of all youths) </w:t>
      </w:r>
      <w:r w:rsidRPr="00122B81">
        <w:rPr>
          <w:rFonts w:ascii="Times New Roman" w:eastAsia="Calibri" w:hAnsi="Times New Roman" w:cs="Times New Roman"/>
          <w:sz w:val="24"/>
          <w:szCs w:val="24"/>
          <w:lang w:val="en-US"/>
        </w:rPr>
        <w:t>dropped-out before attaining Grade 12.</w:t>
      </w:r>
      <w:r>
        <w:rPr>
          <w:rFonts w:ascii="Times New Roman" w:eastAsia="Calibri" w:hAnsi="Times New Roman" w:cs="Times New Roman"/>
          <w:sz w:val="24"/>
          <w:szCs w:val="24"/>
          <w:lang w:val="en-US"/>
        </w:rPr>
        <w:t xml:space="preserve"> Similarly, the drop-out rates for grade 7, 8 and 9 were 3.1%, 4.6% and 9.5% respectively.</w:t>
      </w:r>
    </w:p>
    <w:p w:rsidR="004666CA" w:rsidRDefault="004666CA" w:rsidP="004666CA">
      <w:pPr>
        <w:autoSpaceDE w:val="0"/>
        <w:autoSpaceDN w:val="0"/>
        <w:adjustRightInd w:val="0"/>
        <w:spacing w:after="0"/>
        <w:jc w:val="both"/>
        <w:rPr>
          <w:rFonts w:ascii="Times New Roman" w:eastAsia="Calibri" w:hAnsi="Times New Roman" w:cs="Times New Roman"/>
          <w:sz w:val="24"/>
          <w:szCs w:val="24"/>
          <w:lang w:val="en-US"/>
        </w:rPr>
      </w:pPr>
    </w:p>
    <w:p w:rsidR="004666CA" w:rsidRDefault="004666CA" w:rsidP="004666CA">
      <w:pPr>
        <w:autoSpaceDE w:val="0"/>
        <w:autoSpaceDN w:val="0"/>
        <w:adjustRightInd w:val="0"/>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Drop-out rates for each grade are also reported by province using the same methodology in the tables below, for both the 2011-2013 combined period and the 2014-2016 combined period. It is worth noting that in general the survival rates improved in the more recent period.</w:t>
      </w:r>
    </w:p>
    <w:p w:rsidR="004666CA" w:rsidRDefault="004666CA" w:rsidP="004666CA">
      <w:pPr>
        <w:autoSpaceDE w:val="0"/>
        <w:autoSpaceDN w:val="0"/>
        <w:adjustRightInd w:val="0"/>
        <w:spacing w:after="0"/>
        <w:jc w:val="both"/>
        <w:rPr>
          <w:rFonts w:ascii="Times New Roman" w:eastAsia="Calibri" w:hAnsi="Times New Roman" w:cs="Times New Roman"/>
          <w:sz w:val="24"/>
          <w:szCs w:val="24"/>
          <w:lang w:val="en-US"/>
        </w:rPr>
      </w:pPr>
    </w:p>
    <w:p w:rsidR="004666CA" w:rsidRPr="00441A44" w:rsidRDefault="004666CA" w:rsidP="004666CA">
      <w:pPr>
        <w:pStyle w:val="Caption"/>
        <w:keepNext/>
        <w:spacing w:after="0"/>
        <w:contextualSpacing/>
        <w:rPr>
          <w:b/>
          <w:i w:val="0"/>
          <w:sz w:val="24"/>
        </w:rPr>
      </w:pPr>
      <w:r w:rsidRPr="00441A44">
        <w:rPr>
          <w:rFonts w:ascii="Times New Roman" w:eastAsia="Calibri" w:hAnsi="Times New Roman" w:cs="Times New Roman"/>
          <w:b/>
          <w:i w:val="0"/>
          <w:iCs w:val="0"/>
          <w:color w:val="auto"/>
          <w:sz w:val="24"/>
          <w:szCs w:val="24"/>
          <w:lang w:val="en-US"/>
        </w:rPr>
        <w:t>Survival rates and drop-out rates, associated with each grade</w:t>
      </w:r>
    </w:p>
    <w:tbl>
      <w:tblPr>
        <w:tblW w:w="9039" w:type="dxa"/>
        <w:tblLook w:val="04A0" w:firstRow="1" w:lastRow="0" w:firstColumn="1" w:lastColumn="0" w:noHBand="0" w:noVBand="1"/>
      </w:tblPr>
      <w:tblGrid>
        <w:gridCol w:w="1300"/>
        <w:gridCol w:w="1225"/>
        <w:gridCol w:w="939"/>
        <w:gridCol w:w="1748"/>
        <w:gridCol w:w="939"/>
        <w:gridCol w:w="1276"/>
        <w:gridCol w:w="1701"/>
      </w:tblGrid>
      <w:tr w:rsidR="004666CA" w:rsidRPr="007D30B1" w:rsidTr="004F1970">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 </w:t>
            </w:r>
          </w:p>
        </w:tc>
        <w:tc>
          <w:tcPr>
            <w:tcW w:w="3911"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b/>
                <w:bCs/>
                <w:color w:val="000000"/>
                <w:sz w:val="20"/>
                <w:lang w:eastAsia="en-ZA"/>
              </w:rPr>
            </w:pPr>
            <w:r w:rsidRPr="007D30B1">
              <w:rPr>
                <w:rFonts w:ascii="Times New Roman" w:eastAsia="Times New Roman" w:hAnsi="Times New Roman" w:cs="Times New Roman"/>
                <w:b/>
                <w:bCs/>
                <w:color w:val="000000"/>
                <w:sz w:val="20"/>
                <w:lang w:eastAsia="en-ZA"/>
              </w:rPr>
              <w:t>2011-2013</w:t>
            </w:r>
          </w:p>
        </w:tc>
        <w:tc>
          <w:tcPr>
            <w:tcW w:w="3828"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b/>
                <w:bCs/>
                <w:color w:val="000000"/>
                <w:sz w:val="20"/>
                <w:lang w:eastAsia="en-ZA"/>
              </w:rPr>
            </w:pPr>
            <w:r w:rsidRPr="007D30B1">
              <w:rPr>
                <w:rFonts w:ascii="Times New Roman" w:eastAsia="Times New Roman" w:hAnsi="Times New Roman" w:cs="Times New Roman"/>
                <w:b/>
                <w:bCs/>
                <w:color w:val="000000"/>
                <w:sz w:val="20"/>
                <w:lang w:eastAsia="en-ZA"/>
              </w:rPr>
              <w:t>2014-2016</w:t>
            </w:r>
          </w:p>
        </w:tc>
      </w:tr>
      <w:tr w:rsidR="004666CA" w:rsidRPr="007D30B1" w:rsidTr="004F1970">
        <w:trPr>
          <w:trHeight w:val="103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 </w:t>
            </w:r>
          </w:p>
        </w:tc>
        <w:tc>
          <w:tcPr>
            <w:tcW w:w="1225"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b/>
                <w:bCs/>
                <w:color w:val="000000"/>
                <w:sz w:val="20"/>
                <w:lang w:eastAsia="en-ZA"/>
              </w:rPr>
            </w:pPr>
            <w:r w:rsidRPr="007D30B1">
              <w:rPr>
                <w:rFonts w:ascii="Times New Roman" w:eastAsia="Times New Roman" w:hAnsi="Times New Roman" w:cs="Times New Roman"/>
                <w:b/>
                <w:bCs/>
                <w:color w:val="000000"/>
                <w:sz w:val="20"/>
                <w:lang w:eastAsia="en-ZA"/>
              </w:rPr>
              <w:t>Survival Rate</w:t>
            </w:r>
          </w:p>
        </w:tc>
        <w:tc>
          <w:tcPr>
            <w:tcW w:w="938" w:type="dxa"/>
            <w:tcBorders>
              <w:top w:val="nil"/>
              <w:left w:val="nil"/>
              <w:bottom w:val="single" w:sz="4" w:space="0" w:color="auto"/>
              <w:right w:val="single" w:sz="4" w:space="0" w:color="auto"/>
            </w:tcBorders>
            <w:shd w:val="clear" w:color="auto" w:fill="auto"/>
            <w:vAlign w:val="bottom"/>
            <w:hideMark/>
          </w:tcPr>
          <w:p w:rsidR="004666CA" w:rsidRPr="007D30B1" w:rsidRDefault="004666CA" w:rsidP="004F1970">
            <w:pPr>
              <w:spacing w:after="0" w:line="240" w:lineRule="auto"/>
              <w:jc w:val="center"/>
              <w:rPr>
                <w:rFonts w:ascii="Times New Roman" w:eastAsia="Times New Roman" w:hAnsi="Times New Roman" w:cs="Times New Roman"/>
                <w:b/>
                <w:bCs/>
                <w:color w:val="000000"/>
                <w:sz w:val="20"/>
                <w:lang w:eastAsia="en-ZA"/>
              </w:rPr>
            </w:pPr>
            <w:r w:rsidRPr="007D30B1">
              <w:rPr>
                <w:rFonts w:ascii="Times New Roman" w:eastAsia="Times New Roman" w:hAnsi="Times New Roman" w:cs="Times New Roman"/>
                <w:b/>
                <w:bCs/>
                <w:color w:val="000000"/>
                <w:sz w:val="20"/>
                <w:lang w:eastAsia="en-ZA"/>
              </w:rPr>
              <w:t>Survival per 1000</w:t>
            </w:r>
          </w:p>
        </w:tc>
        <w:tc>
          <w:tcPr>
            <w:tcW w:w="1748" w:type="dxa"/>
            <w:tcBorders>
              <w:top w:val="nil"/>
              <w:left w:val="nil"/>
              <w:bottom w:val="single" w:sz="4" w:space="0" w:color="auto"/>
              <w:right w:val="single" w:sz="4" w:space="0" w:color="auto"/>
            </w:tcBorders>
            <w:shd w:val="clear" w:color="auto" w:fill="auto"/>
            <w:vAlign w:val="bottom"/>
            <w:hideMark/>
          </w:tcPr>
          <w:p w:rsidR="004666CA" w:rsidRPr="007D30B1" w:rsidRDefault="004666CA" w:rsidP="004F1970">
            <w:pPr>
              <w:spacing w:after="0" w:line="240" w:lineRule="auto"/>
              <w:jc w:val="center"/>
              <w:rPr>
                <w:rFonts w:ascii="Times New Roman" w:eastAsia="Times New Roman" w:hAnsi="Times New Roman" w:cs="Times New Roman"/>
                <w:b/>
                <w:bCs/>
                <w:color w:val="000000"/>
                <w:sz w:val="20"/>
                <w:lang w:eastAsia="en-ZA"/>
              </w:rPr>
            </w:pPr>
            <w:r w:rsidRPr="007D30B1">
              <w:rPr>
                <w:rFonts w:ascii="Times New Roman" w:eastAsia="Times New Roman" w:hAnsi="Times New Roman" w:cs="Times New Roman"/>
                <w:b/>
                <w:bCs/>
                <w:color w:val="000000"/>
                <w:sz w:val="20"/>
                <w:lang w:eastAsia="en-ZA"/>
              </w:rPr>
              <w:t>Percentage dropping out with this Grade attained</w:t>
            </w:r>
          </w:p>
        </w:tc>
        <w:tc>
          <w:tcPr>
            <w:tcW w:w="85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b/>
                <w:bCs/>
                <w:color w:val="000000"/>
                <w:sz w:val="20"/>
                <w:lang w:eastAsia="en-ZA"/>
              </w:rPr>
            </w:pPr>
            <w:r w:rsidRPr="007D30B1">
              <w:rPr>
                <w:rFonts w:ascii="Times New Roman" w:eastAsia="Times New Roman" w:hAnsi="Times New Roman" w:cs="Times New Roman"/>
                <w:b/>
                <w:bCs/>
                <w:color w:val="000000"/>
                <w:sz w:val="20"/>
                <w:lang w:eastAsia="en-ZA"/>
              </w:rPr>
              <w:t>Survival Rate</w:t>
            </w:r>
          </w:p>
        </w:tc>
        <w:tc>
          <w:tcPr>
            <w:tcW w:w="1276" w:type="dxa"/>
            <w:tcBorders>
              <w:top w:val="nil"/>
              <w:left w:val="nil"/>
              <w:bottom w:val="single" w:sz="4" w:space="0" w:color="auto"/>
              <w:right w:val="single" w:sz="4" w:space="0" w:color="auto"/>
            </w:tcBorders>
            <w:shd w:val="clear" w:color="auto" w:fill="auto"/>
            <w:vAlign w:val="bottom"/>
            <w:hideMark/>
          </w:tcPr>
          <w:p w:rsidR="004666CA" w:rsidRPr="007D30B1" w:rsidRDefault="004666CA" w:rsidP="004F1970">
            <w:pPr>
              <w:spacing w:after="0" w:line="240" w:lineRule="auto"/>
              <w:jc w:val="center"/>
              <w:rPr>
                <w:rFonts w:ascii="Times New Roman" w:eastAsia="Times New Roman" w:hAnsi="Times New Roman" w:cs="Times New Roman"/>
                <w:b/>
                <w:bCs/>
                <w:color w:val="000000"/>
                <w:sz w:val="20"/>
                <w:lang w:eastAsia="en-ZA"/>
              </w:rPr>
            </w:pPr>
            <w:r w:rsidRPr="007D30B1">
              <w:rPr>
                <w:rFonts w:ascii="Times New Roman" w:eastAsia="Times New Roman" w:hAnsi="Times New Roman" w:cs="Times New Roman"/>
                <w:b/>
                <w:bCs/>
                <w:color w:val="000000"/>
                <w:sz w:val="20"/>
                <w:lang w:eastAsia="en-ZA"/>
              </w:rPr>
              <w:t>Survival per 1000</w:t>
            </w:r>
          </w:p>
        </w:tc>
        <w:tc>
          <w:tcPr>
            <w:tcW w:w="1701" w:type="dxa"/>
            <w:tcBorders>
              <w:top w:val="nil"/>
              <w:left w:val="nil"/>
              <w:bottom w:val="single" w:sz="4" w:space="0" w:color="auto"/>
              <w:right w:val="single" w:sz="4" w:space="0" w:color="auto"/>
            </w:tcBorders>
            <w:shd w:val="clear" w:color="auto" w:fill="auto"/>
            <w:vAlign w:val="bottom"/>
            <w:hideMark/>
          </w:tcPr>
          <w:p w:rsidR="004666CA" w:rsidRPr="007D30B1" w:rsidRDefault="004666CA" w:rsidP="004F1970">
            <w:pPr>
              <w:spacing w:after="0" w:line="240" w:lineRule="auto"/>
              <w:jc w:val="center"/>
              <w:rPr>
                <w:rFonts w:ascii="Times New Roman" w:eastAsia="Times New Roman" w:hAnsi="Times New Roman" w:cs="Times New Roman"/>
                <w:b/>
                <w:bCs/>
                <w:color w:val="000000"/>
                <w:sz w:val="20"/>
                <w:lang w:eastAsia="en-ZA"/>
              </w:rPr>
            </w:pPr>
            <w:r w:rsidRPr="007D30B1">
              <w:rPr>
                <w:rFonts w:ascii="Times New Roman" w:eastAsia="Times New Roman" w:hAnsi="Times New Roman" w:cs="Times New Roman"/>
                <w:b/>
                <w:bCs/>
                <w:color w:val="000000"/>
                <w:sz w:val="20"/>
                <w:lang w:eastAsia="en-ZA"/>
              </w:rPr>
              <w:t>Percentage dropping out with this Grade attained</w:t>
            </w:r>
          </w:p>
        </w:tc>
      </w:tr>
      <w:tr w:rsidR="004666CA" w:rsidRPr="007D30B1" w:rsidTr="004F197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Total cohort</w:t>
            </w:r>
          </w:p>
        </w:tc>
        <w:tc>
          <w:tcPr>
            <w:tcW w:w="1225"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100%</w:t>
            </w:r>
          </w:p>
        </w:tc>
        <w:tc>
          <w:tcPr>
            <w:tcW w:w="938"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 </w:t>
            </w:r>
          </w:p>
        </w:tc>
        <w:tc>
          <w:tcPr>
            <w:tcW w:w="1748"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 </w:t>
            </w:r>
          </w:p>
        </w:tc>
        <w:tc>
          <w:tcPr>
            <w:tcW w:w="85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 </w:t>
            </w:r>
          </w:p>
        </w:tc>
        <w:tc>
          <w:tcPr>
            <w:tcW w:w="170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 </w:t>
            </w:r>
          </w:p>
        </w:tc>
      </w:tr>
      <w:tr w:rsidR="004666CA" w:rsidRPr="007D30B1" w:rsidTr="004F197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No schooling</w:t>
            </w:r>
          </w:p>
        </w:tc>
        <w:tc>
          <w:tcPr>
            <w:tcW w:w="1225"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 </w:t>
            </w:r>
          </w:p>
        </w:tc>
        <w:tc>
          <w:tcPr>
            <w:tcW w:w="938"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1000</w:t>
            </w:r>
          </w:p>
        </w:tc>
        <w:tc>
          <w:tcPr>
            <w:tcW w:w="1748"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0.7%</w:t>
            </w:r>
          </w:p>
        </w:tc>
        <w:tc>
          <w:tcPr>
            <w:tcW w:w="85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0.7%</w:t>
            </w:r>
          </w:p>
        </w:tc>
      </w:tr>
      <w:tr w:rsidR="004666CA" w:rsidRPr="007D30B1" w:rsidTr="004F197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Grade 1</w:t>
            </w:r>
          </w:p>
        </w:tc>
        <w:tc>
          <w:tcPr>
            <w:tcW w:w="1225"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99.3%</w:t>
            </w:r>
          </w:p>
        </w:tc>
        <w:tc>
          <w:tcPr>
            <w:tcW w:w="938"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993</w:t>
            </w:r>
          </w:p>
        </w:tc>
        <w:tc>
          <w:tcPr>
            <w:tcW w:w="1748"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0.4%</w:t>
            </w:r>
          </w:p>
        </w:tc>
        <w:tc>
          <w:tcPr>
            <w:tcW w:w="85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99.3%</w:t>
            </w:r>
          </w:p>
        </w:tc>
        <w:tc>
          <w:tcPr>
            <w:tcW w:w="1276"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993</w:t>
            </w:r>
          </w:p>
        </w:tc>
        <w:tc>
          <w:tcPr>
            <w:tcW w:w="1701"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0.1%</w:t>
            </w:r>
          </w:p>
        </w:tc>
      </w:tr>
      <w:tr w:rsidR="004666CA" w:rsidRPr="007D30B1" w:rsidTr="004F197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Grade 2</w:t>
            </w:r>
          </w:p>
        </w:tc>
        <w:tc>
          <w:tcPr>
            <w:tcW w:w="1225"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98.9%</w:t>
            </w:r>
          </w:p>
        </w:tc>
        <w:tc>
          <w:tcPr>
            <w:tcW w:w="938"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989</w:t>
            </w:r>
          </w:p>
        </w:tc>
        <w:tc>
          <w:tcPr>
            <w:tcW w:w="1748"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0.5%</w:t>
            </w:r>
          </w:p>
        </w:tc>
        <w:tc>
          <w:tcPr>
            <w:tcW w:w="85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99.1%</w:t>
            </w:r>
          </w:p>
        </w:tc>
        <w:tc>
          <w:tcPr>
            <w:tcW w:w="1276"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991</w:t>
            </w:r>
          </w:p>
        </w:tc>
        <w:tc>
          <w:tcPr>
            <w:tcW w:w="1701"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0.2%</w:t>
            </w:r>
          </w:p>
        </w:tc>
      </w:tr>
      <w:tr w:rsidR="004666CA" w:rsidRPr="007D30B1" w:rsidTr="004F197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Grade 3</w:t>
            </w:r>
          </w:p>
        </w:tc>
        <w:tc>
          <w:tcPr>
            <w:tcW w:w="1225"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98.4%</w:t>
            </w:r>
          </w:p>
        </w:tc>
        <w:tc>
          <w:tcPr>
            <w:tcW w:w="938"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984</w:t>
            </w:r>
          </w:p>
        </w:tc>
        <w:tc>
          <w:tcPr>
            <w:tcW w:w="1748"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0.4%</w:t>
            </w:r>
          </w:p>
        </w:tc>
        <w:tc>
          <w:tcPr>
            <w:tcW w:w="85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98.9%</w:t>
            </w:r>
          </w:p>
        </w:tc>
        <w:tc>
          <w:tcPr>
            <w:tcW w:w="1276"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989</w:t>
            </w:r>
          </w:p>
        </w:tc>
        <w:tc>
          <w:tcPr>
            <w:tcW w:w="1701"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0.5%</w:t>
            </w:r>
          </w:p>
        </w:tc>
      </w:tr>
      <w:tr w:rsidR="004666CA" w:rsidRPr="007D30B1" w:rsidTr="004F197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Grade 4</w:t>
            </w:r>
          </w:p>
        </w:tc>
        <w:tc>
          <w:tcPr>
            <w:tcW w:w="1225"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98.0%</w:t>
            </w:r>
          </w:p>
        </w:tc>
        <w:tc>
          <w:tcPr>
            <w:tcW w:w="938"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980</w:t>
            </w:r>
          </w:p>
        </w:tc>
        <w:tc>
          <w:tcPr>
            <w:tcW w:w="1748"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0.7%</w:t>
            </w:r>
          </w:p>
        </w:tc>
        <w:tc>
          <w:tcPr>
            <w:tcW w:w="85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98.4%</w:t>
            </w:r>
          </w:p>
        </w:tc>
        <w:tc>
          <w:tcPr>
            <w:tcW w:w="1276"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984</w:t>
            </w:r>
          </w:p>
        </w:tc>
        <w:tc>
          <w:tcPr>
            <w:tcW w:w="1701"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0.5%</w:t>
            </w:r>
          </w:p>
        </w:tc>
      </w:tr>
      <w:tr w:rsidR="004666CA" w:rsidRPr="007D30B1" w:rsidTr="004F197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Grade 5</w:t>
            </w:r>
          </w:p>
        </w:tc>
        <w:tc>
          <w:tcPr>
            <w:tcW w:w="1225"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97.3%</w:t>
            </w:r>
          </w:p>
        </w:tc>
        <w:tc>
          <w:tcPr>
            <w:tcW w:w="938"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973</w:t>
            </w:r>
          </w:p>
        </w:tc>
        <w:tc>
          <w:tcPr>
            <w:tcW w:w="1748"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1.0%</w:t>
            </w:r>
          </w:p>
        </w:tc>
        <w:tc>
          <w:tcPr>
            <w:tcW w:w="85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97.9%</w:t>
            </w:r>
          </w:p>
        </w:tc>
        <w:tc>
          <w:tcPr>
            <w:tcW w:w="1276"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979</w:t>
            </w:r>
          </w:p>
        </w:tc>
        <w:tc>
          <w:tcPr>
            <w:tcW w:w="1701"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0.8%</w:t>
            </w:r>
          </w:p>
        </w:tc>
      </w:tr>
      <w:tr w:rsidR="004666CA" w:rsidRPr="007D30B1" w:rsidTr="004F197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Grade 6</w:t>
            </w:r>
          </w:p>
        </w:tc>
        <w:tc>
          <w:tcPr>
            <w:tcW w:w="1225"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96.3%</w:t>
            </w:r>
          </w:p>
        </w:tc>
        <w:tc>
          <w:tcPr>
            <w:tcW w:w="938"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963</w:t>
            </w:r>
          </w:p>
        </w:tc>
        <w:tc>
          <w:tcPr>
            <w:tcW w:w="1748"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1.5%</w:t>
            </w:r>
          </w:p>
        </w:tc>
        <w:tc>
          <w:tcPr>
            <w:tcW w:w="85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97.1%</w:t>
            </w:r>
          </w:p>
        </w:tc>
        <w:tc>
          <w:tcPr>
            <w:tcW w:w="1276"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971</w:t>
            </w:r>
          </w:p>
        </w:tc>
        <w:tc>
          <w:tcPr>
            <w:tcW w:w="1701"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1.5%</w:t>
            </w:r>
          </w:p>
        </w:tc>
      </w:tr>
      <w:tr w:rsidR="004666CA" w:rsidRPr="007D30B1" w:rsidTr="004F197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Grade 7</w:t>
            </w:r>
          </w:p>
        </w:tc>
        <w:tc>
          <w:tcPr>
            <w:tcW w:w="1225"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94.9%</w:t>
            </w:r>
          </w:p>
        </w:tc>
        <w:tc>
          <w:tcPr>
            <w:tcW w:w="938"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949</w:t>
            </w:r>
          </w:p>
        </w:tc>
        <w:tc>
          <w:tcPr>
            <w:tcW w:w="1748"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3.1%</w:t>
            </w:r>
          </w:p>
        </w:tc>
        <w:tc>
          <w:tcPr>
            <w:tcW w:w="85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95.7%</w:t>
            </w:r>
          </w:p>
        </w:tc>
        <w:tc>
          <w:tcPr>
            <w:tcW w:w="1276"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957</w:t>
            </w:r>
          </w:p>
        </w:tc>
        <w:tc>
          <w:tcPr>
            <w:tcW w:w="1701"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3.1%</w:t>
            </w:r>
          </w:p>
        </w:tc>
      </w:tr>
      <w:tr w:rsidR="004666CA" w:rsidRPr="007D30B1" w:rsidTr="004F197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Grade 8</w:t>
            </w:r>
          </w:p>
        </w:tc>
        <w:tc>
          <w:tcPr>
            <w:tcW w:w="1225"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92.0%</w:t>
            </w:r>
          </w:p>
        </w:tc>
        <w:tc>
          <w:tcPr>
            <w:tcW w:w="938"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920</w:t>
            </w:r>
          </w:p>
        </w:tc>
        <w:tc>
          <w:tcPr>
            <w:tcW w:w="1748"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5.2%</w:t>
            </w:r>
          </w:p>
        </w:tc>
        <w:tc>
          <w:tcPr>
            <w:tcW w:w="85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92.7%</w:t>
            </w:r>
          </w:p>
        </w:tc>
        <w:tc>
          <w:tcPr>
            <w:tcW w:w="1276"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927</w:t>
            </w:r>
          </w:p>
        </w:tc>
        <w:tc>
          <w:tcPr>
            <w:tcW w:w="1701"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4.6%</w:t>
            </w:r>
          </w:p>
        </w:tc>
      </w:tr>
      <w:tr w:rsidR="004666CA" w:rsidRPr="007D30B1" w:rsidTr="004F197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Grade 9</w:t>
            </w:r>
          </w:p>
        </w:tc>
        <w:tc>
          <w:tcPr>
            <w:tcW w:w="1225"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87.2%</w:t>
            </w:r>
          </w:p>
        </w:tc>
        <w:tc>
          <w:tcPr>
            <w:tcW w:w="938"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872</w:t>
            </w:r>
          </w:p>
        </w:tc>
        <w:tc>
          <w:tcPr>
            <w:tcW w:w="1748"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9.0%</w:t>
            </w:r>
          </w:p>
        </w:tc>
        <w:tc>
          <w:tcPr>
            <w:tcW w:w="85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88.5%</w:t>
            </w:r>
          </w:p>
        </w:tc>
        <w:tc>
          <w:tcPr>
            <w:tcW w:w="1276"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885</w:t>
            </w:r>
          </w:p>
        </w:tc>
        <w:tc>
          <w:tcPr>
            <w:tcW w:w="1701"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9.5%</w:t>
            </w:r>
          </w:p>
        </w:tc>
      </w:tr>
      <w:tr w:rsidR="004666CA" w:rsidRPr="007D30B1" w:rsidTr="004F197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Grade 10</w:t>
            </w:r>
          </w:p>
        </w:tc>
        <w:tc>
          <w:tcPr>
            <w:tcW w:w="1225"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79.4%</w:t>
            </w:r>
          </w:p>
        </w:tc>
        <w:tc>
          <w:tcPr>
            <w:tcW w:w="938"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794</w:t>
            </w:r>
          </w:p>
        </w:tc>
        <w:tc>
          <w:tcPr>
            <w:tcW w:w="1748"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17.1%</w:t>
            </w:r>
          </w:p>
        </w:tc>
        <w:tc>
          <w:tcPr>
            <w:tcW w:w="85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800</w:t>
            </w:r>
          </w:p>
        </w:tc>
        <w:tc>
          <w:tcPr>
            <w:tcW w:w="1701"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15.5%</w:t>
            </w:r>
          </w:p>
        </w:tc>
      </w:tr>
      <w:tr w:rsidR="004666CA" w:rsidRPr="007D30B1" w:rsidTr="004F197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Grade 11</w:t>
            </w:r>
          </w:p>
        </w:tc>
        <w:tc>
          <w:tcPr>
            <w:tcW w:w="1225"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65.8%</w:t>
            </w:r>
          </w:p>
        </w:tc>
        <w:tc>
          <w:tcPr>
            <w:tcW w:w="938"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658</w:t>
            </w:r>
          </w:p>
        </w:tc>
        <w:tc>
          <w:tcPr>
            <w:tcW w:w="1748"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26.0%</w:t>
            </w:r>
          </w:p>
        </w:tc>
        <w:tc>
          <w:tcPr>
            <w:tcW w:w="85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67.6%</w:t>
            </w:r>
          </w:p>
        </w:tc>
        <w:tc>
          <w:tcPr>
            <w:tcW w:w="1276"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676</w:t>
            </w:r>
          </w:p>
        </w:tc>
        <w:tc>
          <w:tcPr>
            <w:tcW w:w="1701"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23.8%</w:t>
            </w:r>
          </w:p>
        </w:tc>
      </w:tr>
      <w:tr w:rsidR="004666CA" w:rsidRPr="007D30B1" w:rsidTr="004F197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Grade 12</w:t>
            </w:r>
          </w:p>
        </w:tc>
        <w:tc>
          <w:tcPr>
            <w:tcW w:w="1225"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48.6%</w:t>
            </w:r>
          </w:p>
        </w:tc>
        <w:tc>
          <w:tcPr>
            <w:tcW w:w="938"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486</w:t>
            </w:r>
          </w:p>
        </w:tc>
        <w:tc>
          <w:tcPr>
            <w:tcW w:w="1748"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p>
        </w:tc>
        <w:tc>
          <w:tcPr>
            <w:tcW w:w="85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51.5%</w:t>
            </w:r>
          </w:p>
        </w:tc>
        <w:tc>
          <w:tcPr>
            <w:tcW w:w="1276"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r w:rsidRPr="007D30B1">
              <w:rPr>
                <w:rFonts w:ascii="Times New Roman" w:eastAsia="Times New Roman" w:hAnsi="Times New Roman" w:cs="Times New Roman"/>
                <w:color w:val="000000"/>
                <w:sz w:val="20"/>
                <w:lang w:eastAsia="en-ZA"/>
              </w:rPr>
              <w:t>515</w:t>
            </w:r>
          </w:p>
        </w:tc>
        <w:tc>
          <w:tcPr>
            <w:tcW w:w="1701" w:type="dxa"/>
            <w:tcBorders>
              <w:top w:val="nil"/>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jc w:val="center"/>
              <w:rPr>
                <w:rFonts w:ascii="Times New Roman" w:eastAsia="Times New Roman" w:hAnsi="Times New Roman" w:cs="Times New Roman"/>
                <w:color w:val="000000"/>
                <w:sz w:val="20"/>
                <w:lang w:eastAsia="en-ZA"/>
              </w:rPr>
            </w:pPr>
          </w:p>
        </w:tc>
      </w:tr>
    </w:tbl>
    <w:p w:rsidR="004666CA" w:rsidRDefault="004666CA" w:rsidP="004666CA">
      <w:pPr>
        <w:spacing w:after="0"/>
        <w:contextualSpacing/>
        <w:rPr>
          <w:rFonts w:ascii="Times New Roman" w:hAnsi="Times New Roman" w:cs="Times New Roman"/>
          <w:sz w:val="18"/>
        </w:rPr>
      </w:pPr>
      <w:r w:rsidRPr="007D30B1">
        <w:rPr>
          <w:rFonts w:ascii="Times New Roman" w:hAnsi="Times New Roman" w:cs="Times New Roman"/>
          <w:b/>
          <w:sz w:val="18"/>
        </w:rPr>
        <w:t>Data Source:</w:t>
      </w:r>
      <w:r w:rsidRPr="007D30B1">
        <w:rPr>
          <w:rFonts w:ascii="Times New Roman" w:hAnsi="Times New Roman" w:cs="Times New Roman"/>
          <w:sz w:val="18"/>
        </w:rPr>
        <w:t xml:space="preserve"> General House</w:t>
      </w:r>
      <w:r w:rsidR="007D30B1">
        <w:rPr>
          <w:rFonts w:ascii="Times New Roman" w:hAnsi="Times New Roman" w:cs="Times New Roman"/>
          <w:sz w:val="18"/>
        </w:rPr>
        <w:t>hold Survey, DBE own calculation</w:t>
      </w:r>
    </w:p>
    <w:p w:rsidR="007D30B1" w:rsidRDefault="007D30B1" w:rsidP="004666CA">
      <w:pPr>
        <w:spacing w:after="0"/>
        <w:contextualSpacing/>
        <w:rPr>
          <w:rFonts w:ascii="Times New Roman" w:hAnsi="Times New Roman" w:cs="Times New Roman"/>
          <w:sz w:val="18"/>
        </w:rPr>
      </w:pPr>
    </w:p>
    <w:p w:rsidR="002A0C26" w:rsidRDefault="002A0C26" w:rsidP="004666CA">
      <w:pPr>
        <w:spacing w:after="0"/>
        <w:contextualSpacing/>
        <w:rPr>
          <w:rFonts w:ascii="Times New Roman" w:hAnsi="Times New Roman" w:cs="Times New Roman"/>
          <w:sz w:val="18"/>
        </w:rPr>
      </w:pPr>
    </w:p>
    <w:p w:rsidR="002A0C26" w:rsidRDefault="002A0C26" w:rsidP="004666CA">
      <w:pPr>
        <w:spacing w:after="0"/>
        <w:contextualSpacing/>
        <w:rPr>
          <w:rFonts w:ascii="Times New Roman" w:hAnsi="Times New Roman" w:cs="Times New Roman"/>
          <w:sz w:val="18"/>
        </w:rPr>
      </w:pPr>
    </w:p>
    <w:p w:rsidR="002A0C26" w:rsidRDefault="002A0C26" w:rsidP="004666CA">
      <w:pPr>
        <w:spacing w:after="0"/>
        <w:contextualSpacing/>
        <w:rPr>
          <w:rFonts w:ascii="Times New Roman" w:hAnsi="Times New Roman" w:cs="Times New Roman"/>
          <w:sz w:val="18"/>
        </w:rPr>
      </w:pPr>
    </w:p>
    <w:p w:rsidR="002A0C26" w:rsidRDefault="002A0C26" w:rsidP="004666CA">
      <w:pPr>
        <w:spacing w:after="0"/>
        <w:contextualSpacing/>
        <w:rPr>
          <w:rFonts w:ascii="Times New Roman" w:hAnsi="Times New Roman" w:cs="Times New Roman"/>
          <w:sz w:val="18"/>
        </w:rPr>
      </w:pPr>
    </w:p>
    <w:p w:rsidR="002A0C26" w:rsidRDefault="002A0C26" w:rsidP="004666CA">
      <w:pPr>
        <w:spacing w:after="0"/>
        <w:contextualSpacing/>
        <w:rPr>
          <w:rFonts w:ascii="Times New Roman" w:hAnsi="Times New Roman" w:cs="Times New Roman"/>
          <w:sz w:val="18"/>
        </w:rPr>
      </w:pPr>
    </w:p>
    <w:p w:rsidR="002A0C26" w:rsidRDefault="002A0C26" w:rsidP="004666CA">
      <w:pPr>
        <w:spacing w:after="0"/>
        <w:contextualSpacing/>
        <w:rPr>
          <w:rFonts w:ascii="Times New Roman" w:hAnsi="Times New Roman" w:cs="Times New Roman"/>
          <w:sz w:val="18"/>
        </w:rPr>
      </w:pPr>
    </w:p>
    <w:p w:rsidR="002A0C26" w:rsidRDefault="002A0C26" w:rsidP="004666CA">
      <w:pPr>
        <w:spacing w:after="0"/>
        <w:contextualSpacing/>
        <w:rPr>
          <w:rFonts w:ascii="Times New Roman" w:hAnsi="Times New Roman" w:cs="Times New Roman"/>
          <w:sz w:val="18"/>
        </w:rPr>
      </w:pPr>
    </w:p>
    <w:p w:rsidR="002A0C26" w:rsidRDefault="002A0C26" w:rsidP="004666CA">
      <w:pPr>
        <w:spacing w:after="0"/>
        <w:contextualSpacing/>
        <w:rPr>
          <w:rFonts w:ascii="Times New Roman" w:hAnsi="Times New Roman" w:cs="Times New Roman"/>
          <w:sz w:val="18"/>
        </w:rPr>
      </w:pPr>
    </w:p>
    <w:p w:rsidR="002A0C26" w:rsidRDefault="002A0C26" w:rsidP="004666CA">
      <w:pPr>
        <w:spacing w:after="0"/>
        <w:contextualSpacing/>
        <w:rPr>
          <w:rFonts w:ascii="Times New Roman" w:hAnsi="Times New Roman" w:cs="Times New Roman"/>
          <w:sz w:val="18"/>
        </w:rPr>
      </w:pPr>
    </w:p>
    <w:p w:rsidR="002A0C26" w:rsidRDefault="002A0C26" w:rsidP="004666CA">
      <w:pPr>
        <w:spacing w:after="0"/>
        <w:contextualSpacing/>
        <w:rPr>
          <w:rFonts w:ascii="Times New Roman" w:hAnsi="Times New Roman" w:cs="Times New Roman"/>
          <w:sz w:val="18"/>
        </w:rPr>
      </w:pPr>
    </w:p>
    <w:p w:rsidR="002A0C26" w:rsidRDefault="002A0C26" w:rsidP="004666CA">
      <w:pPr>
        <w:spacing w:after="0"/>
        <w:contextualSpacing/>
        <w:rPr>
          <w:rFonts w:ascii="Times New Roman" w:hAnsi="Times New Roman" w:cs="Times New Roman"/>
          <w:sz w:val="18"/>
        </w:rPr>
      </w:pPr>
    </w:p>
    <w:p w:rsidR="002A0C26" w:rsidRDefault="002A0C26" w:rsidP="004666CA">
      <w:pPr>
        <w:spacing w:after="0"/>
        <w:contextualSpacing/>
        <w:rPr>
          <w:rFonts w:ascii="Times New Roman" w:hAnsi="Times New Roman" w:cs="Times New Roman"/>
          <w:sz w:val="18"/>
        </w:rPr>
      </w:pPr>
    </w:p>
    <w:p w:rsidR="002A0C26" w:rsidRDefault="002A0C26" w:rsidP="004666CA">
      <w:pPr>
        <w:spacing w:after="0"/>
        <w:contextualSpacing/>
        <w:rPr>
          <w:rFonts w:ascii="Times New Roman" w:hAnsi="Times New Roman" w:cs="Times New Roman"/>
          <w:sz w:val="18"/>
        </w:rPr>
      </w:pPr>
    </w:p>
    <w:p w:rsidR="002A0C26" w:rsidRDefault="002A0C26" w:rsidP="004666CA">
      <w:pPr>
        <w:spacing w:after="0"/>
        <w:contextualSpacing/>
        <w:rPr>
          <w:rFonts w:ascii="Times New Roman" w:hAnsi="Times New Roman" w:cs="Times New Roman"/>
          <w:sz w:val="18"/>
        </w:rPr>
      </w:pPr>
    </w:p>
    <w:p w:rsidR="002A0C26" w:rsidRDefault="002A0C26" w:rsidP="004666CA">
      <w:pPr>
        <w:spacing w:after="0"/>
        <w:contextualSpacing/>
        <w:rPr>
          <w:rFonts w:ascii="Times New Roman" w:hAnsi="Times New Roman" w:cs="Times New Roman"/>
          <w:sz w:val="18"/>
        </w:rPr>
      </w:pPr>
    </w:p>
    <w:p w:rsidR="002A0C26" w:rsidRDefault="002A0C26" w:rsidP="004666CA">
      <w:pPr>
        <w:spacing w:after="0"/>
        <w:contextualSpacing/>
        <w:rPr>
          <w:rFonts w:ascii="Times New Roman" w:hAnsi="Times New Roman" w:cs="Times New Roman"/>
          <w:sz w:val="18"/>
        </w:rPr>
      </w:pPr>
    </w:p>
    <w:p w:rsidR="002A0C26" w:rsidRDefault="002A0C26" w:rsidP="004666CA">
      <w:pPr>
        <w:pStyle w:val="Caption"/>
        <w:keepNext/>
        <w:spacing w:after="0"/>
        <w:contextualSpacing/>
        <w:rPr>
          <w:rFonts w:ascii="Times New Roman" w:eastAsia="Calibri" w:hAnsi="Times New Roman" w:cs="Times New Roman"/>
          <w:b/>
          <w:i w:val="0"/>
          <w:iCs w:val="0"/>
          <w:color w:val="auto"/>
          <w:sz w:val="24"/>
          <w:szCs w:val="24"/>
          <w:lang w:val="en-US"/>
        </w:rPr>
        <w:sectPr w:rsidR="002A0C26" w:rsidSect="002A0C26">
          <w:pgSz w:w="11906" w:h="16838"/>
          <w:pgMar w:top="1440" w:right="1440" w:bottom="1440" w:left="1440" w:header="708" w:footer="708" w:gutter="0"/>
          <w:cols w:space="708"/>
          <w:docGrid w:linePitch="360"/>
        </w:sectPr>
      </w:pPr>
    </w:p>
    <w:p w:rsidR="004666CA" w:rsidRPr="002B6AF1" w:rsidRDefault="007D30B1" w:rsidP="004666CA">
      <w:pPr>
        <w:pStyle w:val="Caption"/>
        <w:keepNext/>
        <w:spacing w:after="0"/>
        <w:contextualSpacing/>
        <w:rPr>
          <w:b/>
          <w:i w:val="0"/>
          <w:sz w:val="24"/>
        </w:rPr>
      </w:pPr>
      <w:r>
        <w:rPr>
          <w:rFonts w:ascii="Times New Roman" w:eastAsia="Calibri" w:hAnsi="Times New Roman" w:cs="Times New Roman"/>
          <w:b/>
          <w:i w:val="0"/>
          <w:iCs w:val="0"/>
          <w:color w:val="auto"/>
          <w:sz w:val="24"/>
          <w:szCs w:val="24"/>
          <w:lang w:val="en-US"/>
        </w:rPr>
        <w:lastRenderedPageBreak/>
        <w:t>D</w:t>
      </w:r>
      <w:r w:rsidR="004666CA" w:rsidRPr="00441A44">
        <w:rPr>
          <w:rFonts w:ascii="Times New Roman" w:eastAsia="Calibri" w:hAnsi="Times New Roman" w:cs="Times New Roman"/>
          <w:b/>
          <w:i w:val="0"/>
          <w:iCs w:val="0"/>
          <w:color w:val="auto"/>
          <w:sz w:val="24"/>
          <w:szCs w:val="24"/>
          <w:lang w:val="en-US"/>
        </w:rPr>
        <w:t>rop-out rates, associated with each grade</w:t>
      </w:r>
      <w:r w:rsidR="004666CA">
        <w:rPr>
          <w:rFonts w:ascii="Times New Roman" w:eastAsia="Calibri" w:hAnsi="Times New Roman" w:cs="Times New Roman"/>
          <w:b/>
          <w:i w:val="0"/>
          <w:iCs w:val="0"/>
          <w:color w:val="auto"/>
          <w:sz w:val="24"/>
          <w:szCs w:val="24"/>
          <w:lang w:val="en-US"/>
        </w:rPr>
        <w:t xml:space="preserve"> by province 2014-2016</w:t>
      </w:r>
    </w:p>
    <w:tbl>
      <w:tblPr>
        <w:tblW w:w="14401" w:type="dxa"/>
        <w:tblCellMar>
          <w:left w:w="57" w:type="dxa"/>
          <w:right w:w="57" w:type="dxa"/>
        </w:tblCellMar>
        <w:tblLook w:val="04A0" w:firstRow="1" w:lastRow="0" w:firstColumn="1" w:lastColumn="0" w:noHBand="0" w:noVBand="1"/>
      </w:tblPr>
      <w:tblGrid>
        <w:gridCol w:w="1638"/>
        <w:gridCol w:w="1081"/>
        <w:gridCol w:w="1062"/>
        <w:gridCol w:w="1062"/>
        <w:gridCol w:w="1062"/>
        <w:gridCol w:w="1062"/>
        <w:gridCol w:w="1062"/>
        <w:gridCol w:w="1062"/>
        <w:gridCol w:w="1062"/>
        <w:gridCol w:w="1062"/>
        <w:gridCol w:w="1062"/>
        <w:gridCol w:w="1062"/>
        <w:gridCol w:w="1062"/>
      </w:tblGrid>
      <w:tr w:rsidR="004666CA" w:rsidRPr="007D30B1" w:rsidTr="007D30B1">
        <w:trPr>
          <w:trHeight w:val="199"/>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No schooling</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 1</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 2</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 3</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 4</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 5</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 6</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 7</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 8</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 9</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 10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 11</w:t>
            </w:r>
          </w:p>
        </w:tc>
      </w:tr>
      <w:tr w:rsidR="004666CA" w:rsidRPr="007D30B1" w:rsidTr="007D30B1">
        <w:trPr>
          <w:trHeight w:val="19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Western Cape</w:t>
            </w:r>
          </w:p>
        </w:tc>
        <w:tc>
          <w:tcPr>
            <w:tcW w:w="108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1.0%</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0.1%</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0.2%</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0.4%</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0.3%</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0.3%</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0.8%</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3.1%</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4.7%</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9.9%</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16.9%</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22.3%</w:t>
            </w:r>
          </w:p>
        </w:tc>
      </w:tr>
      <w:tr w:rsidR="004666CA" w:rsidRPr="007D30B1" w:rsidTr="007D30B1">
        <w:trPr>
          <w:trHeight w:val="19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Eastern Cape</w:t>
            </w:r>
          </w:p>
        </w:tc>
        <w:tc>
          <w:tcPr>
            <w:tcW w:w="108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0.9%</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0.2%</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0.4%</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1.3%</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1.1%</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1.9%</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3.0%</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5.0%</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6.9%</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13.7%</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23.8%</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35.0%</w:t>
            </w:r>
          </w:p>
        </w:tc>
      </w:tr>
      <w:tr w:rsidR="004666CA" w:rsidRPr="007D30B1" w:rsidTr="007D30B1">
        <w:trPr>
          <w:trHeight w:val="19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Northern Cape</w:t>
            </w:r>
          </w:p>
        </w:tc>
        <w:tc>
          <w:tcPr>
            <w:tcW w:w="108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1.8%</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0.4%</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0.0%</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0.4%</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0.5%</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1.1%</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2.3%</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4.0%</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8.8%</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14.0%</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19.3%</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23.0%</w:t>
            </w:r>
          </w:p>
        </w:tc>
      </w:tr>
      <w:tr w:rsidR="004666CA" w:rsidRPr="007D30B1" w:rsidTr="007D30B1">
        <w:trPr>
          <w:trHeight w:val="19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Free State</w:t>
            </w:r>
          </w:p>
        </w:tc>
        <w:tc>
          <w:tcPr>
            <w:tcW w:w="108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0.9%</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0.1%</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0.1%</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0.1%</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0.4%</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0.8%</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1.8%</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3.4%</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5.2%</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12.5%</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17.1%</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21.5%</w:t>
            </w:r>
          </w:p>
        </w:tc>
      </w:tr>
      <w:tr w:rsidR="004666CA" w:rsidRPr="007D30B1" w:rsidTr="007D30B1">
        <w:trPr>
          <w:trHeight w:val="19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40698">
            <w:pPr>
              <w:spacing w:after="0" w:line="240" w:lineRule="auto"/>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Kwa</w:t>
            </w:r>
            <w:r w:rsidR="00440698">
              <w:rPr>
                <w:rFonts w:ascii="Times New Roman" w:eastAsia="Times New Roman" w:hAnsi="Times New Roman" w:cs="Times New Roman"/>
                <w:color w:val="000000"/>
                <w:lang w:eastAsia="en-ZA"/>
              </w:rPr>
              <w:t>Z</w:t>
            </w:r>
            <w:r w:rsidRPr="007D30B1">
              <w:rPr>
                <w:rFonts w:ascii="Times New Roman" w:eastAsia="Times New Roman" w:hAnsi="Times New Roman" w:cs="Times New Roman"/>
                <w:color w:val="000000"/>
                <w:lang w:eastAsia="en-ZA"/>
              </w:rPr>
              <w:t>ulu-Natal</w:t>
            </w:r>
          </w:p>
        </w:tc>
        <w:tc>
          <w:tcPr>
            <w:tcW w:w="108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0.7%</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0.3%</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0.4%</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0.5%</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0.6%</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0.8%</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0.8%</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2.5%</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4.1%</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7.8%</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13.3%</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25.3%</w:t>
            </w:r>
          </w:p>
        </w:tc>
      </w:tr>
      <w:tr w:rsidR="004666CA" w:rsidRPr="007D30B1" w:rsidTr="007D30B1">
        <w:trPr>
          <w:trHeight w:val="19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North West</w:t>
            </w:r>
          </w:p>
        </w:tc>
        <w:tc>
          <w:tcPr>
            <w:tcW w:w="108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1.4%</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0.2%</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0.5%</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0.3%</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0.7%</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0.9%</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2.1%</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2.5%</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6.3%</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14.5%</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20.2%</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22.6%</w:t>
            </w:r>
          </w:p>
        </w:tc>
      </w:tr>
      <w:tr w:rsidR="004666CA" w:rsidRPr="007D30B1" w:rsidTr="007D30B1">
        <w:trPr>
          <w:trHeight w:val="19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Gauteng</w:t>
            </w:r>
          </w:p>
        </w:tc>
        <w:tc>
          <w:tcPr>
            <w:tcW w:w="108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0.4%</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0.0%</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0.2%</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0.2%</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0.3%</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0.2%</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0.8%</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2.0%</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2.6%</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5.0%</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10.4%</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17.6%</w:t>
            </w:r>
          </w:p>
        </w:tc>
      </w:tr>
      <w:tr w:rsidR="004666CA" w:rsidRPr="007D30B1" w:rsidTr="007D30B1">
        <w:trPr>
          <w:trHeight w:val="19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Mpumalanga</w:t>
            </w:r>
          </w:p>
        </w:tc>
        <w:tc>
          <w:tcPr>
            <w:tcW w:w="108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0.5%</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0.0%</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0.0%</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0.3%</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0.5%</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1.5%</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1.6%</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3.7%</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2.9%</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8.1%</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16.6%</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28.7%</w:t>
            </w:r>
          </w:p>
        </w:tc>
      </w:tr>
      <w:tr w:rsidR="004666CA" w:rsidRPr="007D30B1" w:rsidTr="007D30B1">
        <w:trPr>
          <w:trHeight w:val="19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Limpopo</w:t>
            </w:r>
          </w:p>
        </w:tc>
        <w:tc>
          <w:tcPr>
            <w:tcW w:w="1081"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0.6%</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0.1%</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0.2%</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0.7%</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0.6%</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0.8%</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2.5%</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4.3%</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7.3%</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15.6%</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19.3%</w:t>
            </w:r>
          </w:p>
        </w:tc>
        <w:tc>
          <w:tcPr>
            <w:tcW w:w="1062"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28.4%</w:t>
            </w:r>
          </w:p>
        </w:tc>
      </w:tr>
    </w:tbl>
    <w:p w:rsidR="004666CA" w:rsidRPr="007D30B1" w:rsidRDefault="004666CA" w:rsidP="004666CA">
      <w:pPr>
        <w:spacing w:after="0"/>
        <w:contextualSpacing/>
        <w:rPr>
          <w:rFonts w:ascii="Times New Roman" w:hAnsi="Times New Roman" w:cs="Times New Roman"/>
          <w:sz w:val="18"/>
        </w:rPr>
      </w:pPr>
      <w:r w:rsidRPr="007D30B1">
        <w:rPr>
          <w:rFonts w:ascii="Times New Roman" w:hAnsi="Times New Roman" w:cs="Times New Roman"/>
          <w:b/>
          <w:sz w:val="18"/>
        </w:rPr>
        <w:t>Data Source:</w:t>
      </w:r>
      <w:r w:rsidRPr="007D30B1">
        <w:rPr>
          <w:rFonts w:ascii="Times New Roman" w:hAnsi="Times New Roman" w:cs="Times New Roman"/>
          <w:sz w:val="18"/>
        </w:rPr>
        <w:t xml:space="preserve"> General Household Survey, DBE own calculation</w:t>
      </w:r>
    </w:p>
    <w:p w:rsidR="004666CA" w:rsidRPr="007D30B1" w:rsidRDefault="004666CA" w:rsidP="004666CA">
      <w:pPr>
        <w:spacing w:after="0"/>
        <w:contextualSpacing/>
        <w:rPr>
          <w:rFonts w:ascii="Times New Roman" w:hAnsi="Times New Roman" w:cs="Times New Roman"/>
          <w:sz w:val="18"/>
        </w:rPr>
      </w:pPr>
      <w:r w:rsidRPr="007D30B1">
        <w:rPr>
          <w:rFonts w:ascii="Times New Roman" w:hAnsi="Times New Roman" w:cs="Times New Roman"/>
          <w:b/>
          <w:sz w:val="18"/>
        </w:rPr>
        <w:t>Note:</w:t>
      </w:r>
      <w:r w:rsidRPr="007D30B1">
        <w:rPr>
          <w:rFonts w:ascii="Times New Roman" w:hAnsi="Times New Roman" w:cs="Times New Roman"/>
          <w:sz w:val="18"/>
        </w:rPr>
        <w:t xml:space="preserve"> data for 2014-2016 pooled together to overcome small sample errors</w:t>
      </w:r>
    </w:p>
    <w:p w:rsidR="004666CA" w:rsidRDefault="004666CA" w:rsidP="004666CA">
      <w:pPr>
        <w:spacing w:after="0"/>
        <w:contextualSpacing/>
        <w:rPr>
          <w:sz w:val="18"/>
        </w:rPr>
      </w:pPr>
    </w:p>
    <w:p w:rsidR="004666CA" w:rsidRPr="007D30B1" w:rsidRDefault="005D6763" w:rsidP="004666CA">
      <w:pPr>
        <w:spacing w:after="0"/>
        <w:contextualSpacing/>
        <w:rPr>
          <w:rFonts w:ascii="Times New Roman" w:hAnsi="Times New Roman" w:cs="Times New Roman"/>
          <w:sz w:val="18"/>
        </w:rPr>
      </w:pPr>
      <w:r w:rsidRPr="007D30B1">
        <w:rPr>
          <w:rFonts w:ascii="Times New Roman" w:hAnsi="Times New Roman" w:cs="Times New Roman"/>
          <w:b/>
          <w:sz w:val="24"/>
        </w:rPr>
        <w:t>Interpretation</w:t>
      </w:r>
      <w:r w:rsidR="004666CA" w:rsidRPr="007D30B1">
        <w:rPr>
          <w:rFonts w:ascii="Times New Roman" w:hAnsi="Times New Roman" w:cs="Times New Roman"/>
          <w:sz w:val="18"/>
        </w:rPr>
        <w:t xml:space="preserve">: </w:t>
      </w:r>
      <w:r w:rsidR="004666CA" w:rsidRPr="007D30B1">
        <w:rPr>
          <w:rFonts w:ascii="Times New Roman" w:eastAsia="Calibri" w:hAnsi="Times New Roman" w:cs="Times New Roman"/>
          <w:sz w:val="24"/>
          <w:szCs w:val="24"/>
          <w:lang w:val="en-US"/>
        </w:rPr>
        <w:t>This means that 28.4% of 22-26 year-olds in Limpopo who completed Grade 11 dropped-out before attaining Grade 12.</w:t>
      </w:r>
    </w:p>
    <w:p w:rsidR="004666CA" w:rsidRDefault="004666CA" w:rsidP="004666CA">
      <w:pPr>
        <w:spacing w:after="0"/>
        <w:contextualSpacing/>
        <w:rPr>
          <w:sz w:val="18"/>
        </w:rPr>
      </w:pPr>
    </w:p>
    <w:p w:rsidR="004666CA" w:rsidRPr="007D5C80" w:rsidRDefault="004666CA" w:rsidP="004666CA">
      <w:pPr>
        <w:pStyle w:val="Caption"/>
        <w:keepNext/>
        <w:spacing w:after="0"/>
        <w:contextualSpacing/>
        <w:rPr>
          <w:b/>
          <w:i w:val="0"/>
          <w:sz w:val="24"/>
        </w:rPr>
      </w:pPr>
      <w:r w:rsidRPr="00441A44">
        <w:rPr>
          <w:rFonts w:ascii="Times New Roman" w:eastAsia="Calibri" w:hAnsi="Times New Roman" w:cs="Times New Roman"/>
          <w:b/>
          <w:i w:val="0"/>
          <w:iCs w:val="0"/>
          <w:color w:val="auto"/>
          <w:sz w:val="24"/>
          <w:szCs w:val="24"/>
          <w:lang w:val="en-US"/>
        </w:rPr>
        <w:t>Drop-out rates, associated with each grade</w:t>
      </w:r>
      <w:r>
        <w:rPr>
          <w:rFonts w:ascii="Times New Roman" w:eastAsia="Calibri" w:hAnsi="Times New Roman" w:cs="Times New Roman"/>
          <w:b/>
          <w:i w:val="0"/>
          <w:iCs w:val="0"/>
          <w:color w:val="auto"/>
          <w:sz w:val="24"/>
          <w:szCs w:val="24"/>
          <w:lang w:val="en-US"/>
        </w:rPr>
        <w:t xml:space="preserve"> by province 2011-2013</w:t>
      </w:r>
    </w:p>
    <w:tbl>
      <w:tblPr>
        <w:tblW w:w="14408" w:type="dxa"/>
        <w:tblCellMar>
          <w:left w:w="57" w:type="dxa"/>
          <w:right w:w="57" w:type="dxa"/>
        </w:tblCellMar>
        <w:tblLook w:val="04A0" w:firstRow="1" w:lastRow="0" w:firstColumn="1" w:lastColumn="0" w:noHBand="0" w:noVBand="1"/>
      </w:tblPr>
      <w:tblGrid>
        <w:gridCol w:w="1640"/>
        <w:gridCol w:w="1064"/>
        <w:gridCol w:w="1064"/>
        <w:gridCol w:w="1064"/>
        <w:gridCol w:w="1064"/>
        <w:gridCol w:w="1064"/>
        <w:gridCol w:w="1064"/>
        <w:gridCol w:w="1064"/>
        <w:gridCol w:w="1064"/>
        <w:gridCol w:w="1064"/>
        <w:gridCol w:w="1064"/>
        <w:gridCol w:w="1064"/>
        <w:gridCol w:w="1064"/>
      </w:tblGrid>
      <w:tr w:rsidR="004666CA" w:rsidRPr="007D30B1" w:rsidTr="007D30B1">
        <w:trPr>
          <w:trHeight w:val="232"/>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No schooling</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 1</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 2</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 3</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 4</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 5</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 6</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 7</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 8</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 9</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 10</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contextualSpacing/>
              <w:rPr>
                <w:rFonts w:ascii="Times New Roman" w:eastAsia="Times New Roman" w:hAnsi="Times New Roman" w:cs="Times New Roman"/>
                <w:b/>
                <w:color w:val="000000"/>
                <w:lang w:eastAsia="en-ZA"/>
              </w:rPr>
            </w:pPr>
            <w:r w:rsidRPr="007D30B1">
              <w:rPr>
                <w:rFonts w:ascii="Times New Roman" w:eastAsia="Times New Roman" w:hAnsi="Times New Roman" w:cs="Times New Roman"/>
                <w:b/>
                <w:color w:val="000000"/>
                <w:lang w:eastAsia="en-ZA"/>
              </w:rPr>
              <w:t>Grade 11</w:t>
            </w:r>
          </w:p>
        </w:tc>
      </w:tr>
      <w:tr w:rsidR="004666CA" w:rsidRPr="007D30B1" w:rsidTr="007D30B1">
        <w:trPr>
          <w:trHeight w:val="23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Western Cape</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0.4%</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0.3%</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0.3%</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0.1%</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0.2%</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0.5%</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0.8%</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2.7%</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5.5%</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11.1%</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21.1%</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23.1%</w:t>
            </w:r>
          </w:p>
        </w:tc>
      </w:tr>
      <w:tr w:rsidR="004666CA" w:rsidRPr="007D30B1" w:rsidTr="007D30B1">
        <w:trPr>
          <w:trHeight w:val="23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Eastern Cape</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0.7%</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0.4%</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0.8%</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1.3%</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1.2%</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2.3%</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3.6%</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5.2%</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10.0%</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13.3%</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23.5%</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40.6%</w:t>
            </w:r>
          </w:p>
        </w:tc>
      </w:tr>
      <w:tr w:rsidR="004666CA" w:rsidRPr="007D30B1" w:rsidTr="007D30B1">
        <w:trPr>
          <w:trHeight w:val="23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Northern Cape</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1.5%</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0.1%</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0.1%</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0.6%</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1.9%</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0.8%</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1.4%</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4.6%</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10.3%</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14.1%</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20.7%</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19.4%</w:t>
            </w:r>
          </w:p>
        </w:tc>
      </w:tr>
      <w:tr w:rsidR="004666CA" w:rsidRPr="007D30B1" w:rsidTr="007D30B1">
        <w:trPr>
          <w:trHeight w:val="23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Free State</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0.3%</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0.4%</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0.2%</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0.2%</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1.0%</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0.4%</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1.9%</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2.8%</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4.9%</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12.7%</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19.1%</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20.3%</w:t>
            </w:r>
          </w:p>
        </w:tc>
      </w:tr>
      <w:tr w:rsidR="004666CA" w:rsidRPr="007D30B1" w:rsidTr="007D30B1">
        <w:trPr>
          <w:trHeight w:val="23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40698" w:rsidP="004F1970">
            <w:pPr>
              <w:spacing w:after="0" w:line="240" w:lineRule="auto"/>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t>KwaZ</w:t>
            </w:r>
            <w:r w:rsidR="004666CA" w:rsidRPr="007D30B1">
              <w:rPr>
                <w:rFonts w:ascii="Times New Roman" w:eastAsia="Times New Roman" w:hAnsi="Times New Roman" w:cs="Times New Roman"/>
                <w:color w:val="000000"/>
                <w:lang w:eastAsia="en-ZA"/>
              </w:rPr>
              <w:t>ulu-Natal</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0.5%</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0.6%</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0.6%</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0.7%</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0.8%</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0.9%</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1.1%</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2.4%</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4.0%</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7.5%</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15.2%</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23.2%</w:t>
            </w:r>
          </w:p>
        </w:tc>
      </w:tr>
      <w:tr w:rsidR="004666CA" w:rsidRPr="007D30B1" w:rsidTr="007D30B1">
        <w:trPr>
          <w:trHeight w:val="23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North West</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1.8%</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0.7%</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0.4%</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0.5%</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0.8%</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1.9%</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2.3%</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5.4%</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6.1%</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10.1%</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19.2%</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27.3%</w:t>
            </w:r>
          </w:p>
        </w:tc>
      </w:tr>
      <w:tr w:rsidR="004666CA" w:rsidRPr="007D30B1" w:rsidTr="007D30B1">
        <w:trPr>
          <w:trHeight w:val="23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Gauteng</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0.6%</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0.3%</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0.4%</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0.1%</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0.4%</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0.4%</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0.8%</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1.7%</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2.8%</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4.8%</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12.0%</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22.2%</w:t>
            </w:r>
          </w:p>
        </w:tc>
      </w:tr>
      <w:tr w:rsidR="004666CA" w:rsidRPr="007D30B1" w:rsidTr="007D30B1">
        <w:trPr>
          <w:trHeight w:val="23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Mpumalanga</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1.2%</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0.1%</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0.6%</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0.2%</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0.9%</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1.2%</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1.4%</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2.9%</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6.5%</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8.9%</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16.3%</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29.4%</w:t>
            </w:r>
          </w:p>
        </w:tc>
      </w:tr>
      <w:tr w:rsidR="004666CA" w:rsidRPr="007D30B1" w:rsidTr="007D30B1">
        <w:trPr>
          <w:trHeight w:val="23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Limpopo</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1.1%</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0.5%</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0.4%</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0.4%</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0.4%</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1.3%</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1.3%</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4.3%</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5.2%</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12.6%</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22.5%</w:t>
            </w:r>
          </w:p>
        </w:tc>
        <w:tc>
          <w:tcPr>
            <w:tcW w:w="1064" w:type="dxa"/>
            <w:tcBorders>
              <w:top w:val="nil"/>
              <w:left w:val="nil"/>
              <w:bottom w:val="single" w:sz="4" w:space="0" w:color="auto"/>
              <w:right w:val="single" w:sz="4" w:space="0" w:color="auto"/>
            </w:tcBorders>
            <w:shd w:val="clear" w:color="auto" w:fill="auto"/>
            <w:noWrap/>
            <w:vAlign w:val="bottom"/>
            <w:hideMark/>
          </w:tcPr>
          <w:p w:rsidR="004666CA" w:rsidRPr="007D30B1" w:rsidRDefault="004666CA" w:rsidP="004F1970">
            <w:pPr>
              <w:spacing w:after="0" w:line="240" w:lineRule="auto"/>
              <w:jc w:val="right"/>
              <w:rPr>
                <w:rFonts w:ascii="Times New Roman" w:eastAsia="Times New Roman" w:hAnsi="Times New Roman" w:cs="Times New Roman"/>
                <w:color w:val="000000"/>
                <w:lang w:eastAsia="en-ZA"/>
              </w:rPr>
            </w:pPr>
            <w:r w:rsidRPr="007D30B1">
              <w:rPr>
                <w:rFonts w:ascii="Times New Roman" w:eastAsia="Times New Roman" w:hAnsi="Times New Roman" w:cs="Times New Roman"/>
                <w:color w:val="000000"/>
                <w:lang w:eastAsia="en-ZA"/>
              </w:rPr>
              <w:t>33.4%</w:t>
            </w:r>
          </w:p>
        </w:tc>
      </w:tr>
    </w:tbl>
    <w:p w:rsidR="004666CA" w:rsidRPr="007D30B1" w:rsidRDefault="004666CA" w:rsidP="004666CA">
      <w:pPr>
        <w:spacing w:after="0"/>
        <w:contextualSpacing/>
        <w:rPr>
          <w:rFonts w:ascii="Times New Roman" w:hAnsi="Times New Roman" w:cs="Times New Roman"/>
          <w:sz w:val="18"/>
        </w:rPr>
      </w:pPr>
      <w:r w:rsidRPr="007D30B1">
        <w:rPr>
          <w:rFonts w:ascii="Times New Roman" w:hAnsi="Times New Roman" w:cs="Times New Roman"/>
          <w:b/>
          <w:sz w:val="18"/>
        </w:rPr>
        <w:t>Data Source:</w:t>
      </w:r>
      <w:r w:rsidRPr="007D30B1">
        <w:rPr>
          <w:rFonts w:ascii="Times New Roman" w:hAnsi="Times New Roman" w:cs="Times New Roman"/>
          <w:sz w:val="18"/>
        </w:rPr>
        <w:t xml:space="preserve"> General Household Survey, DBE own calculation</w:t>
      </w:r>
    </w:p>
    <w:p w:rsidR="002A0C26" w:rsidRPr="002A0C26" w:rsidRDefault="004666CA" w:rsidP="002A0C26">
      <w:pPr>
        <w:spacing w:after="0"/>
        <w:contextualSpacing/>
        <w:rPr>
          <w:rFonts w:ascii="Times New Roman" w:hAnsi="Times New Roman" w:cs="Times New Roman"/>
          <w:sz w:val="18"/>
        </w:rPr>
        <w:sectPr w:rsidR="002A0C26" w:rsidRPr="002A0C26" w:rsidSect="002A0C26">
          <w:pgSz w:w="16838" w:h="11906" w:orient="landscape"/>
          <w:pgMar w:top="1440" w:right="1440" w:bottom="1440" w:left="1440" w:header="708" w:footer="708" w:gutter="0"/>
          <w:cols w:space="708"/>
          <w:docGrid w:linePitch="360"/>
        </w:sectPr>
      </w:pPr>
      <w:r w:rsidRPr="007D30B1">
        <w:rPr>
          <w:rFonts w:ascii="Times New Roman" w:hAnsi="Times New Roman" w:cs="Times New Roman"/>
          <w:b/>
          <w:sz w:val="18"/>
        </w:rPr>
        <w:t>Note:</w:t>
      </w:r>
      <w:r w:rsidRPr="007D30B1">
        <w:rPr>
          <w:rFonts w:ascii="Times New Roman" w:hAnsi="Times New Roman" w:cs="Times New Roman"/>
          <w:sz w:val="18"/>
        </w:rPr>
        <w:t xml:space="preserve"> data for 2011-2013 pooled together to overcome small sample errors</w:t>
      </w:r>
    </w:p>
    <w:p w:rsidR="006D7B63" w:rsidRPr="004F1970" w:rsidRDefault="007B3BF1" w:rsidP="004F1970">
      <w:pPr>
        <w:rPr>
          <w:rFonts w:ascii="Times New Roman" w:hAnsi="Times New Roman" w:cs="Times New Roman"/>
          <w:b/>
          <w:sz w:val="24"/>
        </w:rPr>
      </w:pPr>
      <w:r w:rsidRPr="004F1970">
        <w:rPr>
          <w:rFonts w:ascii="Times New Roman" w:hAnsi="Times New Roman" w:cs="Times New Roman"/>
          <w:b/>
          <w:sz w:val="24"/>
        </w:rPr>
        <w:lastRenderedPageBreak/>
        <w:t>Reasons for not attending an educational institution</w:t>
      </w:r>
    </w:p>
    <w:p w:rsidR="007B3BF1" w:rsidRPr="005D6763" w:rsidRDefault="007B3BF1" w:rsidP="007B3BF1">
      <w:pPr>
        <w:jc w:val="both"/>
        <w:rPr>
          <w:rFonts w:ascii="Times New Roman" w:hAnsi="Times New Roman" w:cs="Times New Roman"/>
          <w:sz w:val="24"/>
        </w:rPr>
      </w:pPr>
      <w:r w:rsidRPr="005D6763">
        <w:rPr>
          <w:rFonts w:ascii="Times New Roman" w:hAnsi="Times New Roman" w:cs="Times New Roman"/>
          <w:sz w:val="24"/>
        </w:rPr>
        <w:t xml:space="preserve">For children who are </w:t>
      </w:r>
      <w:r w:rsidRPr="004C40E6">
        <w:rPr>
          <w:rFonts w:ascii="Times New Roman" w:hAnsi="Times New Roman" w:cs="Times New Roman"/>
          <w:i/>
          <w:sz w:val="24"/>
        </w:rPr>
        <w:t>not</w:t>
      </w:r>
      <w:r w:rsidRPr="005D6763">
        <w:rPr>
          <w:rFonts w:ascii="Times New Roman" w:hAnsi="Times New Roman" w:cs="Times New Roman"/>
          <w:sz w:val="24"/>
        </w:rPr>
        <w:t xml:space="preserve"> attending school, the GHS asks: “What is the main reason why [this child] is not attending any educational institution?” Responses to this question must be interpreted in the light of research showing that the main predictor of dropping out is poor quality early education. The self-reported reasons for not attending school may act as a trigger for dropping out, but those same factors may not trigger drop out for children who are progressing well in terms of learning levels, especially if they are in a good quality school. Furthermore, it should be noted that this question was </w:t>
      </w:r>
      <w:r w:rsidRPr="005D6763">
        <w:rPr>
          <w:rFonts w:ascii="Times New Roman" w:hAnsi="Times New Roman" w:cs="Times New Roman"/>
          <w:i/>
          <w:sz w:val="24"/>
        </w:rPr>
        <w:t xml:space="preserve">only asked of learners who stated that they are </w:t>
      </w:r>
      <w:r w:rsidRPr="004C40E6">
        <w:rPr>
          <w:rFonts w:ascii="Times New Roman" w:hAnsi="Times New Roman" w:cs="Times New Roman"/>
          <w:i/>
          <w:sz w:val="24"/>
          <w:u w:val="single"/>
        </w:rPr>
        <w:t>not</w:t>
      </w:r>
      <w:r w:rsidRPr="005D6763">
        <w:rPr>
          <w:rFonts w:ascii="Times New Roman" w:hAnsi="Times New Roman" w:cs="Times New Roman"/>
          <w:i/>
          <w:sz w:val="24"/>
        </w:rPr>
        <w:t xml:space="preserve"> currently attending any educational institution</w:t>
      </w:r>
      <w:r w:rsidRPr="005D6763">
        <w:rPr>
          <w:rFonts w:ascii="Times New Roman" w:hAnsi="Times New Roman" w:cs="Times New Roman"/>
          <w:sz w:val="24"/>
        </w:rPr>
        <w:t>, and the severity of each reason should be interpreted as such.</w:t>
      </w:r>
      <w:r w:rsidR="008C3C27">
        <w:rPr>
          <w:rFonts w:ascii="Times New Roman" w:hAnsi="Times New Roman" w:cs="Times New Roman"/>
          <w:sz w:val="24"/>
        </w:rPr>
        <w:t xml:space="preserve"> The figure below shows the number and percentage of children aged 7 to 15 years old who reported not attending any education institution. In 2016, 1.1% </w:t>
      </w:r>
      <w:r w:rsidR="00B06F13">
        <w:rPr>
          <w:rFonts w:ascii="Times New Roman" w:hAnsi="Times New Roman" w:cs="Times New Roman"/>
          <w:sz w:val="24"/>
        </w:rPr>
        <w:t xml:space="preserve">(roughly 104 000 learners) </w:t>
      </w:r>
      <w:r w:rsidR="008C3C27">
        <w:rPr>
          <w:rFonts w:ascii="Times New Roman" w:hAnsi="Times New Roman" w:cs="Times New Roman"/>
          <w:sz w:val="24"/>
        </w:rPr>
        <w:t xml:space="preserve">of all 7 to 15 year olds were reported to not be attending any education institution. </w:t>
      </w:r>
    </w:p>
    <w:p w:rsidR="007B3BF1" w:rsidRDefault="004C40E6" w:rsidP="007B3BF1">
      <w:pPr>
        <w:jc w:val="both"/>
        <w:rPr>
          <w:rFonts w:ascii="Times New Roman" w:hAnsi="Times New Roman" w:cs="Times New Roman"/>
          <w:sz w:val="24"/>
        </w:rPr>
      </w:pPr>
      <w:r>
        <w:rPr>
          <w:rFonts w:ascii="Times New Roman" w:hAnsi="Times New Roman" w:cs="Times New Roman"/>
          <w:sz w:val="24"/>
        </w:rPr>
        <w:t>The table below</w:t>
      </w:r>
      <w:r w:rsidR="007B3BF1" w:rsidRPr="005D6763">
        <w:rPr>
          <w:rFonts w:ascii="Times New Roman" w:hAnsi="Times New Roman" w:cs="Times New Roman"/>
          <w:sz w:val="24"/>
        </w:rPr>
        <w:t xml:space="preserve"> shows that disability is the main reported reason on why children aged 7 to 15 years old are not attending any educational institution. The 28% statistic should be interpreted as 28% of the children not attending any educational institution (</w:t>
      </w:r>
      <w:r w:rsidR="003A4759">
        <w:rPr>
          <w:rFonts w:ascii="Times New Roman" w:hAnsi="Times New Roman" w:cs="Times New Roman"/>
          <w:sz w:val="24"/>
        </w:rPr>
        <w:t xml:space="preserve">which is </w:t>
      </w:r>
      <w:r w:rsidR="007B3BF1" w:rsidRPr="005D6763">
        <w:rPr>
          <w:rFonts w:ascii="Times New Roman" w:hAnsi="Times New Roman" w:cs="Times New Roman"/>
          <w:sz w:val="24"/>
        </w:rPr>
        <w:t xml:space="preserve">1.1% of all 7 to 15 year olds) responded that disability was the main reason. However, as reported in the 2016 GHS: Focus on Schooling report, around 90% of learners with disabilities are currently attending an educational institution. Encouragingly, no respondents in this age group stated that marriage or lack of transport are reasons for not attending any education institution. </w:t>
      </w:r>
      <w:r>
        <w:rPr>
          <w:rFonts w:ascii="Times New Roman" w:hAnsi="Times New Roman" w:cs="Times New Roman"/>
          <w:sz w:val="24"/>
        </w:rPr>
        <w:t>F</w:t>
      </w:r>
      <w:r w:rsidR="007B3BF1" w:rsidRPr="005D6763">
        <w:rPr>
          <w:rFonts w:ascii="Times New Roman" w:hAnsi="Times New Roman" w:cs="Times New Roman"/>
          <w:sz w:val="24"/>
        </w:rPr>
        <w:t>or the 15% of 16 to 18 year olds not attending educational institutions, the main reason</w:t>
      </w:r>
      <w:r>
        <w:rPr>
          <w:rFonts w:ascii="Times New Roman" w:hAnsi="Times New Roman" w:cs="Times New Roman"/>
          <w:sz w:val="24"/>
        </w:rPr>
        <w:t>s</w:t>
      </w:r>
      <w:r w:rsidR="007B3BF1" w:rsidRPr="005D6763">
        <w:rPr>
          <w:rFonts w:ascii="Times New Roman" w:hAnsi="Times New Roman" w:cs="Times New Roman"/>
          <w:sz w:val="24"/>
        </w:rPr>
        <w:t xml:space="preserve"> w</w:t>
      </w:r>
      <w:r>
        <w:rPr>
          <w:rFonts w:ascii="Times New Roman" w:hAnsi="Times New Roman" w:cs="Times New Roman"/>
          <w:sz w:val="24"/>
        </w:rPr>
        <w:t>ere</w:t>
      </w:r>
      <w:r w:rsidR="007B3BF1" w:rsidRPr="005D6763">
        <w:rPr>
          <w:rFonts w:ascii="Times New Roman" w:hAnsi="Times New Roman" w:cs="Times New Roman"/>
          <w:sz w:val="24"/>
        </w:rPr>
        <w:t xml:space="preserve"> because of a lack of money for fees and that they completed their education or are satisfied with their level of education.</w:t>
      </w:r>
    </w:p>
    <w:p w:rsidR="008C3C27" w:rsidRPr="008C3C27" w:rsidRDefault="008C3C27" w:rsidP="008C3C27">
      <w:pPr>
        <w:pStyle w:val="Caption"/>
        <w:keepNext/>
        <w:jc w:val="both"/>
        <w:rPr>
          <w:rFonts w:ascii="Times New Roman" w:hAnsi="Times New Roman" w:cs="Times New Roman"/>
          <w:b/>
          <w:i w:val="0"/>
          <w:color w:val="auto"/>
          <w:sz w:val="24"/>
        </w:rPr>
      </w:pPr>
      <w:r w:rsidRPr="008C3C27">
        <w:rPr>
          <w:rFonts w:ascii="Times New Roman" w:hAnsi="Times New Roman" w:cs="Times New Roman"/>
          <w:b/>
          <w:i w:val="0"/>
          <w:color w:val="auto"/>
          <w:sz w:val="24"/>
        </w:rPr>
        <w:t>7 to 15 year old children who are out of school, 2002 – 2016</w:t>
      </w:r>
    </w:p>
    <w:p w:rsidR="008C3C27" w:rsidRDefault="008C3C27" w:rsidP="008C3C27">
      <w:pPr>
        <w:keepNext/>
        <w:jc w:val="both"/>
      </w:pPr>
      <w:r>
        <w:rPr>
          <w:noProof/>
          <w:lang w:val="en-US"/>
        </w:rPr>
        <w:drawing>
          <wp:inline distT="0" distB="0" distL="0" distR="0" wp14:anchorId="2911FBBA" wp14:editId="31F2CF89">
            <wp:extent cx="5731510" cy="2278380"/>
            <wp:effectExtent l="0" t="0" r="2540" b="76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0C26" w:rsidRDefault="002A0C26" w:rsidP="004E619A">
      <w:pPr>
        <w:pStyle w:val="Caption"/>
        <w:keepNext/>
        <w:rPr>
          <w:rFonts w:ascii="Times New Roman" w:hAnsi="Times New Roman" w:cs="Times New Roman"/>
          <w:b/>
          <w:i w:val="0"/>
          <w:color w:val="auto"/>
          <w:sz w:val="24"/>
        </w:rPr>
      </w:pPr>
    </w:p>
    <w:p w:rsidR="002A0C26" w:rsidRDefault="002A0C26" w:rsidP="004E619A">
      <w:pPr>
        <w:pStyle w:val="Caption"/>
        <w:keepNext/>
        <w:rPr>
          <w:rFonts w:ascii="Times New Roman" w:hAnsi="Times New Roman" w:cs="Times New Roman"/>
          <w:b/>
          <w:i w:val="0"/>
          <w:color w:val="auto"/>
          <w:sz w:val="24"/>
        </w:rPr>
      </w:pPr>
    </w:p>
    <w:p w:rsidR="002A0C26" w:rsidRDefault="002A0C26" w:rsidP="004E619A">
      <w:pPr>
        <w:pStyle w:val="Caption"/>
        <w:keepNext/>
        <w:rPr>
          <w:rFonts w:ascii="Times New Roman" w:hAnsi="Times New Roman" w:cs="Times New Roman"/>
          <w:b/>
          <w:i w:val="0"/>
          <w:color w:val="auto"/>
          <w:sz w:val="24"/>
        </w:rPr>
        <w:sectPr w:rsidR="002A0C26" w:rsidSect="002A0C26">
          <w:pgSz w:w="11906" w:h="16838"/>
          <w:pgMar w:top="1440" w:right="1440" w:bottom="1440" w:left="1440" w:header="708" w:footer="708" w:gutter="0"/>
          <w:cols w:space="708"/>
          <w:docGrid w:linePitch="360"/>
        </w:sectPr>
      </w:pPr>
    </w:p>
    <w:p w:rsidR="004E619A" w:rsidRPr="004E619A" w:rsidRDefault="004E619A" w:rsidP="004E619A">
      <w:pPr>
        <w:pStyle w:val="Caption"/>
        <w:keepNext/>
        <w:rPr>
          <w:rFonts w:ascii="Times New Roman" w:hAnsi="Times New Roman" w:cs="Times New Roman"/>
          <w:b/>
          <w:i w:val="0"/>
          <w:color w:val="auto"/>
          <w:sz w:val="24"/>
        </w:rPr>
      </w:pPr>
      <w:r w:rsidRPr="004E619A">
        <w:rPr>
          <w:rFonts w:ascii="Times New Roman" w:hAnsi="Times New Roman" w:cs="Times New Roman"/>
          <w:b/>
          <w:i w:val="0"/>
          <w:color w:val="auto"/>
          <w:sz w:val="24"/>
        </w:rPr>
        <w:lastRenderedPageBreak/>
        <w:t>Reasons for non-attendance of educational institutions among, 2016</w:t>
      </w:r>
    </w:p>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2"/>
        <w:gridCol w:w="3746"/>
        <w:gridCol w:w="3544"/>
      </w:tblGrid>
      <w:tr w:rsidR="007B3BF1" w:rsidRPr="007B3BF1" w:rsidTr="00B06F13">
        <w:trPr>
          <w:trHeight w:val="308"/>
        </w:trPr>
        <w:tc>
          <w:tcPr>
            <w:tcW w:w="5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rPr>
                <w:rFonts w:ascii="Times New Roman" w:eastAsia="Times New Roman" w:hAnsi="Times New Roman" w:cs="Times New Roman"/>
                <w:b/>
                <w:color w:val="000000"/>
                <w:lang w:eastAsia="en-ZA"/>
              </w:rPr>
            </w:pPr>
            <w:r w:rsidRPr="007B3BF1">
              <w:rPr>
                <w:rFonts w:ascii="Times New Roman" w:eastAsia="Times New Roman" w:hAnsi="Times New Roman" w:cs="Times New Roman"/>
                <w:b/>
                <w:color w:val="000000"/>
                <w:lang w:eastAsia="en-ZA"/>
              </w:rPr>
              <w:t>Reason</w:t>
            </w:r>
          </w:p>
        </w:tc>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B06F13" w:rsidP="00B06F13">
            <w:pPr>
              <w:spacing w:after="0" w:line="240" w:lineRule="auto"/>
              <w:jc w:val="center"/>
              <w:rPr>
                <w:rFonts w:ascii="Times New Roman" w:eastAsia="Times New Roman" w:hAnsi="Times New Roman" w:cs="Times New Roman"/>
                <w:b/>
                <w:color w:val="000000"/>
                <w:lang w:eastAsia="en-ZA"/>
              </w:rPr>
            </w:pPr>
            <w:r>
              <w:rPr>
                <w:rFonts w:ascii="Times New Roman" w:eastAsia="Times New Roman" w:hAnsi="Times New Roman" w:cs="Times New Roman"/>
                <w:b/>
                <w:color w:val="000000"/>
                <w:lang w:eastAsia="en-ZA"/>
              </w:rPr>
              <w:t>% of the roughly  104,000 learners aged 7 to 15 who are not in school</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B06F13" w:rsidP="00B06F13">
            <w:pPr>
              <w:spacing w:after="0" w:line="240" w:lineRule="auto"/>
              <w:jc w:val="center"/>
              <w:rPr>
                <w:rFonts w:ascii="Times New Roman" w:eastAsia="Times New Roman" w:hAnsi="Times New Roman" w:cs="Times New Roman"/>
                <w:b/>
                <w:color w:val="000000"/>
                <w:lang w:eastAsia="en-ZA"/>
              </w:rPr>
            </w:pPr>
            <w:r>
              <w:rPr>
                <w:rFonts w:ascii="Times New Roman" w:eastAsia="Times New Roman" w:hAnsi="Times New Roman" w:cs="Times New Roman"/>
                <w:b/>
                <w:color w:val="000000"/>
                <w:lang w:eastAsia="en-ZA"/>
              </w:rPr>
              <w:t xml:space="preserve">% of the roughly 466,000 learners aged </w:t>
            </w:r>
            <w:r w:rsidR="007B3BF1" w:rsidRPr="007B3BF1">
              <w:rPr>
                <w:rFonts w:ascii="Times New Roman" w:eastAsia="Times New Roman" w:hAnsi="Times New Roman" w:cs="Times New Roman"/>
                <w:b/>
                <w:color w:val="000000"/>
                <w:lang w:eastAsia="en-ZA"/>
              </w:rPr>
              <w:t xml:space="preserve">16 to 18 </w:t>
            </w:r>
            <w:r>
              <w:rPr>
                <w:rFonts w:ascii="Times New Roman" w:eastAsia="Times New Roman" w:hAnsi="Times New Roman" w:cs="Times New Roman"/>
                <w:b/>
                <w:color w:val="000000"/>
                <w:lang w:eastAsia="en-ZA"/>
              </w:rPr>
              <w:t>who are not in school</w:t>
            </w:r>
          </w:p>
        </w:tc>
      </w:tr>
      <w:tr w:rsidR="007B3BF1" w:rsidRPr="007B3BF1" w:rsidTr="00B06F13">
        <w:trPr>
          <w:trHeight w:val="308"/>
        </w:trPr>
        <w:tc>
          <w:tcPr>
            <w:tcW w:w="5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No money for fees</w:t>
            </w:r>
          </w:p>
        </w:tc>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6.8</w:t>
            </w:r>
            <w:r>
              <w:rPr>
                <w:rFonts w:ascii="Times New Roman" w:eastAsia="Times New Roman" w:hAnsi="Times New Roman" w:cs="Times New Roman"/>
                <w:color w:val="000000"/>
                <w:lang w:eastAsia="en-ZA"/>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21.4</w:t>
            </w:r>
            <w:r>
              <w:rPr>
                <w:rFonts w:ascii="Times New Roman" w:eastAsia="Times New Roman" w:hAnsi="Times New Roman" w:cs="Times New Roman"/>
                <w:color w:val="000000"/>
                <w:lang w:eastAsia="en-ZA"/>
              </w:rPr>
              <w:t>%</w:t>
            </w:r>
          </w:p>
        </w:tc>
      </w:tr>
      <w:tr w:rsidR="007B3BF1" w:rsidRPr="007B3BF1" w:rsidTr="00B06F13">
        <w:trPr>
          <w:trHeight w:val="308"/>
        </w:trPr>
        <w:tc>
          <w:tcPr>
            <w:tcW w:w="5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Other</w:t>
            </w:r>
          </w:p>
        </w:tc>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15.9</w:t>
            </w:r>
            <w:r>
              <w:rPr>
                <w:rFonts w:ascii="Times New Roman" w:eastAsia="Times New Roman" w:hAnsi="Times New Roman" w:cs="Times New Roman"/>
                <w:color w:val="000000"/>
                <w:lang w:eastAsia="en-ZA"/>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14.8</w:t>
            </w:r>
            <w:r>
              <w:rPr>
                <w:rFonts w:ascii="Times New Roman" w:eastAsia="Times New Roman" w:hAnsi="Times New Roman" w:cs="Times New Roman"/>
                <w:color w:val="000000"/>
                <w:lang w:eastAsia="en-ZA"/>
              </w:rPr>
              <w:t>%</w:t>
            </w:r>
          </w:p>
        </w:tc>
      </w:tr>
      <w:tr w:rsidR="007B3BF1" w:rsidRPr="007B3BF1" w:rsidTr="00B06F13">
        <w:trPr>
          <w:trHeight w:val="308"/>
        </w:trPr>
        <w:tc>
          <w:tcPr>
            <w:tcW w:w="5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Has completed education/satisfied with my level of education/do not want to study</w:t>
            </w:r>
          </w:p>
        </w:tc>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5.9</w:t>
            </w:r>
            <w:r>
              <w:rPr>
                <w:rFonts w:ascii="Times New Roman" w:eastAsia="Times New Roman" w:hAnsi="Times New Roman" w:cs="Times New Roman"/>
                <w:color w:val="000000"/>
                <w:lang w:eastAsia="en-ZA"/>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13</w:t>
            </w:r>
            <w:r>
              <w:rPr>
                <w:rFonts w:ascii="Times New Roman" w:eastAsia="Times New Roman" w:hAnsi="Times New Roman" w:cs="Times New Roman"/>
                <w:color w:val="000000"/>
                <w:lang w:eastAsia="en-ZA"/>
              </w:rPr>
              <w:t>%</w:t>
            </w:r>
          </w:p>
        </w:tc>
      </w:tr>
      <w:tr w:rsidR="007B3BF1" w:rsidRPr="007B3BF1" w:rsidTr="00B06F13">
        <w:trPr>
          <w:trHeight w:val="308"/>
        </w:trPr>
        <w:tc>
          <w:tcPr>
            <w:tcW w:w="5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Education is useless or not interesting</w:t>
            </w:r>
          </w:p>
        </w:tc>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6.5</w:t>
            </w:r>
            <w:r>
              <w:rPr>
                <w:rFonts w:ascii="Times New Roman" w:eastAsia="Times New Roman" w:hAnsi="Times New Roman" w:cs="Times New Roman"/>
                <w:color w:val="000000"/>
                <w:lang w:eastAsia="en-ZA"/>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8.3</w:t>
            </w:r>
            <w:r>
              <w:rPr>
                <w:rFonts w:ascii="Times New Roman" w:eastAsia="Times New Roman" w:hAnsi="Times New Roman" w:cs="Times New Roman"/>
                <w:color w:val="000000"/>
                <w:lang w:eastAsia="en-ZA"/>
              </w:rPr>
              <w:t>%</w:t>
            </w:r>
          </w:p>
        </w:tc>
      </w:tr>
      <w:tr w:rsidR="007B3BF1" w:rsidRPr="007B3BF1" w:rsidTr="00B06F13">
        <w:trPr>
          <w:trHeight w:val="308"/>
        </w:trPr>
        <w:tc>
          <w:tcPr>
            <w:tcW w:w="5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Failed exams</w:t>
            </w:r>
          </w:p>
        </w:tc>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2.8</w:t>
            </w:r>
            <w:r>
              <w:rPr>
                <w:rFonts w:ascii="Times New Roman" w:eastAsia="Times New Roman" w:hAnsi="Times New Roman" w:cs="Times New Roman"/>
                <w:color w:val="000000"/>
                <w:lang w:eastAsia="en-ZA"/>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7.7</w:t>
            </w:r>
            <w:r>
              <w:rPr>
                <w:rFonts w:ascii="Times New Roman" w:eastAsia="Times New Roman" w:hAnsi="Times New Roman" w:cs="Times New Roman"/>
                <w:color w:val="000000"/>
                <w:lang w:eastAsia="en-ZA"/>
              </w:rPr>
              <w:t>%</w:t>
            </w:r>
          </w:p>
        </w:tc>
      </w:tr>
      <w:tr w:rsidR="007B3BF1" w:rsidRPr="007B3BF1" w:rsidTr="00B06F13">
        <w:trPr>
          <w:trHeight w:val="308"/>
        </w:trPr>
        <w:tc>
          <w:tcPr>
            <w:tcW w:w="5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Family commitment (e.g. child minding)</w:t>
            </w:r>
          </w:p>
        </w:tc>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2.5</w:t>
            </w:r>
            <w:r>
              <w:rPr>
                <w:rFonts w:ascii="Times New Roman" w:eastAsia="Times New Roman" w:hAnsi="Times New Roman" w:cs="Times New Roman"/>
                <w:color w:val="000000"/>
                <w:lang w:eastAsia="en-ZA"/>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7.4</w:t>
            </w:r>
            <w:r>
              <w:rPr>
                <w:rFonts w:ascii="Times New Roman" w:eastAsia="Times New Roman" w:hAnsi="Times New Roman" w:cs="Times New Roman"/>
                <w:color w:val="000000"/>
                <w:lang w:eastAsia="en-ZA"/>
              </w:rPr>
              <w:t>%</w:t>
            </w:r>
          </w:p>
        </w:tc>
      </w:tr>
      <w:tr w:rsidR="007B3BF1" w:rsidRPr="007B3BF1" w:rsidTr="00B06F13">
        <w:trPr>
          <w:trHeight w:val="308"/>
        </w:trPr>
        <w:tc>
          <w:tcPr>
            <w:tcW w:w="5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He or she is working at home or business/job</w:t>
            </w:r>
          </w:p>
        </w:tc>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1</w:t>
            </w:r>
            <w:r>
              <w:rPr>
                <w:rFonts w:ascii="Times New Roman" w:eastAsia="Times New Roman" w:hAnsi="Times New Roman" w:cs="Times New Roman"/>
                <w:color w:val="000000"/>
                <w:lang w:eastAsia="en-ZA"/>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7.3</w:t>
            </w:r>
            <w:r>
              <w:rPr>
                <w:rFonts w:ascii="Times New Roman" w:eastAsia="Times New Roman" w:hAnsi="Times New Roman" w:cs="Times New Roman"/>
                <w:color w:val="000000"/>
                <w:lang w:eastAsia="en-ZA"/>
              </w:rPr>
              <w:t>%</w:t>
            </w:r>
          </w:p>
        </w:tc>
      </w:tr>
      <w:tr w:rsidR="007B3BF1" w:rsidRPr="007B3BF1" w:rsidTr="00B06F13">
        <w:trPr>
          <w:trHeight w:val="308"/>
        </w:trPr>
        <w:tc>
          <w:tcPr>
            <w:tcW w:w="5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Unable to perform at school</w:t>
            </w:r>
          </w:p>
        </w:tc>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6.3</w:t>
            </w:r>
            <w:r>
              <w:rPr>
                <w:rFonts w:ascii="Times New Roman" w:eastAsia="Times New Roman" w:hAnsi="Times New Roman" w:cs="Times New Roman"/>
                <w:color w:val="000000"/>
                <w:lang w:eastAsia="en-ZA"/>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6.5</w:t>
            </w:r>
            <w:r>
              <w:rPr>
                <w:rFonts w:ascii="Times New Roman" w:eastAsia="Times New Roman" w:hAnsi="Times New Roman" w:cs="Times New Roman"/>
                <w:color w:val="000000"/>
                <w:lang w:eastAsia="en-ZA"/>
              </w:rPr>
              <w:t>%</w:t>
            </w:r>
          </w:p>
        </w:tc>
      </w:tr>
      <w:tr w:rsidR="007B3BF1" w:rsidRPr="007B3BF1" w:rsidTr="00B06F13">
        <w:trPr>
          <w:trHeight w:val="308"/>
        </w:trPr>
        <w:tc>
          <w:tcPr>
            <w:tcW w:w="5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Pregnancy</w:t>
            </w:r>
          </w:p>
        </w:tc>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2.2</w:t>
            </w:r>
            <w:r>
              <w:rPr>
                <w:rFonts w:ascii="Times New Roman" w:eastAsia="Times New Roman" w:hAnsi="Times New Roman" w:cs="Times New Roman"/>
                <w:color w:val="000000"/>
                <w:lang w:eastAsia="en-ZA"/>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3.3</w:t>
            </w:r>
            <w:r>
              <w:rPr>
                <w:rFonts w:ascii="Times New Roman" w:eastAsia="Times New Roman" w:hAnsi="Times New Roman" w:cs="Times New Roman"/>
                <w:color w:val="000000"/>
                <w:lang w:eastAsia="en-ZA"/>
              </w:rPr>
              <w:t>%</w:t>
            </w:r>
          </w:p>
        </w:tc>
      </w:tr>
      <w:tr w:rsidR="007B3BF1" w:rsidRPr="007B3BF1" w:rsidTr="00B06F13">
        <w:trPr>
          <w:trHeight w:val="308"/>
        </w:trPr>
        <w:tc>
          <w:tcPr>
            <w:tcW w:w="5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Not accepted for enrolment</w:t>
            </w:r>
          </w:p>
        </w:tc>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8.6</w:t>
            </w:r>
            <w:r>
              <w:rPr>
                <w:rFonts w:ascii="Times New Roman" w:eastAsia="Times New Roman" w:hAnsi="Times New Roman" w:cs="Times New Roman"/>
                <w:color w:val="000000"/>
                <w:lang w:eastAsia="en-ZA"/>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3</w:t>
            </w:r>
            <w:r>
              <w:rPr>
                <w:rFonts w:ascii="Times New Roman" w:eastAsia="Times New Roman" w:hAnsi="Times New Roman" w:cs="Times New Roman"/>
                <w:color w:val="000000"/>
                <w:lang w:eastAsia="en-ZA"/>
              </w:rPr>
              <w:t>%</w:t>
            </w:r>
          </w:p>
        </w:tc>
      </w:tr>
      <w:tr w:rsidR="007B3BF1" w:rsidRPr="007B3BF1" w:rsidTr="00B06F13">
        <w:trPr>
          <w:trHeight w:val="308"/>
        </w:trPr>
        <w:tc>
          <w:tcPr>
            <w:tcW w:w="5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Disability</w:t>
            </w:r>
          </w:p>
        </w:tc>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28</w:t>
            </w:r>
            <w:r>
              <w:rPr>
                <w:rFonts w:ascii="Times New Roman" w:eastAsia="Times New Roman" w:hAnsi="Times New Roman" w:cs="Times New Roman"/>
                <w:color w:val="000000"/>
                <w:lang w:eastAsia="en-ZA"/>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2.2</w:t>
            </w:r>
            <w:r>
              <w:rPr>
                <w:rFonts w:ascii="Times New Roman" w:eastAsia="Times New Roman" w:hAnsi="Times New Roman" w:cs="Times New Roman"/>
                <w:color w:val="000000"/>
                <w:lang w:eastAsia="en-ZA"/>
              </w:rPr>
              <w:t>%</w:t>
            </w:r>
          </w:p>
        </w:tc>
      </w:tr>
      <w:tr w:rsidR="007B3BF1" w:rsidRPr="007B3BF1" w:rsidTr="00B06F13">
        <w:trPr>
          <w:trHeight w:val="308"/>
        </w:trPr>
        <w:tc>
          <w:tcPr>
            <w:tcW w:w="5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Illness</w:t>
            </w:r>
          </w:p>
        </w:tc>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7.1</w:t>
            </w:r>
            <w:r>
              <w:rPr>
                <w:rFonts w:ascii="Times New Roman" w:eastAsia="Times New Roman" w:hAnsi="Times New Roman" w:cs="Times New Roman"/>
                <w:color w:val="000000"/>
                <w:lang w:eastAsia="en-ZA"/>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2</w:t>
            </w:r>
            <w:r>
              <w:rPr>
                <w:rFonts w:ascii="Times New Roman" w:eastAsia="Times New Roman" w:hAnsi="Times New Roman" w:cs="Times New Roman"/>
                <w:color w:val="000000"/>
                <w:lang w:eastAsia="en-ZA"/>
              </w:rPr>
              <w:t>%</w:t>
            </w:r>
          </w:p>
        </w:tc>
      </w:tr>
      <w:tr w:rsidR="007B3BF1" w:rsidRPr="007B3BF1" w:rsidTr="00B06F13">
        <w:trPr>
          <w:trHeight w:val="308"/>
        </w:trPr>
        <w:tc>
          <w:tcPr>
            <w:tcW w:w="5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Too old/young</w:t>
            </w:r>
          </w:p>
        </w:tc>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3.7</w:t>
            </w:r>
            <w:r>
              <w:rPr>
                <w:rFonts w:ascii="Times New Roman" w:eastAsia="Times New Roman" w:hAnsi="Times New Roman" w:cs="Times New Roman"/>
                <w:color w:val="000000"/>
                <w:lang w:eastAsia="en-ZA"/>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1.2</w:t>
            </w:r>
            <w:r>
              <w:rPr>
                <w:rFonts w:ascii="Times New Roman" w:eastAsia="Times New Roman" w:hAnsi="Times New Roman" w:cs="Times New Roman"/>
                <w:color w:val="000000"/>
                <w:lang w:eastAsia="en-ZA"/>
              </w:rPr>
              <w:t>%</w:t>
            </w:r>
          </w:p>
        </w:tc>
      </w:tr>
      <w:tr w:rsidR="007B3BF1" w:rsidRPr="007B3BF1" w:rsidTr="00B06F13">
        <w:trPr>
          <w:trHeight w:val="308"/>
        </w:trPr>
        <w:tc>
          <w:tcPr>
            <w:tcW w:w="5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Do not have time/too busy</w:t>
            </w:r>
            <w:bookmarkStart w:id="0" w:name="_GoBack"/>
            <w:bookmarkEnd w:id="0"/>
          </w:p>
        </w:tc>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1.1</w:t>
            </w:r>
            <w:r>
              <w:rPr>
                <w:rFonts w:ascii="Times New Roman" w:eastAsia="Times New Roman" w:hAnsi="Times New Roman" w:cs="Times New Roman"/>
                <w:color w:val="000000"/>
                <w:lang w:eastAsia="en-ZA"/>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0.7</w:t>
            </w:r>
            <w:r>
              <w:rPr>
                <w:rFonts w:ascii="Times New Roman" w:eastAsia="Times New Roman" w:hAnsi="Times New Roman" w:cs="Times New Roman"/>
                <w:color w:val="000000"/>
                <w:lang w:eastAsia="en-ZA"/>
              </w:rPr>
              <w:t>%</w:t>
            </w:r>
          </w:p>
        </w:tc>
      </w:tr>
      <w:tr w:rsidR="007B3BF1" w:rsidRPr="007B3BF1" w:rsidTr="00B06F13">
        <w:trPr>
          <w:trHeight w:val="308"/>
        </w:trPr>
        <w:tc>
          <w:tcPr>
            <w:tcW w:w="5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Got married</w:t>
            </w:r>
          </w:p>
        </w:tc>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0</w:t>
            </w:r>
            <w:r>
              <w:rPr>
                <w:rFonts w:ascii="Times New Roman" w:eastAsia="Times New Roman" w:hAnsi="Times New Roman" w:cs="Times New Roman"/>
                <w:color w:val="000000"/>
                <w:lang w:eastAsia="en-ZA"/>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0.5</w:t>
            </w:r>
            <w:r>
              <w:rPr>
                <w:rFonts w:ascii="Times New Roman" w:eastAsia="Times New Roman" w:hAnsi="Times New Roman" w:cs="Times New Roman"/>
                <w:color w:val="000000"/>
                <w:lang w:eastAsia="en-ZA"/>
              </w:rPr>
              <w:t>%</w:t>
            </w:r>
          </w:p>
        </w:tc>
      </w:tr>
      <w:tr w:rsidR="007B3BF1" w:rsidRPr="007B3BF1" w:rsidTr="00B06F13">
        <w:trPr>
          <w:trHeight w:val="308"/>
        </w:trPr>
        <w:tc>
          <w:tcPr>
            <w:tcW w:w="5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Violence at school</w:t>
            </w:r>
          </w:p>
        </w:tc>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1.2</w:t>
            </w:r>
            <w:r>
              <w:rPr>
                <w:rFonts w:ascii="Times New Roman" w:eastAsia="Times New Roman" w:hAnsi="Times New Roman" w:cs="Times New Roman"/>
                <w:color w:val="000000"/>
                <w:lang w:eastAsia="en-ZA"/>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0.4</w:t>
            </w:r>
            <w:r>
              <w:rPr>
                <w:rFonts w:ascii="Times New Roman" w:eastAsia="Times New Roman" w:hAnsi="Times New Roman" w:cs="Times New Roman"/>
                <w:color w:val="000000"/>
                <w:lang w:eastAsia="en-ZA"/>
              </w:rPr>
              <w:t>%</w:t>
            </w:r>
          </w:p>
        </w:tc>
      </w:tr>
      <w:tr w:rsidR="007B3BF1" w:rsidRPr="007B3BF1" w:rsidTr="00B06F13">
        <w:trPr>
          <w:trHeight w:val="308"/>
        </w:trPr>
        <w:tc>
          <w:tcPr>
            <w:tcW w:w="5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Difficulties to get to school (transport)</w:t>
            </w:r>
          </w:p>
        </w:tc>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0</w:t>
            </w:r>
            <w:r>
              <w:rPr>
                <w:rFonts w:ascii="Times New Roman" w:eastAsia="Times New Roman" w:hAnsi="Times New Roman" w:cs="Times New Roman"/>
                <w:color w:val="000000"/>
                <w:lang w:eastAsia="en-ZA"/>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0.4</w:t>
            </w:r>
            <w:r>
              <w:rPr>
                <w:rFonts w:ascii="Times New Roman" w:eastAsia="Times New Roman" w:hAnsi="Times New Roman" w:cs="Times New Roman"/>
                <w:color w:val="000000"/>
                <w:lang w:eastAsia="en-ZA"/>
              </w:rPr>
              <w:t>%</w:t>
            </w:r>
          </w:p>
        </w:tc>
      </w:tr>
      <w:tr w:rsidR="007B3BF1" w:rsidRPr="007B3BF1" w:rsidTr="00B06F13">
        <w:trPr>
          <w:trHeight w:val="308"/>
        </w:trPr>
        <w:tc>
          <w:tcPr>
            <w:tcW w:w="5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School/education institution is too far</w:t>
            </w:r>
          </w:p>
        </w:tc>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0.4</w:t>
            </w:r>
            <w:r>
              <w:rPr>
                <w:rFonts w:ascii="Times New Roman" w:eastAsia="Times New Roman" w:hAnsi="Times New Roman" w:cs="Times New Roman"/>
                <w:color w:val="000000"/>
                <w:lang w:eastAsia="en-ZA"/>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0.1</w:t>
            </w:r>
            <w:r>
              <w:rPr>
                <w:rFonts w:ascii="Times New Roman" w:eastAsia="Times New Roman" w:hAnsi="Times New Roman" w:cs="Times New Roman"/>
                <w:color w:val="000000"/>
                <w:lang w:eastAsia="en-ZA"/>
              </w:rPr>
              <w:t>%</w:t>
            </w:r>
          </w:p>
        </w:tc>
      </w:tr>
      <w:tr w:rsidR="007B3BF1" w:rsidRPr="007B3BF1" w:rsidTr="00B06F13">
        <w:trPr>
          <w:trHeight w:val="308"/>
        </w:trPr>
        <w:tc>
          <w:tcPr>
            <w:tcW w:w="5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Total</w:t>
            </w:r>
          </w:p>
        </w:tc>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100</w:t>
            </w:r>
            <w:r>
              <w:rPr>
                <w:rFonts w:ascii="Times New Roman" w:eastAsia="Times New Roman" w:hAnsi="Times New Roman" w:cs="Times New Roman"/>
                <w:color w:val="000000"/>
                <w:lang w:eastAsia="en-ZA"/>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BF1" w:rsidRPr="007B3BF1" w:rsidRDefault="007B3BF1" w:rsidP="004F1970">
            <w:pPr>
              <w:spacing w:after="0" w:line="240" w:lineRule="auto"/>
              <w:jc w:val="center"/>
              <w:rPr>
                <w:rFonts w:ascii="Times New Roman" w:eastAsia="Times New Roman" w:hAnsi="Times New Roman" w:cs="Times New Roman"/>
                <w:color w:val="000000"/>
                <w:lang w:eastAsia="en-ZA"/>
              </w:rPr>
            </w:pPr>
            <w:r w:rsidRPr="007B3BF1">
              <w:rPr>
                <w:rFonts w:ascii="Times New Roman" w:eastAsia="Times New Roman" w:hAnsi="Times New Roman" w:cs="Times New Roman"/>
                <w:color w:val="000000"/>
                <w:lang w:eastAsia="en-ZA"/>
              </w:rPr>
              <w:t>100</w:t>
            </w:r>
            <w:r>
              <w:rPr>
                <w:rFonts w:ascii="Times New Roman" w:eastAsia="Times New Roman" w:hAnsi="Times New Roman" w:cs="Times New Roman"/>
                <w:color w:val="000000"/>
                <w:lang w:eastAsia="en-ZA"/>
              </w:rPr>
              <w:t>%</w:t>
            </w:r>
          </w:p>
        </w:tc>
      </w:tr>
    </w:tbl>
    <w:p w:rsidR="004F1970" w:rsidRDefault="007B3BF1" w:rsidP="002A0C26">
      <w:pPr>
        <w:spacing w:after="0"/>
        <w:contextualSpacing/>
        <w:rPr>
          <w:rFonts w:ascii="Times New Roman" w:hAnsi="Times New Roman" w:cs="Times New Roman"/>
        </w:rPr>
      </w:pPr>
      <w:r w:rsidRPr="007D30B1">
        <w:rPr>
          <w:rFonts w:ascii="Times New Roman" w:hAnsi="Times New Roman" w:cs="Times New Roman"/>
          <w:b/>
          <w:sz w:val="18"/>
        </w:rPr>
        <w:t>Data Source:</w:t>
      </w:r>
      <w:r w:rsidRPr="007D30B1">
        <w:rPr>
          <w:rFonts w:ascii="Times New Roman" w:hAnsi="Times New Roman" w:cs="Times New Roman"/>
          <w:sz w:val="18"/>
        </w:rPr>
        <w:t xml:space="preserve"> General Household Survey, DBE own calculation</w:t>
      </w:r>
    </w:p>
    <w:p w:rsidR="004F1970" w:rsidRDefault="004F1970" w:rsidP="007B3BF1">
      <w:pPr>
        <w:rPr>
          <w:rFonts w:ascii="Times New Roman" w:hAnsi="Times New Roman" w:cs="Times New Roman"/>
        </w:rPr>
      </w:pPr>
    </w:p>
    <w:p w:rsidR="0036208A" w:rsidRDefault="0036208A" w:rsidP="002A0C26">
      <w:pPr>
        <w:autoSpaceDE w:val="0"/>
        <w:autoSpaceDN w:val="0"/>
        <w:adjustRightInd w:val="0"/>
        <w:spacing w:after="0" w:line="240" w:lineRule="auto"/>
        <w:jc w:val="both"/>
        <w:rPr>
          <w:rFonts w:ascii="Times New Roman" w:eastAsia="Calibri" w:hAnsi="Times New Roman" w:cs="Times New Roman"/>
          <w:b/>
          <w:sz w:val="24"/>
          <w:szCs w:val="24"/>
          <w:lang w:val="en-US"/>
        </w:rPr>
      </w:pPr>
    </w:p>
    <w:p w:rsidR="002A0C26" w:rsidRDefault="002A0C26" w:rsidP="002A0C26">
      <w:pPr>
        <w:autoSpaceDE w:val="0"/>
        <w:autoSpaceDN w:val="0"/>
        <w:adjustRightInd w:val="0"/>
        <w:spacing w:after="0" w:line="240" w:lineRule="auto"/>
        <w:jc w:val="both"/>
        <w:rPr>
          <w:rFonts w:ascii="Times New Roman" w:eastAsia="Calibri" w:hAnsi="Times New Roman" w:cs="Times New Roman"/>
          <w:b/>
          <w:sz w:val="24"/>
          <w:szCs w:val="24"/>
          <w:lang w:val="en-US"/>
        </w:rPr>
      </w:pPr>
    </w:p>
    <w:p w:rsidR="002A0C26" w:rsidRDefault="002A0C26" w:rsidP="002A0C26">
      <w:pPr>
        <w:autoSpaceDE w:val="0"/>
        <w:autoSpaceDN w:val="0"/>
        <w:adjustRightInd w:val="0"/>
        <w:spacing w:after="0" w:line="240" w:lineRule="auto"/>
        <w:jc w:val="both"/>
        <w:rPr>
          <w:rFonts w:ascii="Times New Roman" w:eastAsia="Calibri" w:hAnsi="Times New Roman" w:cs="Times New Roman"/>
          <w:b/>
          <w:sz w:val="24"/>
          <w:szCs w:val="24"/>
          <w:lang w:val="en-US"/>
        </w:rPr>
      </w:pPr>
    </w:p>
    <w:p w:rsidR="002A0C26" w:rsidRPr="002A0C26" w:rsidRDefault="002A0C26" w:rsidP="002A0C26">
      <w:pPr>
        <w:autoSpaceDE w:val="0"/>
        <w:autoSpaceDN w:val="0"/>
        <w:adjustRightInd w:val="0"/>
        <w:spacing w:after="0" w:line="240" w:lineRule="auto"/>
        <w:jc w:val="both"/>
        <w:rPr>
          <w:rFonts w:ascii="Times New Roman" w:eastAsia="Calibri" w:hAnsi="Times New Roman" w:cs="Times New Roman"/>
          <w:b/>
          <w:sz w:val="24"/>
          <w:szCs w:val="24"/>
          <w:lang w:val="en-US"/>
        </w:rPr>
        <w:sectPr w:rsidR="002A0C26" w:rsidRPr="002A0C26" w:rsidSect="002A0C26">
          <w:pgSz w:w="16838" w:h="11906" w:orient="landscape"/>
          <w:pgMar w:top="1440" w:right="1440" w:bottom="1440" w:left="1440" w:header="708" w:footer="708" w:gutter="0"/>
          <w:cols w:space="708"/>
          <w:docGrid w:linePitch="360"/>
        </w:sectPr>
      </w:pPr>
    </w:p>
    <w:p w:rsidR="004F1970" w:rsidRDefault="004F1970" w:rsidP="004F1970">
      <w:pPr>
        <w:pStyle w:val="ListParagraph"/>
        <w:numPr>
          <w:ilvl w:val="0"/>
          <w:numId w:val="1"/>
        </w:numPr>
        <w:autoSpaceDE w:val="0"/>
        <w:autoSpaceDN w:val="0"/>
        <w:adjustRightInd w:val="0"/>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Main reasons for learner dropping out as identified by the Department of Basic Education</w:t>
      </w:r>
    </w:p>
    <w:p w:rsidR="004F1970" w:rsidRPr="004F1970" w:rsidRDefault="004F1970" w:rsidP="004F1970">
      <w:pPr>
        <w:pStyle w:val="ListParagraph"/>
        <w:autoSpaceDE w:val="0"/>
        <w:autoSpaceDN w:val="0"/>
        <w:adjustRightInd w:val="0"/>
        <w:spacing w:after="0" w:line="240" w:lineRule="auto"/>
        <w:jc w:val="both"/>
        <w:rPr>
          <w:rFonts w:ascii="Times New Roman" w:eastAsia="Calibri" w:hAnsi="Times New Roman" w:cs="Times New Roman"/>
          <w:sz w:val="24"/>
          <w:szCs w:val="24"/>
          <w:lang w:val="en-US"/>
        </w:rPr>
      </w:pPr>
      <w:r w:rsidRPr="004F1970">
        <w:rPr>
          <w:rFonts w:ascii="Times New Roman" w:eastAsia="Calibri" w:hAnsi="Times New Roman" w:cs="Times New Roman"/>
          <w:sz w:val="24"/>
          <w:szCs w:val="24"/>
          <w:lang w:val="en-US"/>
        </w:rPr>
        <w:t>Main reasons for learner drop-out</w:t>
      </w:r>
      <w:r>
        <w:rPr>
          <w:rFonts w:ascii="Times New Roman" w:eastAsia="Calibri" w:hAnsi="Times New Roman" w:cs="Times New Roman"/>
          <w:sz w:val="24"/>
          <w:szCs w:val="24"/>
          <w:lang w:val="en-US"/>
        </w:rPr>
        <w:t xml:space="preserve"> include</w:t>
      </w:r>
      <w:r w:rsidRPr="004F1970">
        <w:rPr>
          <w:rFonts w:ascii="Times New Roman" w:eastAsia="Calibri" w:hAnsi="Times New Roman" w:cs="Times New Roman"/>
          <w:sz w:val="24"/>
          <w:szCs w:val="24"/>
          <w:lang w:val="en-US"/>
        </w:rPr>
        <w:t>:</w:t>
      </w:r>
    </w:p>
    <w:p w:rsidR="004F1970" w:rsidRPr="004F1970" w:rsidRDefault="004F1970" w:rsidP="004F1970">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lang w:val="en-US"/>
        </w:rPr>
      </w:pPr>
      <w:r w:rsidRPr="004F1970">
        <w:rPr>
          <w:rFonts w:ascii="Times New Roman" w:eastAsia="Calibri" w:hAnsi="Times New Roman" w:cs="Times New Roman"/>
          <w:sz w:val="24"/>
          <w:szCs w:val="24"/>
          <w:lang w:val="en-US"/>
        </w:rPr>
        <w:t>The socio-econom</w:t>
      </w:r>
      <w:r>
        <w:rPr>
          <w:rFonts w:ascii="Times New Roman" w:eastAsia="Calibri" w:hAnsi="Times New Roman" w:cs="Times New Roman"/>
          <w:sz w:val="24"/>
          <w:szCs w:val="24"/>
          <w:lang w:val="en-US"/>
        </w:rPr>
        <w:t>ic situation of communities such as</w:t>
      </w:r>
      <w:r w:rsidRPr="004F1970">
        <w:rPr>
          <w:rFonts w:ascii="Times New Roman" w:eastAsia="Calibri" w:hAnsi="Times New Roman" w:cs="Times New Roman"/>
          <w:sz w:val="24"/>
          <w:szCs w:val="24"/>
          <w:lang w:val="en-US"/>
        </w:rPr>
        <w:t xml:space="preserve"> poverty and unemployment</w:t>
      </w:r>
    </w:p>
    <w:p w:rsidR="004F1970" w:rsidRPr="004F1970" w:rsidRDefault="004F1970" w:rsidP="004F1970">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Inaccessibility of services such as</w:t>
      </w:r>
      <w:r w:rsidRPr="004F1970">
        <w:rPr>
          <w:rFonts w:ascii="Times New Roman" w:eastAsia="Calibri" w:hAnsi="Times New Roman" w:cs="Times New Roman"/>
          <w:sz w:val="24"/>
          <w:szCs w:val="24"/>
          <w:lang w:val="en-US"/>
        </w:rPr>
        <w:t xml:space="preserve"> health services</w:t>
      </w:r>
    </w:p>
    <w:p w:rsidR="004F1970" w:rsidRPr="002F5BC5" w:rsidRDefault="004F1970" w:rsidP="004F1970">
      <w:pPr>
        <w:pStyle w:val="ListParagraph"/>
        <w:numPr>
          <w:ilvl w:val="0"/>
          <w:numId w:val="3"/>
        </w:numPr>
        <w:autoSpaceDE w:val="0"/>
        <w:autoSpaceDN w:val="0"/>
        <w:adjustRightInd w:val="0"/>
        <w:spacing w:after="0" w:line="240" w:lineRule="auto"/>
        <w:jc w:val="both"/>
        <w:rPr>
          <w:rFonts w:ascii="Times New Roman" w:eastAsia="Calibri" w:hAnsi="Times New Roman" w:cs="Times New Roman"/>
          <w:b/>
          <w:sz w:val="24"/>
          <w:szCs w:val="24"/>
          <w:lang w:val="en-US"/>
        </w:rPr>
      </w:pPr>
      <w:r w:rsidRPr="004F1970">
        <w:rPr>
          <w:rFonts w:ascii="Times New Roman" w:eastAsia="Calibri" w:hAnsi="Times New Roman" w:cs="Times New Roman"/>
          <w:sz w:val="24"/>
          <w:szCs w:val="24"/>
          <w:lang w:val="en-US"/>
        </w:rPr>
        <w:t>Teenage pregnancy</w:t>
      </w:r>
    </w:p>
    <w:p w:rsidR="002F5BC5" w:rsidRPr="002F5BC5" w:rsidRDefault="002F5BC5" w:rsidP="002F5BC5">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lang w:val="en-US"/>
        </w:rPr>
      </w:pPr>
      <w:r w:rsidRPr="002F5BC5">
        <w:rPr>
          <w:rFonts w:ascii="Times New Roman" w:eastAsia="Calibri" w:hAnsi="Times New Roman" w:cs="Times New Roman"/>
          <w:sz w:val="24"/>
          <w:szCs w:val="24"/>
          <w:lang w:val="en-US"/>
        </w:rPr>
        <w:t xml:space="preserve">High prevalence of gender based violence and other related developmental problems (most notably HIV infections and reproductive health). </w:t>
      </w:r>
    </w:p>
    <w:p w:rsidR="002F5BC5" w:rsidRPr="002F5BC5" w:rsidRDefault="002F5BC5" w:rsidP="002F5BC5">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lang w:val="en-US"/>
        </w:rPr>
      </w:pPr>
      <w:r w:rsidRPr="002F5BC5">
        <w:rPr>
          <w:rFonts w:ascii="Times New Roman" w:eastAsia="Calibri" w:hAnsi="Times New Roman" w:cs="Times New Roman"/>
          <w:sz w:val="24"/>
          <w:szCs w:val="24"/>
          <w:lang w:val="en-US"/>
        </w:rPr>
        <w:t>Institutional barriers (lack of gender budgeting, gender‐biased curriculum and pedagogy, and lack of integration in service delivery);</w:t>
      </w:r>
    </w:p>
    <w:p w:rsidR="002F5BC5" w:rsidRPr="002F5BC5" w:rsidRDefault="002F5BC5" w:rsidP="002F5BC5">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lang w:val="en-US"/>
        </w:rPr>
      </w:pPr>
      <w:r w:rsidRPr="002F5BC5">
        <w:rPr>
          <w:rFonts w:ascii="Times New Roman" w:eastAsia="Calibri" w:hAnsi="Times New Roman" w:cs="Times New Roman"/>
          <w:sz w:val="24"/>
          <w:szCs w:val="24"/>
          <w:lang w:val="en-US"/>
        </w:rPr>
        <w:t xml:space="preserve">Socio‐cultural barriers (poor parenting, cultural factors such as initiation schools, virginity testing &amp; </w:t>
      </w:r>
      <w:r w:rsidRPr="002F5BC5">
        <w:rPr>
          <w:rFonts w:ascii="Times New Roman" w:eastAsia="Calibri" w:hAnsi="Times New Roman" w:cs="Times New Roman"/>
          <w:i/>
          <w:sz w:val="24"/>
          <w:szCs w:val="24"/>
          <w:lang w:val="en-US"/>
        </w:rPr>
        <w:t>ukuthwala</w:t>
      </w:r>
      <w:r w:rsidRPr="002F5BC5">
        <w:rPr>
          <w:rFonts w:ascii="Times New Roman" w:eastAsia="Calibri" w:hAnsi="Times New Roman" w:cs="Times New Roman"/>
          <w:sz w:val="24"/>
          <w:szCs w:val="24"/>
          <w:lang w:val="en-US"/>
        </w:rPr>
        <w:t>)</w:t>
      </w:r>
    </w:p>
    <w:p w:rsidR="002F5BC5" w:rsidRPr="002F5BC5" w:rsidRDefault="002F5BC5" w:rsidP="002F5BC5">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w:t>
      </w:r>
      <w:r w:rsidRPr="002F5BC5">
        <w:rPr>
          <w:rFonts w:ascii="Times New Roman" w:eastAsia="Calibri" w:hAnsi="Times New Roman" w:cs="Times New Roman"/>
          <w:sz w:val="24"/>
          <w:szCs w:val="24"/>
          <w:lang w:val="en-US"/>
        </w:rPr>
        <w:t>endered burden of c</w:t>
      </w:r>
      <w:r>
        <w:rPr>
          <w:rFonts w:ascii="Times New Roman" w:eastAsia="Calibri" w:hAnsi="Times New Roman" w:cs="Times New Roman"/>
          <w:sz w:val="24"/>
          <w:szCs w:val="24"/>
          <w:lang w:val="en-US"/>
        </w:rPr>
        <w:t>are in families and communities where girl children are expected to take care of sickly parents and younger siblings.</w:t>
      </w:r>
    </w:p>
    <w:p w:rsidR="004F1970" w:rsidRPr="004F1970" w:rsidRDefault="004F1970" w:rsidP="004F1970">
      <w:pPr>
        <w:pStyle w:val="ListParagraph"/>
        <w:rPr>
          <w:rFonts w:ascii="Times New Roman" w:eastAsia="Calibri" w:hAnsi="Times New Roman" w:cs="Times New Roman"/>
          <w:b/>
          <w:sz w:val="24"/>
          <w:szCs w:val="24"/>
          <w:lang w:val="en-US"/>
        </w:rPr>
      </w:pPr>
    </w:p>
    <w:p w:rsidR="004F1970" w:rsidRDefault="004F1970" w:rsidP="004F1970">
      <w:pPr>
        <w:pStyle w:val="ListParagraph"/>
        <w:numPr>
          <w:ilvl w:val="0"/>
          <w:numId w:val="1"/>
        </w:numPr>
        <w:autoSpaceDE w:val="0"/>
        <w:autoSpaceDN w:val="0"/>
        <w:adjustRightInd w:val="0"/>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Intervention</w:t>
      </w:r>
      <w:r w:rsidR="0036208A">
        <w:rPr>
          <w:rFonts w:ascii="Times New Roman" w:eastAsia="Calibri" w:hAnsi="Times New Roman" w:cs="Times New Roman"/>
          <w:b/>
          <w:sz w:val="24"/>
          <w:szCs w:val="24"/>
          <w:lang w:val="en-US"/>
        </w:rPr>
        <w:t>s</w:t>
      </w:r>
      <w:r>
        <w:rPr>
          <w:rFonts w:ascii="Times New Roman" w:eastAsia="Calibri" w:hAnsi="Times New Roman" w:cs="Times New Roman"/>
          <w:b/>
          <w:sz w:val="24"/>
          <w:szCs w:val="24"/>
          <w:lang w:val="en-US"/>
        </w:rPr>
        <w:t xml:space="preserve"> and actions taken in an attempt to reduce dropout rates in schools </w:t>
      </w:r>
    </w:p>
    <w:p w:rsidR="0036208A" w:rsidRDefault="004F1970" w:rsidP="002A0C26">
      <w:pPr>
        <w:pStyle w:val="ListParagraph"/>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US"/>
        </w:rPr>
      </w:pPr>
      <w:r w:rsidRPr="0036208A">
        <w:rPr>
          <w:rFonts w:ascii="Times New Roman" w:eastAsia="Calibri" w:hAnsi="Times New Roman" w:cs="Times New Roman"/>
          <w:sz w:val="24"/>
          <w:szCs w:val="24"/>
          <w:lang w:val="en-US"/>
        </w:rPr>
        <w:t xml:space="preserve">Learners who drop out of school are categorised as vulnerable learners and are targeted for support through the Care and Support for Teaching and Learning (CSTL) Programme. Schools ensure that vulnerable learners receive the various pro-poor programmes implemented in schools such as fee exemption, scholar transport, school meals through the National School Nutrition Programme, and school health services through the Integrated School Health Programme.  </w:t>
      </w:r>
    </w:p>
    <w:p w:rsidR="004F1970" w:rsidRPr="0036208A" w:rsidRDefault="004F1970" w:rsidP="0036208A">
      <w:pPr>
        <w:pStyle w:val="ListParagraph"/>
        <w:numPr>
          <w:ilvl w:val="1"/>
          <w:numId w:val="4"/>
        </w:numPr>
        <w:autoSpaceDE w:val="0"/>
        <w:autoSpaceDN w:val="0"/>
        <w:adjustRightInd w:val="0"/>
        <w:spacing w:after="0" w:line="240" w:lineRule="auto"/>
        <w:jc w:val="both"/>
        <w:rPr>
          <w:rFonts w:ascii="Times New Roman" w:eastAsia="Calibri" w:hAnsi="Times New Roman" w:cs="Times New Roman"/>
          <w:sz w:val="24"/>
          <w:szCs w:val="24"/>
          <w:lang w:val="en-US"/>
        </w:rPr>
      </w:pPr>
      <w:r w:rsidRPr="0036208A">
        <w:rPr>
          <w:rFonts w:ascii="Times New Roman" w:eastAsia="Calibri" w:hAnsi="Times New Roman" w:cs="Times New Roman"/>
          <w:sz w:val="24"/>
          <w:szCs w:val="24"/>
          <w:lang w:val="en-US"/>
        </w:rPr>
        <w:t>The National School Nutrition Programme provides a meal to more than 9m learners every school day to address issues of hunger and food insecu</w:t>
      </w:r>
      <w:r w:rsidR="0036208A" w:rsidRPr="0036208A">
        <w:rPr>
          <w:rFonts w:ascii="Times New Roman" w:eastAsia="Calibri" w:hAnsi="Times New Roman" w:cs="Times New Roman"/>
          <w:sz w:val="24"/>
          <w:szCs w:val="24"/>
          <w:lang w:val="en-US"/>
        </w:rPr>
        <w:t>rity that might prevent learners from coming to and staying in school</w:t>
      </w:r>
      <w:r w:rsidRPr="0036208A">
        <w:rPr>
          <w:rFonts w:ascii="Times New Roman" w:eastAsia="Calibri" w:hAnsi="Times New Roman" w:cs="Times New Roman"/>
          <w:sz w:val="24"/>
          <w:szCs w:val="24"/>
          <w:lang w:val="en-US"/>
        </w:rPr>
        <w:t>.</w:t>
      </w:r>
    </w:p>
    <w:p w:rsidR="004F1970" w:rsidRPr="004F1970" w:rsidRDefault="004F1970" w:rsidP="0036208A">
      <w:pPr>
        <w:pStyle w:val="ListParagraph"/>
        <w:numPr>
          <w:ilvl w:val="1"/>
          <w:numId w:val="4"/>
        </w:numPr>
        <w:autoSpaceDE w:val="0"/>
        <w:autoSpaceDN w:val="0"/>
        <w:adjustRightInd w:val="0"/>
        <w:spacing w:after="0" w:line="240" w:lineRule="auto"/>
        <w:jc w:val="both"/>
        <w:rPr>
          <w:rFonts w:ascii="Times New Roman" w:eastAsia="Calibri" w:hAnsi="Times New Roman" w:cs="Times New Roman"/>
          <w:sz w:val="24"/>
          <w:szCs w:val="24"/>
          <w:lang w:val="en-US"/>
        </w:rPr>
      </w:pPr>
      <w:r w:rsidRPr="004F1970">
        <w:rPr>
          <w:rFonts w:ascii="Times New Roman" w:eastAsia="Calibri" w:hAnsi="Times New Roman" w:cs="Times New Roman"/>
          <w:sz w:val="24"/>
          <w:szCs w:val="24"/>
          <w:lang w:val="en-US"/>
        </w:rPr>
        <w:t>The Integrated School Health Programme provide</w:t>
      </w:r>
      <w:r w:rsidR="0036208A">
        <w:rPr>
          <w:rFonts w:ascii="Times New Roman" w:eastAsia="Calibri" w:hAnsi="Times New Roman" w:cs="Times New Roman"/>
          <w:sz w:val="24"/>
          <w:szCs w:val="24"/>
          <w:lang w:val="en-US"/>
        </w:rPr>
        <w:t>s health services to more than 1</w:t>
      </w:r>
      <w:r w:rsidRPr="004F1970">
        <w:rPr>
          <w:rFonts w:ascii="Times New Roman" w:eastAsia="Calibri" w:hAnsi="Times New Roman" w:cs="Times New Roman"/>
          <w:sz w:val="24"/>
          <w:szCs w:val="24"/>
          <w:lang w:val="en-US"/>
        </w:rPr>
        <w:t>m learners per year</w:t>
      </w:r>
      <w:r w:rsidR="0036208A">
        <w:rPr>
          <w:rFonts w:ascii="Times New Roman" w:eastAsia="Calibri" w:hAnsi="Times New Roman" w:cs="Times New Roman"/>
          <w:sz w:val="24"/>
          <w:szCs w:val="24"/>
          <w:lang w:val="en-US"/>
        </w:rPr>
        <w:t>, to ensure that learners are not prevented from coming to or staying in school due to health reasons</w:t>
      </w:r>
      <w:r w:rsidRPr="004F1970">
        <w:rPr>
          <w:rFonts w:ascii="Times New Roman" w:eastAsia="Calibri" w:hAnsi="Times New Roman" w:cs="Times New Roman"/>
          <w:sz w:val="24"/>
          <w:szCs w:val="24"/>
          <w:lang w:val="en-US"/>
        </w:rPr>
        <w:t>.</w:t>
      </w:r>
    </w:p>
    <w:p w:rsidR="004F1970" w:rsidRDefault="004F1970" w:rsidP="0036208A">
      <w:pPr>
        <w:pStyle w:val="ListParagraph"/>
        <w:numPr>
          <w:ilvl w:val="1"/>
          <w:numId w:val="4"/>
        </w:numPr>
        <w:autoSpaceDE w:val="0"/>
        <w:autoSpaceDN w:val="0"/>
        <w:adjustRightInd w:val="0"/>
        <w:spacing w:after="0" w:line="240" w:lineRule="auto"/>
        <w:jc w:val="both"/>
        <w:rPr>
          <w:rFonts w:ascii="Times New Roman" w:eastAsia="Calibri" w:hAnsi="Times New Roman" w:cs="Times New Roman"/>
          <w:sz w:val="24"/>
          <w:szCs w:val="24"/>
          <w:lang w:val="en-US"/>
        </w:rPr>
      </w:pPr>
      <w:r w:rsidRPr="004F1970">
        <w:rPr>
          <w:rFonts w:ascii="Times New Roman" w:eastAsia="Calibri" w:hAnsi="Times New Roman" w:cs="Times New Roman"/>
          <w:sz w:val="24"/>
          <w:szCs w:val="24"/>
          <w:lang w:val="en-US"/>
        </w:rPr>
        <w:t>Considering the shortage of psychosocial professionals in education, the Department of Basic Education together with Provinces are increasingly orientating educators on various psychosocial skills to enable them to support vulnerable learners, especially around trauma support</w:t>
      </w:r>
      <w:r w:rsidR="0036208A" w:rsidRPr="0036208A">
        <w:rPr>
          <w:rFonts w:ascii="Times New Roman" w:eastAsia="Calibri" w:hAnsi="Times New Roman" w:cs="Times New Roman"/>
          <w:sz w:val="24"/>
          <w:szCs w:val="24"/>
          <w:lang w:val="en-US"/>
        </w:rPr>
        <w:t xml:space="preserve"> to ensure that learners are not prevented from coming to or staying in school due to</w:t>
      </w:r>
      <w:r w:rsidR="0036208A">
        <w:rPr>
          <w:rFonts w:ascii="Times New Roman" w:eastAsia="Calibri" w:hAnsi="Times New Roman" w:cs="Times New Roman"/>
          <w:sz w:val="24"/>
          <w:szCs w:val="24"/>
          <w:lang w:val="en-US"/>
        </w:rPr>
        <w:t xml:space="preserve"> emotional distress</w:t>
      </w:r>
      <w:r w:rsidRPr="004F1970">
        <w:rPr>
          <w:rFonts w:ascii="Times New Roman" w:eastAsia="Calibri" w:hAnsi="Times New Roman" w:cs="Times New Roman"/>
          <w:sz w:val="24"/>
          <w:szCs w:val="24"/>
          <w:lang w:val="en-US"/>
        </w:rPr>
        <w:t>.</w:t>
      </w:r>
    </w:p>
    <w:p w:rsidR="0036208A" w:rsidRDefault="0036208A" w:rsidP="0036208A">
      <w:pPr>
        <w:pStyle w:val="ListParagraph"/>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addition, relevant D</w:t>
      </w:r>
      <w:r w:rsidRPr="004F1970">
        <w:rPr>
          <w:rFonts w:ascii="Times New Roman" w:eastAsia="Calibri" w:hAnsi="Times New Roman" w:cs="Times New Roman"/>
          <w:sz w:val="24"/>
          <w:szCs w:val="24"/>
          <w:lang w:val="en-US"/>
        </w:rPr>
        <w:t xml:space="preserve">epartments such as the Departments of Social Development, Health, Home Affairs, SASSA, non-governmental organisations and the private sector </w:t>
      </w:r>
      <w:r>
        <w:rPr>
          <w:rFonts w:ascii="Times New Roman" w:eastAsia="Calibri" w:hAnsi="Times New Roman" w:cs="Times New Roman"/>
          <w:sz w:val="24"/>
          <w:szCs w:val="24"/>
          <w:lang w:val="en-US"/>
        </w:rPr>
        <w:t xml:space="preserve">are coordinated through the CSTL framework to </w:t>
      </w:r>
      <w:r w:rsidRPr="004F1970">
        <w:rPr>
          <w:rFonts w:ascii="Times New Roman" w:eastAsia="Calibri" w:hAnsi="Times New Roman" w:cs="Times New Roman"/>
          <w:sz w:val="24"/>
          <w:szCs w:val="24"/>
          <w:lang w:val="en-US"/>
        </w:rPr>
        <w:t xml:space="preserve">render the necessary support to </w:t>
      </w:r>
      <w:r>
        <w:rPr>
          <w:rFonts w:ascii="Times New Roman" w:eastAsia="Calibri" w:hAnsi="Times New Roman" w:cs="Times New Roman"/>
          <w:sz w:val="24"/>
          <w:szCs w:val="24"/>
          <w:lang w:val="en-US"/>
        </w:rPr>
        <w:t>vulnerable</w:t>
      </w:r>
      <w:r w:rsidRPr="004F1970">
        <w:rPr>
          <w:rFonts w:ascii="Times New Roman" w:eastAsia="Calibri" w:hAnsi="Times New Roman" w:cs="Times New Roman"/>
          <w:sz w:val="24"/>
          <w:szCs w:val="24"/>
          <w:lang w:val="en-US"/>
        </w:rPr>
        <w:t xml:space="preserve"> learners</w:t>
      </w:r>
      <w:r>
        <w:rPr>
          <w:rFonts w:ascii="Times New Roman" w:eastAsia="Calibri" w:hAnsi="Times New Roman" w:cs="Times New Roman"/>
          <w:sz w:val="24"/>
          <w:szCs w:val="24"/>
          <w:lang w:val="en-US"/>
        </w:rPr>
        <w:t>,</w:t>
      </w:r>
      <w:r w:rsidRPr="004F1970">
        <w:rPr>
          <w:rFonts w:ascii="Times New Roman" w:eastAsia="Calibri" w:hAnsi="Times New Roman" w:cs="Times New Roman"/>
          <w:sz w:val="24"/>
          <w:szCs w:val="24"/>
          <w:lang w:val="en-US"/>
        </w:rPr>
        <w:t xml:space="preserve"> either through integrated service delivery days coordinated by the Department of Basic Education or individual referral of learners for services by schools.</w:t>
      </w:r>
    </w:p>
    <w:p w:rsidR="002F5BC5" w:rsidRPr="002F5BC5" w:rsidRDefault="002F5BC5" w:rsidP="002F5BC5">
      <w:pPr>
        <w:pStyle w:val="ListParagraph"/>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2F5BC5">
        <w:rPr>
          <w:rFonts w:ascii="Times New Roman" w:eastAsia="Calibri" w:hAnsi="Times New Roman" w:cs="Times New Roman"/>
          <w:bCs/>
          <w:sz w:val="24"/>
          <w:szCs w:val="24"/>
          <w:lang w:val="en-GB"/>
        </w:rPr>
        <w:t xml:space="preserve">Advocacy programmes to empower learners at risk so that they do not feel unsupported and resort to dropping out. These advocacy programmes include: </w:t>
      </w:r>
    </w:p>
    <w:p w:rsidR="002F5BC5" w:rsidRPr="002F5BC5" w:rsidRDefault="002F5BC5" w:rsidP="002F5BC5">
      <w:pPr>
        <w:pStyle w:val="ListParagraph"/>
        <w:numPr>
          <w:ilvl w:val="1"/>
          <w:numId w:val="4"/>
        </w:numPr>
        <w:autoSpaceDE w:val="0"/>
        <w:autoSpaceDN w:val="0"/>
        <w:adjustRightInd w:val="0"/>
        <w:rPr>
          <w:rFonts w:ascii="Times New Roman" w:eastAsia="Calibri" w:hAnsi="Times New Roman" w:cs="Times New Roman"/>
          <w:sz w:val="24"/>
          <w:szCs w:val="24"/>
        </w:rPr>
      </w:pPr>
      <w:r w:rsidRPr="002F5BC5">
        <w:rPr>
          <w:rFonts w:ascii="Times New Roman" w:eastAsia="Calibri" w:hAnsi="Times New Roman" w:cs="Times New Roman"/>
          <w:sz w:val="24"/>
          <w:szCs w:val="24"/>
          <w:lang w:val="en-GB"/>
        </w:rPr>
        <w:t>Speak Out Against Abuse</w:t>
      </w:r>
    </w:p>
    <w:p w:rsidR="002F5BC5" w:rsidRPr="002F5BC5" w:rsidRDefault="002F5BC5" w:rsidP="002F5BC5">
      <w:pPr>
        <w:pStyle w:val="ListParagraph"/>
        <w:numPr>
          <w:ilvl w:val="1"/>
          <w:numId w:val="4"/>
        </w:numPr>
        <w:autoSpaceDE w:val="0"/>
        <w:autoSpaceDN w:val="0"/>
        <w:adjustRightInd w:val="0"/>
        <w:rPr>
          <w:rFonts w:ascii="Times New Roman" w:eastAsia="Calibri" w:hAnsi="Times New Roman" w:cs="Times New Roman"/>
          <w:sz w:val="24"/>
          <w:szCs w:val="24"/>
        </w:rPr>
      </w:pPr>
      <w:r w:rsidRPr="002F5BC5">
        <w:rPr>
          <w:rFonts w:ascii="Times New Roman" w:eastAsia="Calibri" w:hAnsi="Times New Roman" w:cs="Times New Roman"/>
          <w:sz w:val="24"/>
          <w:szCs w:val="24"/>
          <w:lang w:val="en-GB"/>
        </w:rPr>
        <w:t>Prevent Violence</w:t>
      </w:r>
      <w:r>
        <w:rPr>
          <w:rFonts w:ascii="Times New Roman" w:eastAsia="Calibri" w:hAnsi="Times New Roman" w:cs="Times New Roman"/>
          <w:sz w:val="24"/>
          <w:szCs w:val="24"/>
          <w:lang w:val="en-GB"/>
        </w:rPr>
        <w:t xml:space="preserve"> and Bullying</w:t>
      </w:r>
      <w:r w:rsidRPr="002F5BC5">
        <w:rPr>
          <w:rFonts w:ascii="Times New Roman" w:eastAsia="Calibri" w:hAnsi="Times New Roman" w:cs="Times New Roman"/>
          <w:sz w:val="24"/>
          <w:szCs w:val="24"/>
          <w:lang w:val="en-GB"/>
        </w:rPr>
        <w:t xml:space="preserve"> in Schools</w:t>
      </w:r>
    </w:p>
    <w:p w:rsidR="002F5BC5" w:rsidRPr="002A0C26" w:rsidRDefault="002F5BC5" w:rsidP="002F5BC5">
      <w:pPr>
        <w:pStyle w:val="ListParagraph"/>
        <w:numPr>
          <w:ilvl w:val="1"/>
          <w:numId w:val="4"/>
        </w:numPr>
        <w:autoSpaceDE w:val="0"/>
        <w:autoSpaceDN w:val="0"/>
        <w:adjustRightInd w:val="0"/>
        <w:rPr>
          <w:rFonts w:ascii="Times New Roman" w:eastAsia="Calibri" w:hAnsi="Times New Roman" w:cs="Times New Roman"/>
          <w:sz w:val="24"/>
          <w:szCs w:val="24"/>
        </w:rPr>
      </w:pPr>
      <w:r w:rsidRPr="002F5BC5">
        <w:rPr>
          <w:rFonts w:ascii="Times New Roman" w:eastAsia="Calibri" w:hAnsi="Times New Roman" w:cs="Times New Roman"/>
          <w:sz w:val="24"/>
          <w:szCs w:val="24"/>
          <w:lang w:val="en-GB"/>
        </w:rPr>
        <w:t>GEMBEM/ Youth Leadership programme</w:t>
      </w:r>
    </w:p>
    <w:p w:rsidR="002A0C26" w:rsidRDefault="002A0C26" w:rsidP="002A0C26">
      <w:pPr>
        <w:autoSpaceDE w:val="0"/>
        <w:autoSpaceDN w:val="0"/>
        <w:adjustRightInd w:val="0"/>
        <w:rPr>
          <w:rFonts w:ascii="Times New Roman" w:eastAsia="Calibri" w:hAnsi="Times New Roman" w:cs="Times New Roman"/>
          <w:sz w:val="24"/>
          <w:szCs w:val="24"/>
        </w:rPr>
      </w:pPr>
    </w:p>
    <w:sectPr w:rsidR="002A0C26" w:rsidSect="002A0C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DBB" w:rsidRDefault="00703DBB" w:rsidP="007D30B1">
      <w:pPr>
        <w:spacing w:after="0" w:line="240" w:lineRule="auto"/>
      </w:pPr>
      <w:r>
        <w:separator/>
      </w:r>
    </w:p>
  </w:endnote>
  <w:endnote w:type="continuationSeparator" w:id="0">
    <w:p w:rsidR="00703DBB" w:rsidRDefault="00703DBB" w:rsidP="007D3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DBB" w:rsidRDefault="00703DBB" w:rsidP="007D30B1">
      <w:pPr>
        <w:spacing w:after="0" w:line="240" w:lineRule="auto"/>
      </w:pPr>
      <w:r>
        <w:separator/>
      </w:r>
    </w:p>
  </w:footnote>
  <w:footnote w:type="continuationSeparator" w:id="0">
    <w:p w:rsidR="00703DBB" w:rsidRDefault="00703DBB" w:rsidP="007D3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46958"/>
    <w:multiLevelType w:val="hybridMultilevel"/>
    <w:tmpl w:val="62B4EBB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49580A04"/>
    <w:multiLevelType w:val="hybridMultilevel"/>
    <w:tmpl w:val="5B6A4BB8"/>
    <w:lvl w:ilvl="0" w:tplc="B61031EA">
      <w:start w:val="1"/>
      <w:numFmt w:val="upp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3CF4CD6"/>
    <w:multiLevelType w:val="hybridMultilevel"/>
    <w:tmpl w:val="EFC27010"/>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67B02166"/>
    <w:multiLevelType w:val="hybridMultilevel"/>
    <w:tmpl w:val="D5688162"/>
    <w:lvl w:ilvl="0" w:tplc="B61031EA">
      <w:start w:val="1"/>
      <w:numFmt w:val="upp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8734971"/>
    <w:multiLevelType w:val="hybridMultilevel"/>
    <w:tmpl w:val="4F3627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6B671AF2"/>
    <w:multiLevelType w:val="hybridMultilevel"/>
    <w:tmpl w:val="E764A150"/>
    <w:lvl w:ilvl="0" w:tplc="EF32EA7E">
      <w:start w:val="1"/>
      <w:numFmt w:val="bullet"/>
      <w:lvlText w:val="•"/>
      <w:lvlJc w:val="left"/>
      <w:pPr>
        <w:tabs>
          <w:tab w:val="num" w:pos="720"/>
        </w:tabs>
        <w:ind w:left="720" w:hanging="360"/>
      </w:pPr>
      <w:rPr>
        <w:rFonts w:ascii="Arial" w:hAnsi="Arial" w:hint="default"/>
      </w:rPr>
    </w:lvl>
    <w:lvl w:ilvl="1" w:tplc="90D00D70">
      <w:start w:val="1"/>
      <w:numFmt w:val="bullet"/>
      <w:lvlText w:val="•"/>
      <w:lvlJc w:val="left"/>
      <w:pPr>
        <w:tabs>
          <w:tab w:val="num" w:pos="1440"/>
        </w:tabs>
        <w:ind w:left="1440" w:hanging="360"/>
      </w:pPr>
      <w:rPr>
        <w:rFonts w:ascii="Arial" w:hAnsi="Arial" w:hint="default"/>
      </w:rPr>
    </w:lvl>
    <w:lvl w:ilvl="2" w:tplc="04323204" w:tentative="1">
      <w:start w:val="1"/>
      <w:numFmt w:val="bullet"/>
      <w:lvlText w:val="•"/>
      <w:lvlJc w:val="left"/>
      <w:pPr>
        <w:tabs>
          <w:tab w:val="num" w:pos="2160"/>
        </w:tabs>
        <w:ind w:left="2160" w:hanging="360"/>
      </w:pPr>
      <w:rPr>
        <w:rFonts w:ascii="Arial" w:hAnsi="Arial" w:hint="default"/>
      </w:rPr>
    </w:lvl>
    <w:lvl w:ilvl="3" w:tplc="0F5ED890" w:tentative="1">
      <w:start w:val="1"/>
      <w:numFmt w:val="bullet"/>
      <w:lvlText w:val="•"/>
      <w:lvlJc w:val="left"/>
      <w:pPr>
        <w:tabs>
          <w:tab w:val="num" w:pos="2880"/>
        </w:tabs>
        <w:ind w:left="2880" w:hanging="360"/>
      </w:pPr>
      <w:rPr>
        <w:rFonts w:ascii="Arial" w:hAnsi="Arial" w:hint="default"/>
      </w:rPr>
    </w:lvl>
    <w:lvl w:ilvl="4" w:tplc="9160A4D8" w:tentative="1">
      <w:start w:val="1"/>
      <w:numFmt w:val="bullet"/>
      <w:lvlText w:val="•"/>
      <w:lvlJc w:val="left"/>
      <w:pPr>
        <w:tabs>
          <w:tab w:val="num" w:pos="3600"/>
        </w:tabs>
        <w:ind w:left="3600" w:hanging="360"/>
      </w:pPr>
      <w:rPr>
        <w:rFonts w:ascii="Arial" w:hAnsi="Arial" w:hint="default"/>
      </w:rPr>
    </w:lvl>
    <w:lvl w:ilvl="5" w:tplc="A2E00912" w:tentative="1">
      <w:start w:val="1"/>
      <w:numFmt w:val="bullet"/>
      <w:lvlText w:val="•"/>
      <w:lvlJc w:val="left"/>
      <w:pPr>
        <w:tabs>
          <w:tab w:val="num" w:pos="4320"/>
        </w:tabs>
        <w:ind w:left="4320" w:hanging="360"/>
      </w:pPr>
      <w:rPr>
        <w:rFonts w:ascii="Arial" w:hAnsi="Arial" w:hint="default"/>
      </w:rPr>
    </w:lvl>
    <w:lvl w:ilvl="6" w:tplc="6366AC48" w:tentative="1">
      <w:start w:val="1"/>
      <w:numFmt w:val="bullet"/>
      <w:lvlText w:val="•"/>
      <w:lvlJc w:val="left"/>
      <w:pPr>
        <w:tabs>
          <w:tab w:val="num" w:pos="5040"/>
        </w:tabs>
        <w:ind w:left="5040" w:hanging="360"/>
      </w:pPr>
      <w:rPr>
        <w:rFonts w:ascii="Arial" w:hAnsi="Arial" w:hint="default"/>
      </w:rPr>
    </w:lvl>
    <w:lvl w:ilvl="7" w:tplc="EB38534A" w:tentative="1">
      <w:start w:val="1"/>
      <w:numFmt w:val="bullet"/>
      <w:lvlText w:val="•"/>
      <w:lvlJc w:val="left"/>
      <w:pPr>
        <w:tabs>
          <w:tab w:val="num" w:pos="5760"/>
        </w:tabs>
        <w:ind w:left="5760" w:hanging="360"/>
      </w:pPr>
      <w:rPr>
        <w:rFonts w:ascii="Arial" w:hAnsi="Arial" w:hint="default"/>
      </w:rPr>
    </w:lvl>
    <w:lvl w:ilvl="8" w:tplc="A6406AD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363D0"/>
    <w:rsid w:val="001415B1"/>
    <w:rsid w:val="00170990"/>
    <w:rsid w:val="00171447"/>
    <w:rsid w:val="00183BCF"/>
    <w:rsid w:val="00192884"/>
    <w:rsid w:val="001C10FE"/>
    <w:rsid w:val="0020126E"/>
    <w:rsid w:val="00202C69"/>
    <w:rsid w:val="00226801"/>
    <w:rsid w:val="00236728"/>
    <w:rsid w:val="00240B13"/>
    <w:rsid w:val="0027063B"/>
    <w:rsid w:val="002A0C26"/>
    <w:rsid w:val="002A6821"/>
    <w:rsid w:val="002C32A6"/>
    <w:rsid w:val="002D1513"/>
    <w:rsid w:val="002F5BC5"/>
    <w:rsid w:val="00301CC8"/>
    <w:rsid w:val="00310F5F"/>
    <w:rsid w:val="0033504C"/>
    <w:rsid w:val="00341226"/>
    <w:rsid w:val="00343876"/>
    <w:rsid w:val="003511EF"/>
    <w:rsid w:val="0036208A"/>
    <w:rsid w:val="0037043F"/>
    <w:rsid w:val="003A4759"/>
    <w:rsid w:val="003B39A7"/>
    <w:rsid w:val="003B6C53"/>
    <w:rsid w:val="003F26D9"/>
    <w:rsid w:val="00400D7D"/>
    <w:rsid w:val="00401744"/>
    <w:rsid w:val="00405587"/>
    <w:rsid w:val="00430337"/>
    <w:rsid w:val="00440698"/>
    <w:rsid w:val="00445162"/>
    <w:rsid w:val="00445915"/>
    <w:rsid w:val="004460E6"/>
    <w:rsid w:val="004532C0"/>
    <w:rsid w:val="004666CA"/>
    <w:rsid w:val="004A2F02"/>
    <w:rsid w:val="004B34AC"/>
    <w:rsid w:val="004C40E6"/>
    <w:rsid w:val="004E39FB"/>
    <w:rsid w:val="004E619A"/>
    <w:rsid w:val="004F1970"/>
    <w:rsid w:val="005676F7"/>
    <w:rsid w:val="00570560"/>
    <w:rsid w:val="00575CAC"/>
    <w:rsid w:val="005827AF"/>
    <w:rsid w:val="0059663A"/>
    <w:rsid w:val="005A6554"/>
    <w:rsid w:val="005B389D"/>
    <w:rsid w:val="005C4AB6"/>
    <w:rsid w:val="005D6763"/>
    <w:rsid w:val="00607436"/>
    <w:rsid w:val="00613631"/>
    <w:rsid w:val="00615A3B"/>
    <w:rsid w:val="00621573"/>
    <w:rsid w:val="00625F89"/>
    <w:rsid w:val="00666324"/>
    <w:rsid w:val="00667A76"/>
    <w:rsid w:val="00692B11"/>
    <w:rsid w:val="006C1F10"/>
    <w:rsid w:val="006C21C9"/>
    <w:rsid w:val="006D7B63"/>
    <w:rsid w:val="006F297B"/>
    <w:rsid w:val="00703DBB"/>
    <w:rsid w:val="00720CC4"/>
    <w:rsid w:val="00735204"/>
    <w:rsid w:val="007A4190"/>
    <w:rsid w:val="007B3BF1"/>
    <w:rsid w:val="007D30B1"/>
    <w:rsid w:val="007D5B29"/>
    <w:rsid w:val="007F25CB"/>
    <w:rsid w:val="008015CE"/>
    <w:rsid w:val="00830D56"/>
    <w:rsid w:val="00830FC7"/>
    <w:rsid w:val="00857A1D"/>
    <w:rsid w:val="008C3C27"/>
    <w:rsid w:val="008E742B"/>
    <w:rsid w:val="009132A2"/>
    <w:rsid w:val="009434F5"/>
    <w:rsid w:val="00975403"/>
    <w:rsid w:val="00996F09"/>
    <w:rsid w:val="009B6115"/>
    <w:rsid w:val="009C2773"/>
    <w:rsid w:val="009D302C"/>
    <w:rsid w:val="009F03E8"/>
    <w:rsid w:val="00A20079"/>
    <w:rsid w:val="00A451EB"/>
    <w:rsid w:val="00A603D7"/>
    <w:rsid w:val="00A62005"/>
    <w:rsid w:val="00A666AB"/>
    <w:rsid w:val="00AE1828"/>
    <w:rsid w:val="00B06F13"/>
    <w:rsid w:val="00B10D05"/>
    <w:rsid w:val="00B378DB"/>
    <w:rsid w:val="00B63880"/>
    <w:rsid w:val="00B6783D"/>
    <w:rsid w:val="00B81D4D"/>
    <w:rsid w:val="00BA70AC"/>
    <w:rsid w:val="00BD4C53"/>
    <w:rsid w:val="00C00DC4"/>
    <w:rsid w:val="00C4444B"/>
    <w:rsid w:val="00C90C8F"/>
    <w:rsid w:val="00D13D42"/>
    <w:rsid w:val="00D34C31"/>
    <w:rsid w:val="00D6328E"/>
    <w:rsid w:val="00D713FC"/>
    <w:rsid w:val="00D81F8A"/>
    <w:rsid w:val="00D9276C"/>
    <w:rsid w:val="00D94B1F"/>
    <w:rsid w:val="00D97E99"/>
    <w:rsid w:val="00DB4F3E"/>
    <w:rsid w:val="00E07DD0"/>
    <w:rsid w:val="00E34908"/>
    <w:rsid w:val="00E67F6F"/>
    <w:rsid w:val="00EA485B"/>
    <w:rsid w:val="00EC32A3"/>
    <w:rsid w:val="00EC7F74"/>
    <w:rsid w:val="00EF5B30"/>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4666CA"/>
    <w:pPr>
      <w:spacing w:line="240" w:lineRule="auto"/>
    </w:pPr>
    <w:rPr>
      <w:i/>
      <w:iCs/>
      <w:color w:val="1F497D" w:themeColor="text2"/>
      <w:sz w:val="18"/>
      <w:szCs w:val="18"/>
    </w:rPr>
  </w:style>
  <w:style w:type="paragraph" w:styleId="ListParagraph">
    <w:name w:val="List Paragraph"/>
    <w:basedOn w:val="Normal"/>
    <w:uiPriority w:val="34"/>
    <w:qFormat/>
    <w:rsid w:val="004666CA"/>
    <w:pPr>
      <w:ind w:left="720"/>
      <w:contextualSpacing/>
    </w:pPr>
  </w:style>
  <w:style w:type="paragraph" w:styleId="Header">
    <w:name w:val="header"/>
    <w:basedOn w:val="Normal"/>
    <w:link w:val="HeaderChar"/>
    <w:uiPriority w:val="99"/>
    <w:unhideWhenUsed/>
    <w:rsid w:val="007D3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0B1"/>
  </w:style>
  <w:style w:type="paragraph" w:styleId="Footer">
    <w:name w:val="footer"/>
    <w:basedOn w:val="Normal"/>
    <w:link w:val="FooterChar"/>
    <w:uiPriority w:val="99"/>
    <w:unhideWhenUsed/>
    <w:rsid w:val="007D3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0B1"/>
  </w:style>
  <w:style w:type="paragraph" w:styleId="NoSpacing">
    <w:name w:val="No Spacing"/>
    <w:uiPriority w:val="1"/>
    <w:qFormat/>
    <w:rsid w:val="002A0C26"/>
    <w:pPr>
      <w:spacing w:after="0" w:line="240" w:lineRule="auto"/>
    </w:pPr>
  </w:style>
  <w:style w:type="paragraph" w:styleId="BalloonText">
    <w:name w:val="Balloon Text"/>
    <w:basedOn w:val="Normal"/>
    <w:link w:val="BalloonTextChar"/>
    <w:uiPriority w:val="99"/>
    <w:semiHidden/>
    <w:unhideWhenUsed/>
    <w:rsid w:val="002A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shirado.t\Documents\Tshirado.T\DATA\GHS\2016%20report\2016%20GHS%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Number</c:v>
          </c:tx>
          <c:spPr>
            <a:ln>
              <a:solidFill>
                <a:schemeClr val="tx1"/>
              </a:solidFill>
            </a:ln>
          </c:spPr>
          <c:marker>
            <c:symbol val="square"/>
            <c:size val="7"/>
            <c:spPr>
              <a:solidFill>
                <a:schemeClr val="tx1"/>
              </a:solidFill>
            </c:spPr>
          </c:marker>
          <c:cat>
            <c:numRef>
              <c:f>'out of school'!$A$26:$A$40</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'out of school'!$C$26:$C$40</c:f>
              <c:numCache>
                <c:formatCode>###\ ###\ ###</c:formatCode>
                <c:ptCount val="15"/>
                <c:pt idx="0">
                  <c:v>324575</c:v>
                </c:pt>
                <c:pt idx="1">
                  <c:v>251506</c:v>
                </c:pt>
                <c:pt idx="2">
                  <c:v>203120</c:v>
                </c:pt>
                <c:pt idx="3">
                  <c:v>200219</c:v>
                </c:pt>
                <c:pt idx="4">
                  <c:v>218843</c:v>
                </c:pt>
                <c:pt idx="5">
                  <c:v>192758</c:v>
                </c:pt>
                <c:pt idx="6">
                  <c:v>190500</c:v>
                </c:pt>
                <c:pt idx="7">
                  <c:v>139992</c:v>
                </c:pt>
                <c:pt idx="8">
                  <c:v>118526</c:v>
                </c:pt>
                <c:pt idx="9">
                  <c:v>108171</c:v>
                </c:pt>
                <c:pt idx="10">
                  <c:v>108597</c:v>
                </c:pt>
                <c:pt idx="11">
                  <c:v>112864</c:v>
                </c:pt>
                <c:pt idx="12">
                  <c:v>92631</c:v>
                </c:pt>
                <c:pt idx="13">
                  <c:v>112508</c:v>
                </c:pt>
                <c:pt idx="14">
                  <c:v>104271</c:v>
                </c:pt>
              </c:numCache>
            </c:numRef>
          </c:val>
          <c:smooth val="0"/>
        </c:ser>
        <c:dLbls>
          <c:showLegendKey val="0"/>
          <c:showVal val="0"/>
          <c:showCatName val="0"/>
          <c:showSerName val="0"/>
          <c:showPercent val="0"/>
          <c:showBubbleSize val="0"/>
        </c:dLbls>
        <c:marker val="1"/>
        <c:smooth val="0"/>
        <c:axId val="-1303160032"/>
        <c:axId val="-1303166016"/>
      </c:lineChart>
      <c:lineChart>
        <c:grouping val="standard"/>
        <c:varyColors val="0"/>
        <c:ser>
          <c:idx val="1"/>
          <c:order val="1"/>
          <c:tx>
            <c:v>Proportions</c:v>
          </c:tx>
          <c:spPr>
            <a:ln>
              <a:solidFill>
                <a:schemeClr val="bg1">
                  <a:lumMod val="50000"/>
                </a:schemeClr>
              </a:solidFill>
            </a:ln>
          </c:spPr>
          <c:marker>
            <c:spPr>
              <a:solidFill>
                <a:schemeClr val="bg1">
                  <a:lumMod val="50000"/>
                </a:schemeClr>
              </a:solidFill>
            </c:spPr>
          </c:marker>
          <c:cat>
            <c:numRef>
              <c:f>'out of school'!$A$26:$A$40</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'out of school'!$B$26:$B$40</c:f>
              <c:numCache>
                <c:formatCode>0.0</c:formatCode>
                <c:ptCount val="15"/>
                <c:pt idx="0">
                  <c:v>3.5929711000000002</c:v>
                </c:pt>
                <c:pt idx="1">
                  <c:v>2.7680376</c:v>
                </c:pt>
                <c:pt idx="2">
                  <c:v>2.1915751000000001</c:v>
                </c:pt>
                <c:pt idx="3">
                  <c:v>2.1615622000000001</c:v>
                </c:pt>
                <c:pt idx="4">
                  <c:v>2.3724417999999998</c:v>
                </c:pt>
                <c:pt idx="5">
                  <c:v>2.0750978999999998</c:v>
                </c:pt>
                <c:pt idx="6">
                  <c:v>2.0543307</c:v>
                </c:pt>
                <c:pt idx="7">
                  <c:v>1.5261901</c:v>
                </c:pt>
                <c:pt idx="8">
                  <c:v>1.31081</c:v>
                </c:pt>
                <c:pt idx="9">
                  <c:v>1.2070723000000001</c:v>
                </c:pt>
                <c:pt idx="10">
                  <c:v>1.1980468</c:v>
                </c:pt>
                <c:pt idx="11">
                  <c:v>1.2471819</c:v>
                </c:pt>
                <c:pt idx="12">
                  <c:v>1.0166192000000001</c:v>
                </c:pt>
                <c:pt idx="13">
                  <c:v>1.2158069</c:v>
                </c:pt>
                <c:pt idx="14">
                  <c:v>1.132682</c:v>
                </c:pt>
              </c:numCache>
            </c:numRef>
          </c:val>
          <c:smooth val="0"/>
        </c:ser>
        <c:dLbls>
          <c:showLegendKey val="0"/>
          <c:showVal val="0"/>
          <c:showCatName val="0"/>
          <c:showSerName val="0"/>
          <c:showPercent val="0"/>
          <c:showBubbleSize val="0"/>
        </c:dLbls>
        <c:marker val="1"/>
        <c:smooth val="0"/>
        <c:axId val="-1303155136"/>
        <c:axId val="-1303154048"/>
      </c:lineChart>
      <c:catAx>
        <c:axId val="-1303160032"/>
        <c:scaling>
          <c:orientation val="minMax"/>
        </c:scaling>
        <c:delete val="0"/>
        <c:axPos val="b"/>
        <c:numFmt formatCode="General" sourceLinked="1"/>
        <c:majorTickMark val="out"/>
        <c:minorTickMark val="none"/>
        <c:tickLblPos val="nextTo"/>
        <c:crossAx val="-1303166016"/>
        <c:crosses val="autoZero"/>
        <c:auto val="1"/>
        <c:lblAlgn val="ctr"/>
        <c:lblOffset val="100"/>
        <c:noMultiLvlLbl val="0"/>
      </c:catAx>
      <c:valAx>
        <c:axId val="-1303166016"/>
        <c:scaling>
          <c:orientation val="minMax"/>
        </c:scaling>
        <c:delete val="0"/>
        <c:axPos val="l"/>
        <c:majorGridlines/>
        <c:title>
          <c:tx>
            <c:rich>
              <a:bodyPr rot="-5400000" vert="horz"/>
              <a:lstStyle/>
              <a:p>
                <a:pPr>
                  <a:defRPr/>
                </a:pPr>
                <a:r>
                  <a:rPr lang="en-US"/>
                  <a:t>Number</a:t>
                </a:r>
              </a:p>
            </c:rich>
          </c:tx>
          <c:overlay val="0"/>
        </c:title>
        <c:numFmt formatCode="###\ ###\ ###" sourceLinked="1"/>
        <c:majorTickMark val="out"/>
        <c:minorTickMark val="none"/>
        <c:tickLblPos val="nextTo"/>
        <c:crossAx val="-1303160032"/>
        <c:crosses val="autoZero"/>
        <c:crossBetween val="between"/>
      </c:valAx>
      <c:valAx>
        <c:axId val="-1303154048"/>
        <c:scaling>
          <c:orientation val="minMax"/>
        </c:scaling>
        <c:delete val="0"/>
        <c:axPos val="r"/>
        <c:title>
          <c:tx>
            <c:rich>
              <a:bodyPr rot="-5400000" vert="horz"/>
              <a:lstStyle/>
              <a:p>
                <a:pPr>
                  <a:defRPr/>
                </a:pPr>
                <a:r>
                  <a:rPr lang="en-US"/>
                  <a:t>Percentage</a:t>
                </a:r>
              </a:p>
            </c:rich>
          </c:tx>
          <c:overlay val="0"/>
        </c:title>
        <c:numFmt formatCode="0.0" sourceLinked="1"/>
        <c:majorTickMark val="out"/>
        <c:minorTickMark val="none"/>
        <c:tickLblPos val="nextTo"/>
        <c:crossAx val="-1303155136"/>
        <c:crosses val="max"/>
        <c:crossBetween val="between"/>
      </c:valAx>
      <c:catAx>
        <c:axId val="-1303155136"/>
        <c:scaling>
          <c:orientation val="minMax"/>
        </c:scaling>
        <c:delete val="1"/>
        <c:axPos val="b"/>
        <c:numFmt formatCode="General" sourceLinked="1"/>
        <c:majorTickMark val="out"/>
        <c:minorTickMark val="none"/>
        <c:tickLblPos val="nextTo"/>
        <c:crossAx val="-1303154048"/>
        <c:crosses val="autoZero"/>
        <c:auto val="1"/>
        <c:lblAlgn val="ctr"/>
        <c:lblOffset val="100"/>
        <c:noMultiLvlLbl val="0"/>
      </c:catAx>
      <c:dTable>
        <c:showHorzBorder val="1"/>
        <c:showVertBorder val="1"/>
        <c:showOutline val="1"/>
        <c:showKeys val="1"/>
        <c:txPr>
          <a:bodyPr/>
          <a:lstStyle/>
          <a:p>
            <a:pPr rtl="0">
              <a:defRPr sz="800"/>
            </a:pPr>
            <a:endParaRPr lang="en-US"/>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Tay17</b:Tag>
    <b:SourceType>JournalArticle</b:SourceType>
    <b:Guid>{D50386D8-A140-426D-8407-E14F9CB25EA5}</b:Guid>
    <b:Title>The evolution of educational inequalities through secondary school: Evidence from a South African panel study.</b:Title>
    <b:Year>2015</b:Year>
    <b:Author>
      <b:Author>
        <b:NameList>
          <b:Person>
            <b:Last>Taylor</b:Last>
            <b:First>S</b:First>
          </b:Person>
          <b:Person>
            <b:Last>Van der Berg</b:Last>
            <b:First>S</b:First>
          </b:Person>
          <b:Person>
            <b:Last>Reddy</b:Last>
            <b:First>V</b:First>
          </b:Person>
          <b:Person>
            <b:Last>Janse van Rensburg</b:Last>
            <b:First>D</b:First>
          </b:Person>
        </b:NameList>
      </b:Author>
    </b:Author>
    <b:JournalName>Development Southern Africa</b:JournalName>
    <b:Pages>425-442</b:Pages>
    <b:Volume>32</b:Volume>
    <b:Issue>4</b:Issue>
    <b:RefOrder>11</b:RefOrder>
  </b:Source>
</b:Sources>
</file>

<file path=customXml/itemProps1.xml><?xml version="1.0" encoding="utf-8"?>
<ds:datastoreItem xmlns:ds="http://schemas.openxmlformats.org/officeDocument/2006/customXml" ds:itemID="{146ADFA3-72E4-4C97-8A10-C6EEE41C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cp:lastPrinted>2018-06-19T07:51:00Z</cp:lastPrinted>
  <dcterms:created xsi:type="dcterms:W3CDTF">2018-06-18T13:16:00Z</dcterms:created>
  <dcterms:modified xsi:type="dcterms:W3CDTF">2018-07-03T11:29:00Z</dcterms:modified>
</cp:coreProperties>
</file>