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Pr="0055122E" w:rsidRDefault="008C527F" w:rsidP="008C527F">
      <w:pPr>
        <w:pStyle w:val="BodyText"/>
        <w:rPr>
          <w:b/>
          <w:bCs/>
          <w:sz w:val="24"/>
          <w:u w:val="single"/>
          <w:lang w:val="en-ZA"/>
        </w:rPr>
      </w:pPr>
      <w:r w:rsidRPr="0034705D">
        <w:rPr>
          <w:b/>
          <w:bCs/>
          <w:sz w:val="24"/>
          <w:u w:val="single"/>
        </w:rPr>
        <w:t xml:space="preserve">QUESTION NO. </w:t>
      </w:r>
      <w:r w:rsidR="000A6EAE">
        <w:rPr>
          <w:b/>
          <w:bCs/>
          <w:sz w:val="24"/>
          <w:u w:val="single"/>
        </w:rPr>
        <w:t>20</w:t>
      </w:r>
      <w:r w:rsidR="006D5A5D">
        <w:rPr>
          <w:b/>
          <w:bCs/>
          <w:sz w:val="24"/>
          <w:u w:val="single"/>
        </w:rPr>
        <w:t>97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D5A5D">
        <w:rPr>
          <w:b/>
          <w:bCs/>
          <w:sz w:val="24"/>
          <w:u w:val="single"/>
        </w:rPr>
        <w:t>2 JUNE</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6D5A5D">
        <w:rPr>
          <w:rFonts w:ascii="Arial" w:hAnsi="Arial" w:cs="Arial"/>
          <w:b/>
          <w:bCs/>
          <w:sz w:val="24"/>
          <w:u w:val="single"/>
        </w:rPr>
        <w:t>21</w:t>
      </w:r>
      <w:r w:rsidRPr="008C527F">
        <w:rPr>
          <w:rFonts w:ascii="Arial" w:hAnsi="Arial" w:cs="Arial"/>
          <w:b/>
          <w:bCs/>
          <w:sz w:val="24"/>
          <w:u w:val="single"/>
        </w:rPr>
        <w:t>)</w:t>
      </w:r>
    </w:p>
    <w:p w:rsidR="006D5A5D" w:rsidRPr="006D5A5D" w:rsidRDefault="006D5A5D" w:rsidP="006D5A5D">
      <w:pPr>
        <w:spacing w:before="100" w:beforeAutospacing="1" w:after="100" w:afterAutospacing="1" w:line="240" w:lineRule="auto"/>
        <w:ind w:left="709" w:hanging="709"/>
        <w:jc w:val="both"/>
        <w:rPr>
          <w:rFonts w:ascii="Arial" w:hAnsi="Arial" w:cs="Arial"/>
          <w:b/>
          <w:sz w:val="24"/>
          <w:szCs w:val="24"/>
          <w:u w:val="single"/>
        </w:rPr>
      </w:pPr>
      <w:r w:rsidRPr="006D5A5D">
        <w:rPr>
          <w:rFonts w:ascii="Arial" w:hAnsi="Arial" w:cs="Arial"/>
          <w:b/>
          <w:sz w:val="24"/>
          <w:szCs w:val="24"/>
          <w:u w:val="single"/>
        </w:rPr>
        <w:t xml:space="preserve">Ms N N Chirwa (EFF) to ask </w:t>
      </w:r>
      <w:r w:rsidRPr="006D5A5D">
        <w:rPr>
          <w:rFonts w:ascii="Arial" w:hAnsi="Arial" w:cs="Arial"/>
          <w:b/>
          <w:bCs/>
          <w:sz w:val="24"/>
          <w:szCs w:val="24"/>
          <w:u w:val="single"/>
          <w:lang w:val="en-GB"/>
        </w:rPr>
        <w:t>the</w:t>
      </w:r>
      <w:r w:rsidRPr="006D5A5D">
        <w:rPr>
          <w:rFonts w:ascii="Arial" w:hAnsi="Arial" w:cs="Arial"/>
          <w:b/>
          <w:sz w:val="24"/>
          <w:szCs w:val="24"/>
          <w:u w:val="single"/>
        </w:rPr>
        <w:t xml:space="preserve"> Minister of Health</w:t>
      </w:r>
      <w:r w:rsidR="00CE60D5" w:rsidRPr="006D5A5D">
        <w:rPr>
          <w:rFonts w:ascii="Arial" w:hAnsi="Arial" w:cs="Arial"/>
          <w:b/>
          <w:sz w:val="24"/>
          <w:szCs w:val="24"/>
          <w:u w:val="single"/>
        </w:rPr>
        <w:fldChar w:fldCharType="begin"/>
      </w:r>
      <w:r w:rsidRPr="006D5A5D">
        <w:rPr>
          <w:rFonts w:ascii="Arial" w:hAnsi="Arial" w:cs="Arial"/>
          <w:u w:val="single"/>
        </w:rPr>
        <w:instrText xml:space="preserve"> XE "</w:instrText>
      </w:r>
      <w:r w:rsidRPr="006D5A5D">
        <w:rPr>
          <w:rFonts w:ascii="Arial" w:hAnsi="Arial" w:cs="Arial"/>
          <w:b/>
          <w:sz w:val="24"/>
          <w:szCs w:val="24"/>
          <w:u w:val="single"/>
        </w:rPr>
        <w:instrText>Minister of Health</w:instrText>
      </w:r>
      <w:r w:rsidRPr="006D5A5D">
        <w:rPr>
          <w:rFonts w:ascii="Arial" w:hAnsi="Arial" w:cs="Arial"/>
          <w:u w:val="single"/>
        </w:rPr>
        <w:instrText xml:space="preserve">" </w:instrText>
      </w:r>
      <w:r w:rsidR="00CE60D5" w:rsidRPr="006D5A5D">
        <w:rPr>
          <w:rFonts w:ascii="Arial" w:hAnsi="Arial" w:cs="Arial"/>
          <w:b/>
          <w:sz w:val="24"/>
          <w:szCs w:val="24"/>
          <w:u w:val="single"/>
        </w:rPr>
        <w:fldChar w:fldCharType="end"/>
      </w:r>
      <w:r w:rsidRPr="006D5A5D">
        <w:rPr>
          <w:rFonts w:ascii="Arial" w:hAnsi="Arial" w:cs="Arial"/>
          <w:b/>
          <w:sz w:val="24"/>
          <w:szCs w:val="24"/>
          <w:u w:val="single"/>
        </w:rPr>
        <w:t>:</w:t>
      </w:r>
    </w:p>
    <w:p w:rsidR="006D5A5D" w:rsidRPr="006D5A5D" w:rsidRDefault="006D5A5D" w:rsidP="006D5A5D">
      <w:pPr>
        <w:spacing w:before="100" w:beforeAutospacing="1" w:after="100" w:afterAutospacing="1" w:line="240" w:lineRule="auto"/>
        <w:ind w:left="709" w:hanging="720"/>
        <w:jc w:val="both"/>
        <w:outlineLvl w:val="0"/>
        <w:rPr>
          <w:rFonts w:ascii="Arial" w:eastAsia="Calibri" w:hAnsi="Arial" w:cs="Arial"/>
          <w:color w:val="000000"/>
          <w:sz w:val="24"/>
          <w:szCs w:val="24"/>
          <w:lang w:val="en-GB"/>
        </w:rPr>
      </w:pPr>
      <w:r w:rsidRPr="006D5A5D">
        <w:rPr>
          <w:rFonts w:ascii="Arial" w:eastAsia="Calibri" w:hAnsi="Arial" w:cs="Arial"/>
          <w:color w:val="000000"/>
          <w:sz w:val="24"/>
          <w:szCs w:val="24"/>
          <w:lang w:val="en-GB"/>
        </w:rPr>
        <w:t>(1)</w:t>
      </w:r>
      <w:r w:rsidRPr="006D5A5D">
        <w:rPr>
          <w:rFonts w:ascii="Arial" w:eastAsia="Calibri" w:hAnsi="Arial" w:cs="Arial"/>
          <w:color w:val="000000"/>
          <w:sz w:val="24"/>
          <w:szCs w:val="24"/>
          <w:lang w:val="en-GB"/>
        </w:rPr>
        <w:tab/>
        <w:t xml:space="preserve">What total </w:t>
      </w:r>
      <w:r w:rsidRPr="006D5A5D">
        <w:rPr>
          <w:rFonts w:ascii="Arial" w:hAnsi="Arial" w:cs="Arial"/>
          <w:sz w:val="24"/>
          <w:szCs w:val="24"/>
          <w:lang w:val="en-US"/>
        </w:rPr>
        <w:t>number</w:t>
      </w:r>
      <w:r w:rsidRPr="006D5A5D">
        <w:rPr>
          <w:rFonts w:ascii="Arial" w:eastAsia="Calibri" w:hAnsi="Arial" w:cs="Arial"/>
          <w:color w:val="000000"/>
          <w:sz w:val="24"/>
          <w:szCs w:val="24"/>
          <w:lang w:val="en-GB"/>
        </w:rPr>
        <w:t xml:space="preserve"> of COVID-19 vaccines have been administered since 1 January 2020;</w:t>
      </w:r>
    </w:p>
    <w:p w:rsidR="006D5A5D" w:rsidRPr="006D5A5D" w:rsidRDefault="006D5A5D" w:rsidP="006D5A5D">
      <w:pPr>
        <w:spacing w:before="100" w:beforeAutospacing="1" w:after="100" w:afterAutospacing="1" w:line="240" w:lineRule="auto"/>
        <w:ind w:left="709" w:hanging="720"/>
        <w:jc w:val="both"/>
        <w:outlineLvl w:val="0"/>
        <w:rPr>
          <w:rFonts w:ascii="Arial" w:eastAsia="Calibri" w:hAnsi="Arial" w:cs="Arial"/>
          <w:color w:val="000000"/>
          <w:sz w:val="24"/>
          <w:szCs w:val="24"/>
          <w:lang w:val="en-GB"/>
        </w:rPr>
      </w:pPr>
      <w:r w:rsidRPr="006D5A5D">
        <w:rPr>
          <w:rFonts w:ascii="Arial" w:eastAsia="Calibri" w:hAnsi="Arial" w:cs="Arial"/>
          <w:color w:val="000000"/>
          <w:sz w:val="24"/>
          <w:szCs w:val="24"/>
          <w:lang w:val="en-GB"/>
        </w:rPr>
        <w:t>(2)</w:t>
      </w:r>
      <w:r w:rsidRPr="006D5A5D">
        <w:rPr>
          <w:rFonts w:ascii="Arial" w:eastAsia="Calibri" w:hAnsi="Arial" w:cs="Arial"/>
          <w:color w:val="000000"/>
          <w:sz w:val="24"/>
          <w:szCs w:val="24"/>
          <w:lang w:val="en-GB"/>
        </w:rPr>
        <w:tab/>
        <w:t xml:space="preserve">whether </w:t>
      </w:r>
      <w:r w:rsidRPr="006D5A5D">
        <w:rPr>
          <w:rFonts w:ascii="Arial" w:hAnsi="Arial" w:cs="Arial"/>
          <w:sz w:val="24"/>
          <w:szCs w:val="24"/>
          <w:lang w:val="en-US"/>
        </w:rPr>
        <w:t>there</w:t>
      </w:r>
      <w:r w:rsidRPr="006D5A5D">
        <w:rPr>
          <w:rFonts w:ascii="Arial" w:eastAsia="Calibri" w:hAnsi="Arial" w:cs="Arial"/>
          <w:color w:val="000000"/>
          <w:sz w:val="24"/>
          <w:szCs w:val="24"/>
          <w:lang w:val="en-GB"/>
        </w:rPr>
        <w:t xml:space="preserve"> has been any fatal adverse effects; if not, what is the position in this regard; if so, what </w:t>
      </w:r>
      <w:r w:rsidRPr="006D5A5D">
        <w:rPr>
          <w:rFonts w:ascii="Arial" w:eastAsia="Calibri" w:hAnsi="Arial" w:cs="Arial"/>
          <w:bCs/>
          <w:sz w:val="24"/>
          <w:szCs w:val="24"/>
          <w:lang w:val="en-GB"/>
        </w:rPr>
        <w:t>were</w:t>
      </w:r>
      <w:r w:rsidRPr="006D5A5D">
        <w:rPr>
          <w:rFonts w:ascii="Arial" w:eastAsia="Calibri" w:hAnsi="Arial" w:cs="Arial"/>
          <w:color w:val="000000"/>
          <w:sz w:val="24"/>
          <w:szCs w:val="24"/>
          <w:lang w:val="en-GB"/>
        </w:rPr>
        <w:t xml:space="preserve"> the common adverse effects;</w:t>
      </w:r>
    </w:p>
    <w:p w:rsidR="002C2A10" w:rsidRPr="00ED5268" w:rsidRDefault="006D5A5D" w:rsidP="006D5A5D">
      <w:pPr>
        <w:spacing w:before="100" w:beforeAutospacing="1" w:after="100" w:afterAutospacing="1" w:line="240" w:lineRule="auto"/>
        <w:ind w:left="709" w:hanging="709"/>
        <w:jc w:val="both"/>
        <w:rPr>
          <w:rFonts w:ascii="Times New Roman" w:hAnsi="Times New Roman" w:cs="Times New Roman"/>
          <w:sz w:val="20"/>
          <w:szCs w:val="20"/>
        </w:rPr>
      </w:pPr>
      <w:r w:rsidRPr="006D5A5D">
        <w:rPr>
          <w:rFonts w:ascii="Arial" w:eastAsia="Calibri" w:hAnsi="Arial" w:cs="Arial"/>
          <w:color w:val="000000"/>
          <w:sz w:val="24"/>
          <w:szCs w:val="24"/>
          <w:lang w:val="en-GB"/>
        </w:rPr>
        <w:t>(3)</w:t>
      </w:r>
      <w:r w:rsidRPr="006D5A5D">
        <w:rPr>
          <w:rFonts w:ascii="Arial" w:eastAsia="Calibri" w:hAnsi="Arial" w:cs="Arial"/>
          <w:color w:val="000000"/>
          <w:sz w:val="24"/>
          <w:szCs w:val="24"/>
          <w:lang w:val="en-GB"/>
        </w:rPr>
        <w:tab/>
        <w:t xml:space="preserve">(a) how (i) accessible are the processes of reporting adverse effects and (ii) does his department </w:t>
      </w:r>
      <w:r w:rsidRPr="006D5A5D">
        <w:rPr>
          <w:rFonts w:ascii="Arial" w:hAnsi="Arial" w:cs="Arial"/>
          <w:noProof/>
          <w:sz w:val="24"/>
          <w:szCs w:val="24"/>
          <w:lang w:val="af-ZA"/>
        </w:rPr>
        <w:t>ensure</w:t>
      </w:r>
      <w:r w:rsidRPr="006D5A5D">
        <w:rPr>
          <w:rFonts w:ascii="Arial" w:eastAsia="Calibri" w:hAnsi="Arial" w:cs="Arial"/>
          <w:color w:val="000000"/>
          <w:sz w:val="24"/>
          <w:szCs w:val="24"/>
          <w:lang w:val="en-GB"/>
        </w:rPr>
        <w:t xml:space="preserve"> that the public knows how to report such adverse effects and (b) what total number of the reported cases were investigated</w:t>
      </w:r>
      <w:r w:rsidRPr="006D5A5D">
        <w:rPr>
          <w:rFonts w:ascii="Arial" w:eastAsia="Calibri" w:hAnsi="Arial" w:cs="Arial"/>
          <w:bCs/>
          <w:sz w:val="24"/>
          <w:szCs w:val="24"/>
          <w:lang w:val="en-GB"/>
        </w:rPr>
        <w:t>?</w:t>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Pr>
          <w:rFonts w:ascii="Times New Roman" w:eastAsia="Calibri" w:hAnsi="Times New Roman" w:cs="Times New Roman"/>
          <w:bCs/>
          <w:sz w:val="24"/>
          <w:szCs w:val="24"/>
          <w:lang w:val="en-GB"/>
        </w:rPr>
        <w:tab/>
      </w:r>
      <w:r w:rsidR="008C527F" w:rsidRPr="0020357C">
        <w:rPr>
          <w:rFonts w:ascii="Arial" w:hAnsi="Arial" w:cs="Arial"/>
          <w:b/>
          <w:bCs/>
          <w:sz w:val="12"/>
          <w:szCs w:val="12"/>
        </w:rPr>
        <w:t>NW</w:t>
      </w:r>
      <w:r w:rsidR="005B5E78">
        <w:rPr>
          <w:rFonts w:ascii="Arial" w:hAnsi="Arial" w:cs="Arial"/>
          <w:b/>
          <w:bCs/>
          <w:sz w:val="12"/>
          <w:szCs w:val="12"/>
        </w:rPr>
        <w:t>2</w:t>
      </w:r>
      <w:r>
        <w:rPr>
          <w:rFonts w:ascii="Arial" w:hAnsi="Arial" w:cs="Arial"/>
          <w:b/>
          <w:bCs/>
          <w:sz w:val="12"/>
          <w:szCs w:val="12"/>
        </w:rPr>
        <w:t>237</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2F2254" w:rsidRDefault="002F2254" w:rsidP="002F2254">
      <w:pPr>
        <w:pStyle w:val="ListParagraph"/>
        <w:numPr>
          <w:ilvl w:val="0"/>
          <w:numId w:val="36"/>
        </w:numPr>
        <w:spacing w:after="0" w:line="276" w:lineRule="auto"/>
        <w:ind w:hanging="720"/>
        <w:jc w:val="both"/>
        <w:rPr>
          <w:rFonts w:ascii="Arial" w:hAnsi="Arial" w:cs="Arial"/>
          <w:bCs/>
          <w:sz w:val="24"/>
          <w:szCs w:val="24"/>
          <w:lang w:val="en-US"/>
        </w:rPr>
      </w:pPr>
      <w:r w:rsidRPr="002F2254">
        <w:rPr>
          <w:rFonts w:ascii="Arial" w:hAnsi="Arial" w:cs="Arial"/>
          <w:bCs/>
          <w:sz w:val="24"/>
          <w:szCs w:val="24"/>
          <w:lang w:val="en-US"/>
        </w:rPr>
        <w:t>The COVID 19 Vaccination programme started on 17 February 2021.  According to the Electronic Vaccination Data System the total number of COVID 19 vaccines administered for the period 17 February 2021 and 5 June 2023 are 38 977</w:t>
      </w:r>
      <w:r>
        <w:rPr>
          <w:rFonts w:ascii="Arial" w:hAnsi="Arial" w:cs="Arial"/>
          <w:bCs/>
          <w:sz w:val="24"/>
          <w:szCs w:val="24"/>
          <w:lang w:val="en-US"/>
        </w:rPr>
        <w:t> </w:t>
      </w:r>
      <w:r w:rsidRPr="002F2254">
        <w:rPr>
          <w:rFonts w:ascii="Arial" w:hAnsi="Arial" w:cs="Arial"/>
          <w:bCs/>
          <w:sz w:val="24"/>
          <w:szCs w:val="24"/>
          <w:lang w:val="en-US"/>
        </w:rPr>
        <w:t>115.</w:t>
      </w:r>
    </w:p>
    <w:p w:rsidR="002F2254" w:rsidRDefault="002F2254" w:rsidP="002F2254">
      <w:pPr>
        <w:pStyle w:val="ListParagraph"/>
        <w:spacing w:after="0" w:line="276" w:lineRule="auto"/>
        <w:jc w:val="both"/>
        <w:rPr>
          <w:rFonts w:ascii="Arial" w:hAnsi="Arial" w:cs="Arial"/>
          <w:bCs/>
          <w:sz w:val="24"/>
          <w:szCs w:val="24"/>
          <w:lang w:val="en-US"/>
        </w:rPr>
      </w:pPr>
    </w:p>
    <w:p w:rsidR="002F2254" w:rsidRPr="002F2254" w:rsidRDefault="002F2254" w:rsidP="002F2254">
      <w:pPr>
        <w:pStyle w:val="ListParagraph"/>
        <w:numPr>
          <w:ilvl w:val="0"/>
          <w:numId w:val="36"/>
        </w:numPr>
        <w:spacing w:after="0" w:line="276" w:lineRule="auto"/>
        <w:ind w:hanging="720"/>
        <w:jc w:val="both"/>
        <w:rPr>
          <w:rFonts w:ascii="Arial" w:hAnsi="Arial" w:cs="Arial"/>
          <w:bCs/>
          <w:sz w:val="24"/>
          <w:szCs w:val="24"/>
          <w:lang w:val="en-US"/>
        </w:rPr>
      </w:pPr>
      <w:r w:rsidRPr="002F2254">
        <w:rPr>
          <w:rFonts w:ascii="Arial" w:hAnsi="Arial" w:cs="Arial"/>
          <w:sz w:val="24"/>
          <w:szCs w:val="24"/>
        </w:rPr>
        <w:t>Yes, three deaths resulting from Guillain Barre Syndrome (GBS) following administration of the Janssen COVID-19 vaccine have been causality linked to the vaccine. The common adverse events following immunisation include</w:t>
      </w:r>
      <w:r w:rsidRPr="002F2254">
        <w:rPr>
          <w:rFonts w:ascii="Arial" w:hAnsi="Arial" w:cs="Arial"/>
          <w:strike/>
          <w:sz w:val="24"/>
          <w:szCs w:val="24"/>
        </w:rPr>
        <w:t xml:space="preserve">s </w:t>
      </w:r>
      <w:r w:rsidRPr="002F2254">
        <w:rPr>
          <w:rFonts w:ascii="Arial" w:hAnsi="Arial" w:cs="Arial"/>
          <w:sz w:val="24"/>
          <w:szCs w:val="24"/>
        </w:rPr>
        <w:t>fever, pain at the injection site, pain, nausea, local reaction, headache, fatigue, dizziness and chest pain.</w:t>
      </w:r>
    </w:p>
    <w:p w:rsidR="002F2254" w:rsidRPr="002F2254" w:rsidRDefault="002F2254" w:rsidP="002F2254">
      <w:pPr>
        <w:pStyle w:val="ListParagraph"/>
        <w:rPr>
          <w:rFonts w:ascii="Arial" w:hAnsi="Arial" w:cs="Arial"/>
          <w:bCs/>
          <w:sz w:val="24"/>
          <w:szCs w:val="24"/>
          <w:lang w:val="en-US"/>
        </w:rPr>
      </w:pPr>
    </w:p>
    <w:p w:rsidR="002F2254" w:rsidRPr="002F2254" w:rsidRDefault="002F2254" w:rsidP="002F2254">
      <w:pPr>
        <w:pStyle w:val="ListParagraph"/>
        <w:numPr>
          <w:ilvl w:val="0"/>
          <w:numId w:val="36"/>
        </w:numPr>
        <w:tabs>
          <w:tab w:val="left" w:pos="709"/>
        </w:tabs>
        <w:spacing w:after="0" w:line="276" w:lineRule="auto"/>
        <w:ind w:left="1418" w:hanging="1418"/>
        <w:jc w:val="both"/>
        <w:rPr>
          <w:rFonts w:ascii="Arial" w:hAnsi="Arial" w:cs="Arial"/>
          <w:bCs/>
          <w:sz w:val="24"/>
          <w:szCs w:val="24"/>
          <w:lang w:val="en-US"/>
        </w:rPr>
      </w:pPr>
      <w:r w:rsidRPr="002F2254">
        <w:rPr>
          <w:rFonts w:ascii="Arial" w:hAnsi="Arial" w:cs="Arial"/>
          <w:sz w:val="24"/>
          <w:szCs w:val="24"/>
        </w:rPr>
        <w:t>(a)</w:t>
      </w:r>
      <w:r w:rsidRPr="002F2254">
        <w:rPr>
          <w:rFonts w:ascii="Arial" w:hAnsi="Arial" w:cs="Arial"/>
          <w:sz w:val="24"/>
          <w:szCs w:val="24"/>
        </w:rPr>
        <w:tab/>
        <w:t xml:space="preserve">An adverse event following immunisation (AEFI) can be reported three ways a) on the MedSafety app b) at any private or public health facility on the MedSafety app or on a paper-based form emailed to </w:t>
      </w:r>
      <w:hyperlink r:id="rId7" w:history="1">
        <w:r w:rsidRPr="002F2254">
          <w:rPr>
            <w:rStyle w:val="Hyperlink"/>
            <w:rFonts w:ascii="Arial" w:hAnsi="Arial" w:cs="Arial"/>
            <w:color w:val="2E74B5" w:themeColor="accent5" w:themeShade="BF"/>
            <w:sz w:val="24"/>
            <w:szCs w:val="24"/>
          </w:rPr>
          <w:t>AEFI@health.gov.za</w:t>
        </w:r>
      </w:hyperlink>
      <w:r w:rsidRPr="002F2254">
        <w:rPr>
          <w:rFonts w:ascii="Arial" w:hAnsi="Arial" w:cs="Arial"/>
          <w:sz w:val="24"/>
          <w:szCs w:val="24"/>
        </w:rPr>
        <w:t xml:space="preserve">  c) on the COVID-19 hotline (now the National Health Hotline). The NDoH in collaboration with SAHPRA has widely communicated to the public how to report AEFI, including on social media, training of health care workers and on various webinars/media engagements. Only serious and severe AEFI are investigated; 3075 clinically significant AEFI have been reported and the investigations are either underway or concluded. It should be noted that the majority of AEFI are found to be related in time, but not causally linked, to immunisation.</w:t>
      </w:r>
    </w:p>
    <w:p w:rsidR="002F2254" w:rsidRPr="008A622C" w:rsidRDefault="002F2254" w:rsidP="002F2254">
      <w:pPr>
        <w:pStyle w:val="ListParagraph"/>
        <w:spacing w:before="100" w:beforeAutospacing="1" w:after="100" w:afterAutospacing="1"/>
        <w:jc w:val="both"/>
        <w:outlineLvl w:val="0"/>
        <w:rPr>
          <w:rFonts w:ascii="Arial" w:hAnsi="Arial" w:cs="Arial"/>
          <w:sz w:val="24"/>
          <w:szCs w:val="24"/>
        </w:rPr>
      </w:pPr>
    </w:p>
    <w:p w:rsidR="002F2254" w:rsidRPr="008A622C" w:rsidRDefault="002F2254" w:rsidP="002F2254">
      <w:pPr>
        <w:pStyle w:val="ListParagraph"/>
        <w:spacing w:before="100" w:beforeAutospacing="1" w:after="100" w:afterAutospacing="1"/>
        <w:ind w:left="1418" w:hanging="709"/>
        <w:jc w:val="both"/>
        <w:outlineLvl w:val="0"/>
        <w:rPr>
          <w:rFonts w:ascii="Arial" w:hAnsi="Arial" w:cs="Arial"/>
          <w:sz w:val="24"/>
          <w:szCs w:val="24"/>
        </w:rPr>
      </w:pPr>
      <w:r w:rsidRPr="008A622C">
        <w:rPr>
          <w:rFonts w:ascii="Arial" w:hAnsi="Arial" w:cs="Arial"/>
          <w:sz w:val="24"/>
          <w:szCs w:val="24"/>
        </w:rPr>
        <w:t>(b)</w:t>
      </w:r>
      <w:r w:rsidRPr="008A622C">
        <w:rPr>
          <w:rFonts w:ascii="Arial" w:hAnsi="Arial" w:cs="Arial"/>
          <w:sz w:val="24"/>
          <w:szCs w:val="24"/>
        </w:rPr>
        <w:tab/>
        <w:t>A total of 49 claims have been received by the Covid-19 Vaccine Injury No Fault Compensation Scheme.  All the claims have been adjudicated by the Adjudication Panel and finalised.</w:t>
      </w:r>
    </w:p>
    <w:p w:rsidR="002F2254" w:rsidRDefault="002F2254" w:rsidP="002F2254">
      <w:pPr>
        <w:pStyle w:val="ListParagraph"/>
        <w:rPr>
          <w:rFonts w:ascii="Arial" w:hAnsi="Arial" w:cs="Arial"/>
          <w:sz w:val="24"/>
          <w:szCs w:val="24"/>
        </w:rPr>
      </w:pPr>
    </w:p>
    <w:p w:rsidR="002F2254" w:rsidRPr="008A622C" w:rsidRDefault="002F2254" w:rsidP="002F2254">
      <w:pPr>
        <w:pStyle w:val="ListParagraph"/>
        <w:rPr>
          <w:rFonts w:ascii="Arial" w:hAnsi="Arial" w:cs="Arial"/>
          <w:sz w:val="24"/>
          <w:szCs w:val="24"/>
        </w:rPr>
      </w:pPr>
    </w:p>
    <w:p w:rsidR="002F2254" w:rsidRPr="008A622C" w:rsidRDefault="002F2254" w:rsidP="002F2254">
      <w:pPr>
        <w:pStyle w:val="ListParagraph"/>
        <w:ind w:left="993"/>
        <w:rPr>
          <w:rFonts w:ascii="Arial" w:hAnsi="Arial" w:cs="Arial"/>
          <w:sz w:val="24"/>
          <w:szCs w:val="24"/>
        </w:rPr>
      </w:pPr>
      <w:r w:rsidRPr="008A622C">
        <w:rPr>
          <w:rFonts w:ascii="Arial" w:hAnsi="Arial" w:cs="Arial"/>
          <w:sz w:val="24"/>
          <w:szCs w:val="24"/>
        </w:rPr>
        <w:t>Breakdown:</w:t>
      </w:r>
    </w:p>
    <w:tbl>
      <w:tblPr>
        <w:tblStyle w:val="TableGrid"/>
        <w:tblW w:w="0" w:type="auto"/>
        <w:tblInd w:w="988" w:type="dxa"/>
        <w:tblLook w:val="04A0"/>
      </w:tblPr>
      <w:tblGrid>
        <w:gridCol w:w="5431"/>
        <w:gridCol w:w="1743"/>
        <w:gridCol w:w="1975"/>
      </w:tblGrid>
      <w:tr w:rsidR="002F2254" w:rsidTr="00316C82">
        <w:tc>
          <w:tcPr>
            <w:tcW w:w="5670" w:type="dxa"/>
            <w:tcBorders>
              <w:top w:val="single" w:sz="4" w:space="0" w:color="auto"/>
              <w:left w:val="single" w:sz="4" w:space="0" w:color="auto"/>
              <w:bottom w:val="single" w:sz="4" w:space="0" w:color="auto"/>
              <w:right w:val="single" w:sz="4" w:space="0" w:color="auto"/>
            </w:tcBorders>
            <w:hideMark/>
          </w:tcPr>
          <w:p w:rsidR="002F2254" w:rsidRPr="00871507" w:rsidRDefault="002F2254" w:rsidP="002F2254">
            <w:pPr>
              <w:rPr>
                <w:rFonts w:ascii="Arial" w:hAnsi="Arial" w:cs="Arial"/>
                <w:sz w:val="24"/>
                <w:szCs w:val="24"/>
              </w:rPr>
            </w:pPr>
            <w:r w:rsidRPr="00871507">
              <w:rPr>
                <w:rFonts w:ascii="Arial" w:hAnsi="Arial" w:cs="Arial"/>
                <w:sz w:val="24"/>
                <w:szCs w:val="24"/>
              </w:rPr>
              <w:t xml:space="preserve">Claims – No evidence of temporary or permanent disability </w:t>
            </w:r>
          </w:p>
        </w:tc>
        <w:tc>
          <w:tcPr>
            <w:tcW w:w="757"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ind w:left="993" w:right="267"/>
              <w:jc w:val="right"/>
              <w:rPr>
                <w:rFonts w:ascii="Arial" w:hAnsi="Arial" w:cs="Arial"/>
                <w:sz w:val="24"/>
                <w:szCs w:val="24"/>
              </w:rPr>
            </w:pPr>
            <w:r w:rsidRPr="00871507">
              <w:rPr>
                <w:rFonts w:ascii="Arial" w:hAnsi="Arial" w:cs="Arial"/>
                <w:sz w:val="24"/>
                <w:szCs w:val="24"/>
              </w:rPr>
              <w:t>30</w:t>
            </w:r>
          </w:p>
        </w:tc>
        <w:tc>
          <w:tcPr>
            <w:tcW w:w="1716"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tabs>
                <w:tab w:val="left" w:pos="0"/>
              </w:tabs>
              <w:ind w:left="993" w:right="125"/>
              <w:jc w:val="right"/>
              <w:rPr>
                <w:rFonts w:ascii="Arial" w:hAnsi="Arial" w:cs="Arial"/>
                <w:sz w:val="24"/>
                <w:szCs w:val="24"/>
              </w:rPr>
            </w:pPr>
            <w:r w:rsidRPr="00871507">
              <w:rPr>
                <w:rFonts w:ascii="Arial" w:hAnsi="Arial" w:cs="Arial"/>
                <w:sz w:val="24"/>
                <w:szCs w:val="24"/>
              </w:rPr>
              <w:t>R0.00</w:t>
            </w:r>
          </w:p>
        </w:tc>
      </w:tr>
      <w:tr w:rsidR="002F2254" w:rsidTr="00316C82">
        <w:tc>
          <w:tcPr>
            <w:tcW w:w="5670"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rPr>
                <w:rFonts w:ascii="Arial" w:hAnsi="Arial" w:cs="Arial"/>
                <w:sz w:val="24"/>
                <w:szCs w:val="24"/>
              </w:rPr>
            </w:pPr>
            <w:r w:rsidRPr="00871507">
              <w:rPr>
                <w:rFonts w:ascii="Arial" w:hAnsi="Arial" w:cs="Arial"/>
                <w:sz w:val="24"/>
                <w:szCs w:val="24"/>
              </w:rPr>
              <w:t xml:space="preserve">Claims – Death benefit (R150,000.00) each </w:t>
            </w:r>
          </w:p>
        </w:tc>
        <w:tc>
          <w:tcPr>
            <w:tcW w:w="757"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ind w:right="267"/>
              <w:jc w:val="right"/>
              <w:rPr>
                <w:rFonts w:ascii="Arial" w:hAnsi="Arial" w:cs="Arial"/>
                <w:sz w:val="24"/>
                <w:szCs w:val="24"/>
              </w:rPr>
            </w:pPr>
            <w:r w:rsidRPr="00871507">
              <w:rPr>
                <w:rFonts w:ascii="Arial" w:hAnsi="Arial" w:cs="Arial"/>
                <w:sz w:val="24"/>
                <w:szCs w:val="24"/>
              </w:rPr>
              <w:t>3</w:t>
            </w:r>
          </w:p>
        </w:tc>
        <w:tc>
          <w:tcPr>
            <w:tcW w:w="1716"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tabs>
                <w:tab w:val="left" w:pos="0"/>
              </w:tabs>
              <w:ind w:right="125"/>
              <w:jc w:val="right"/>
              <w:rPr>
                <w:rFonts w:ascii="Arial" w:hAnsi="Arial" w:cs="Arial"/>
                <w:sz w:val="24"/>
                <w:szCs w:val="24"/>
              </w:rPr>
            </w:pPr>
            <w:r w:rsidRPr="00871507">
              <w:rPr>
                <w:rFonts w:ascii="Arial" w:hAnsi="Arial" w:cs="Arial"/>
                <w:sz w:val="24"/>
                <w:szCs w:val="24"/>
              </w:rPr>
              <w:t>R450,000.00</w:t>
            </w:r>
          </w:p>
        </w:tc>
      </w:tr>
      <w:tr w:rsidR="002F2254" w:rsidTr="00316C82">
        <w:tc>
          <w:tcPr>
            <w:tcW w:w="5670"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rPr>
                <w:rFonts w:ascii="Arial" w:hAnsi="Arial" w:cs="Arial"/>
                <w:sz w:val="24"/>
                <w:szCs w:val="24"/>
              </w:rPr>
            </w:pPr>
            <w:r w:rsidRPr="00871507">
              <w:rPr>
                <w:rFonts w:ascii="Arial" w:hAnsi="Arial" w:cs="Arial"/>
                <w:sz w:val="24"/>
                <w:szCs w:val="24"/>
              </w:rPr>
              <w:t xml:space="preserve">Claim – Permanent Disability </w:t>
            </w:r>
          </w:p>
        </w:tc>
        <w:tc>
          <w:tcPr>
            <w:tcW w:w="757"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ind w:right="267"/>
              <w:jc w:val="right"/>
              <w:rPr>
                <w:rFonts w:ascii="Arial" w:hAnsi="Arial" w:cs="Arial"/>
                <w:sz w:val="24"/>
                <w:szCs w:val="24"/>
              </w:rPr>
            </w:pPr>
            <w:r w:rsidRPr="00871507">
              <w:rPr>
                <w:rFonts w:ascii="Arial" w:hAnsi="Arial" w:cs="Arial"/>
                <w:sz w:val="24"/>
                <w:szCs w:val="24"/>
              </w:rPr>
              <w:t>1</w:t>
            </w:r>
          </w:p>
        </w:tc>
        <w:tc>
          <w:tcPr>
            <w:tcW w:w="1716"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tabs>
                <w:tab w:val="left" w:pos="0"/>
              </w:tabs>
              <w:ind w:right="125"/>
              <w:jc w:val="right"/>
              <w:rPr>
                <w:rFonts w:ascii="Arial" w:hAnsi="Arial" w:cs="Arial"/>
                <w:sz w:val="24"/>
                <w:szCs w:val="24"/>
              </w:rPr>
            </w:pPr>
            <w:r w:rsidRPr="00871507">
              <w:rPr>
                <w:rFonts w:ascii="Arial" w:hAnsi="Arial" w:cs="Arial"/>
                <w:sz w:val="24"/>
                <w:szCs w:val="24"/>
              </w:rPr>
              <w:t>R171,000.00</w:t>
            </w:r>
          </w:p>
        </w:tc>
      </w:tr>
      <w:tr w:rsidR="002F2254" w:rsidTr="00316C82">
        <w:tc>
          <w:tcPr>
            <w:tcW w:w="5670"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rPr>
                <w:rFonts w:ascii="Arial" w:hAnsi="Arial" w:cs="Arial"/>
                <w:sz w:val="24"/>
                <w:szCs w:val="24"/>
              </w:rPr>
            </w:pPr>
            <w:r w:rsidRPr="00871507">
              <w:rPr>
                <w:rFonts w:ascii="Arial" w:hAnsi="Arial" w:cs="Arial"/>
                <w:sz w:val="24"/>
                <w:szCs w:val="24"/>
              </w:rPr>
              <w:t xml:space="preserve">Claims – Temporary Disability </w:t>
            </w:r>
          </w:p>
        </w:tc>
        <w:tc>
          <w:tcPr>
            <w:tcW w:w="757"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ind w:right="267"/>
              <w:jc w:val="right"/>
              <w:rPr>
                <w:rFonts w:ascii="Arial" w:hAnsi="Arial" w:cs="Arial"/>
                <w:sz w:val="24"/>
                <w:szCs w:val="24"/>
              </w:rPr>
            </w:pPr>
            <w:r w:rsidRPr="00871507">
              <w:rPr>
                <w:rFonts w:ascii="Arial" w:hAnsi="Arial" w:cs="Arial"/>
                <w:sz w:val="24"/>
                <w:szCs w:val="24"/>
              </w:rPr>
              <w:t>2</w:t>
            </w:r>
          </w:p>
        </w:tc>
        <w:tc>
          <w:tcPr>
            <w:tcW w:w="1716"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tabs>
                <w:tab w:val="left" w:pos="0"/>
              </w:tabs>
              <w:ind w:right="125"/>
              <w:jc w:val="right"/>
              <w:rPr>
                <w:rFonts w:ascii="Arial" w:hAnsi="Arial" w:cs="Arial"/>
                <w:sz w:val="24"/>
                <w:szCs w:val="24"/>
              </w:rPr>
            </w:pPr>
            <w:r w:rsidRPr="00871507">
              <w:rPr>
                <w:rFonts w:ascii="Arial" w:hAnsi="Arial" w:cs="Arial"/>
                <w:sz w:val="24"/>
                <w:szCs w:val="24"/>
              </w:rPr>
              <w:t>R45,000.00</w:t>
            </w:r>
          </w:p>
        </w:tc>
      </w:tr>
      <w:tr w:rsidR="002F2254" w:rsidTr="00316C82">
        <w:tc>
          <w:tcPr>
            <w:tcW w:w="5670"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rPr>
                <w:rFonts w:ascii="Arial" w:hAnsi="Arial" w:cs="Arial"/>
                <w:sz w:val="24"/>
                <w:szCs w:val="24"/>
              </w:rPr>
            </w:pPr>
            <w:r w:rsidRPr="00871507">
              <w:rPr>
                <w:rFonts w:ascii="Arial" w:hAnsi="Arial" w:cs="Arial"/>
                <w:sz w:val="24"/>
                <w:szCs w:val="24"/>
              </w:rPr>
              <w:t xml:space="preserve">Claim – Private Doctor consultation </w:t>
            </w:r>
          </w:p>
        </w:tc>
        <w:tc>
          <w:tcPr>
            <w:tcW w:w="757"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ind w:right="267"/>
              <w:jc w:val="right"/>
              <w:rPr>
                <w:rFonts w:ascii="Arial" w:hAnsi="Arial" w:cs="Arial"/>
                <w:sz w:val="24"/>
                <w:szCs w:val="24"/>
              </w:rPr>
            </w:pPr>
            <w:r w:rsidRPr="00871507">
              <w:rPr>
                <w:rFonts w:ascii="Arial" w:hAnsi="Arial" w:cs="Arial"/>
                <w:sz w:val="24"/>
                <w:szCs w:val="24"/>
              </w:rPr>
              <w:t>1</w:t>
            </w:r>
          </w:p>
        </w:tc>
        <w:tc>
          <w:tcPr>
            <w:tcW w:w="1716"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tabs>
                <w:tab w:val="left" w:pos="0"/>
              </w:tabs>
              <w:ind w:right="125"/>
              <w:jc w:val="right"/>
              <w:rPr>
                <w:rFonts w:ascii="Arial" w:hAnsi="Arial" w:cs="Arial"/>
                <w:sz w:val="24"/>
                <w:szCs w:val="24"/>
              </w:rPr>
            </w:pPr>
            <w:r w:rsidRPr="00871507">
              <w:rPr>
                <w:rFonts w:ascii="Arial" w:hAnsi="Arial" w:cs="Arial"/>
                <w:sz w:val="24"/>
                <w:szCs w:val="24"/>
              </w:rPr>
              <w:t>R5,600.00</w:t>
            </w:r>
          </w:p>
        </w:tc>
      </w:tr>
      <w:tr w:rsidR="002F2254" w:rsidTr="00316C82">
        <w:tc>
          <w:tcPr>
            <w:tcW w:w="5670"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rPr>
                <w:rFonts w:ascii="Arial" w:hAnsi="Arial" w:cs="Arial"/>
                <w:sz w:val="24"/>
                <w:szCs w:val="24"/>
              </w:rPr>
            </w:pPr>
            <w:r w:rsidRPr="00871507">
              <w:rPr>
                <w:rFonts w:ascii="Arial" w:hAnsi="Arial" w:cs="Arial"/>
                <w:sz w:val="24"/>
                <w:szCs w:val="24"/>
              </w:rPr>
              <w:t>Claims – re-directed to Sisonke Trial – vaccinate before 17 May 2021</w:t>
            </w:r>
          </w:p>
        </w:tc>
        <w:tc>
          <w:tcPr>
            <w:tcW w:w="757"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ind w:right="267"/>
              <w:jc w:val="right"/>
              <w:rPr>
                <w:rFonts w:ascii="Arial" w:hAnsi="Arial" w:cs="Arial"/>
                <w:sz w:val="24"/>
                <w:szCs w:val="24"/>
              </w:rPr>
            </w:pPr>
            <w:r w:rsidRPr="00871507">
              <w:rPr>
                <w:rFonts w:ascii="Arial" w:hAnsi="Arial" w:cs="Arial"/>
                <w:sz w:val="24"/>
                <w:szCs w:val="24"/>
              </w:rPr>
              <w:t>6</w:t>
            </w:r>
          </w:p>
        </w:tc>
        <w:tc>
          <w:tcPr>
            <w:tcW w:w="1716"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tabs>
                <w:tab w:val="left" w:pos="0"/>
              </w:tabs>
              <w:ind w:right="125"/>
              <w:jc w:val="right"/>
              <w:rPr>
                <w:rFonts w:ascii="Arial" w:hAnsi="Arial" w:cs="Arial"/>
                <w:sz w:val="24"/>
                <w:szCs w:val="24"/>
              </w:rPr>
            </w:pPr>
            <w:r w:rsidRPr="00871507">
              <w:rPr>
                <w:rFonts w:ascii="Arial" w:hAnsi="Arial" w:cs="Arial"/>
                <w:sz w:val="24"/>
                <w:szCs w:val="24"/>
              </w:rPr>
              <w:t>R0.00</w:t>
            </w:r>
          </w:p>
        </w:tc>
      </w:tr>
      <w:tr w:rsidR="002F2254" w:rsidTr="00316C82">
        <w:tc>
          <w:tcPr>
            <w:tcW w:w="5670"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rPr>
                <w:rFonts w:ascii="Arial" w:hAnsi="Arial" w:cs="Arial"/>
                <w:sz w:val="24"/>
                <w:szCs w:val="24"/>
              </w:rPr>
            </w:pPr>
            <w:r w:rsidRPr="00871507">
              <w:rPr>
                <w:rFonts w:ascii="Arial" w:hAnsi="Arial" w:cs="Arial"/>
                <w:sz w:val="24"/>
                <w:szCs w:val="24"/>
              </w:rPr>
              <w:t xml:space="preserve">Claims – assessed – wait for additional information </w:t>
            </w:r>
          </w:p>
        </w:tc>
        <w:tc>
          <w:tcPr>
            <w:tcW w:w="757"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ind w:right="267"/>
              <w:jc w:val="right"/>
              <w:rPr>
                <w:rFonts w:ascii="Arial" w:hAnsi="Arial" w:cs="Arial"/>
                <w:sz w:val="24"/>
                <w:szCs w:val="24"/>
              </w:rPr>
            </w:pPr>
            <w:r w:rsidRPr="00871507">
              <w:rPr>
                <w:rFonts w:ascii="Arial" w:hAnsi="Arial" w:cs="Arial"/>
                <w:sz w:val="24"/>
                <w:szCs w:val="24"/>
              </w:rPr>
              <w:t>6</w:t>
            </w:r>
          </w:p>
        </w:tc>
        <w:tc>
          <w:tcPr>
            <w:tcW w:w="1716"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tabs>
                <w:tab w:val="left" w:pos="0"/>
              </w:tabs>
              <w:ind w:right="125"/>
              <w:jc w:val="right"/>
              <w:rPr>
                <w:rFonts w:ascii="Arial" w:hAnsi="Arial" w:cs="Arial"/>
                <w:sz w:val="24"/>
                <w:szCs w:val="24"/>
              </w:rPr>
            </w:pPr>
            <w:r w:rsidRPr="00871507">
              <w:rPr>
                <w:rFonts w:ascii="Arial" w:hAnsi="Arial" w:cs="Arial"/>
                <w:sz w:val="24"/>
                <w:szCs w:val="24"/>
              </w:rPr>
              <w:t>R0.00</w:t>
            </w:r>
          </w:p>
        </w:tc>
      </w:tr>
      <w:tr w:rsidR="002F2254" w:rsidTr="00316C82">
        <w:tc>
          <w:tcPr>
            <w:tcW w:w="5670"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jc w:val="right"/>
              <w:rPr>
                <w:rFonts w:ascii="Arial" w:hAnsi="Arial" w:cs="Arial"/>
                <w:b/>
                <w:sz w:val="24"/>
                <w:szCs w:val="24"/>
              </w:rPr>
            </w:pPr>
            <w:r w:rsidRPr="00871507">
              <w:rPr>
                <w:rFonts w:ascii="Arial" w:hAnsi="Arial" w:cs="Arial"/>
                <w:b/>
                <w:sz w:val="24"/>
                <w:szCs w:val="24"/>
              </w:rPr>
              <w:t xml:space="preserve">TOTAL </w:t>
            </w:r>
          </w:p>
        </w:tc>
        <w:tc>
          <w:tcPr>
            <w:tcW w:w="757"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ind w:right="267"/>
              <w:jc w:val="right"/>
              <w:rPr>
                <w:rFonts w:ascii="Arial" w:hAnsi="Arial" w:cs="Arial"/>
                <w:b/>
                <w:sz w:val="24"/>
                <w:szCs w:val="24"/>
              </w:rPr>
            </w:pPr>
            <w:r w:rsidRPr="00871507">
              <w:rPr>
                <w:rFonts w:ascii="Arial" w:hAnsi="Arial" w:cs="Arial"/>
                <w:b/>
                <w:sz w:val="24"/>
                <w:szCs w:val="24"/>
              </w:rPr>
              <w:t>49</w:t>
            </w:r>
          </w:p>
        </w:tc>
        <w:tc>
          <w:tcPr>
            <w:tcW w:w="1716" w:type="dxa"/>
            <w:tcBorders>
              <w:top w:val="single" w:sz="4" w:space="0" w:color="auto"/>
              <w:left w:val="single" w:sz="4" w:space="0" w:color="auto"/>
              <w:bottom w:val="single" w:sz="4" w:space="0" w:color="auto"/>
              <w:right w:val="single" w:sz="4" w:space="0" w:color="auto"/>
            </w:tcBorders>
            <w:hideMark/>
          </w:tcPr>
          <w:p w:rsidR="002F2254" w:rsidRPr="00871507" w:rsidRDefault="002F2254" w:rsidP="00316C82">
            <w:pPr>
              <w:tabs>
                <w:tab w:val="left" w:pos="0"/>
              </w:tabs>
              <w:ind w:right="125"/>
              <w:jc w:val="right"/>
              <w:rPr>
                <w:rFonts w:ascii="Arial" w:hAnsi="Arial" w:cs="Arial"/>
                <w:b/>
                <w:sz w:val="24"/>
                <w:szCs w:val="24"/>
              </w:rPr>
            </w:pPr>
            <w:r w:rsidRPr="00871507">
              <w:rPr>
                <w:rFonts w:ascii="Arial" w:hAnsi="Arial" w:cs="Arial"/>
                <w:b/>
                <w:sz w:val="24"/>
                <w:szCs w:val="24"/>
              </w:rPr>
              <w:t>R671,600.00</w:t>
            </w:r>
          </w:p>
        </w:tc>
      </w:tr>
    </w:tbl>
    <w:p w:rsidR="002F2254" w:rsidRDefault="002F2254" w:rsidP="002F2254">
      <w:pPr>
        <w:pStyle w:val="ListParagraph"/>
        <w:spacing w:after="0" w:line="276" w:lineRule="auto"/>
        <w:jc w:val="both"/>
        <w:rPr>
          <w:rFonts w:ascii="Arial" w:hAnsi="Arial" w:cs="Arial"/>
          <w:bCs/>
          <w:sz w:val="24"/>
          <w:szCs w:val="24"/>
          <w:lang w:val="en-US"/>
        </w:rPr>
      </w:pPr>
    </w:p>
    <w:p w:rsidR="00E134D1" w:rsidRPr="00B268F2" w:rsidRDefault="00E134D1" w:rsidP="00F24096">
      <w:pPr>
        <w:spacing w:after="240"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8"/>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424" w:rsidRDefault="00D50424" w:rsidP="00BF747C">
      <w:pPr>
        <w:spacing w:after="0" w:line="240" w:lineRule="auto"/>
      </w:pPr>
      <w:r>
        <w:separator/>
      </w:r>
    </w:p>
  </w:endnote>
  <w:endnote w:type="continuationSeparator" w:id="0">
    <w:p w:rsidR="00D50424" w:rsidRDefault="00D5042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CE60D5">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D50424">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424" w:rsidRDefault="00D50424" w:rsidP="00BF747C">
      <w:pPr>
        <w:spacing w:after="0" w:line="240" w:lineRule="auto"/>
      </w:pPr>
      <w:r>
        <w:separator/>
      </w:r>
    </w:p>
  </w:footnote>
  <w:footnote w:type="continuationSeparator" w:id="0">
    <w:p w:rsidR="00D50424" w:rsidRDefault="00D5042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DF871A1"/>
    <w:multiLevelType w:val="hybridMultilevel"/>
    <w:tmpl w:val="C24C851E"/>
    <w:lvl w:ilvl="0" w:tplc="647EB3EC">
      <w:start w:val="1"/>
      <w:numFmt w:val="decimal"/>
      <w:lvlText w:val="%1."/>
      <w:lvlJc w:val="left"/>
      <w:pPr>
        <w:ind w:left="720" w:hanging="360"/>
      </w:pPr>
      <w:rPr>
        <w:rFonts w:ascii="Arial" w:hAnsi="Arial" w:cs="Arial"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1">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5E40084"/>
    <w:multiLevelType w:val="hybridMultilevel"/>
    <w:tmpl w:val="EA5C920C"/>
    <w:lvl w:ilvl="0" w:tplc="1F1254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1">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35"/>
  </w:num>
  <w:num w:numId="5">
    <w:abstractNumId w:val="9"/>
  </w:num>
  <w:num w:numId="6">
    <w:abstractNumId w:val="30"/>
  </w:num>
  <w:num w:numId="7">
    <w:abstractNumId w:val="18"/>
  </w:num>
  <w:num w:numId="8">
    <w:abstractNumId w:val="4"/>
  </w:num>
  <w:num w:numId="9">
    <w:abstractNumId w:val="17"/>
  </w:num>
  <w:num w:numId="10">
    <w:abstractNumId w:val="0"/>
  </w:num>
  <w:num w:numId="11">
    <w:abstractNumId w:val="7"/>
  </w:num>
  <w:num w:numId="12">
    <w:abstractNumId w:val="28"/>
  </w:num>
  <w:num w:numId="13">
    <w:abstractNumId w:val="34"/>
  </w:num>
  <w:num w:numId="14">
    <w:abstractNumId w:val="1"/>
  </w:num>
  <w:num w:numId="15">
    <w:abstractNumId w:val="2"/>
  </w:num>
  <w:num w:numId="16">
    <w:abstractNumId w:val="33"/>
  </w:num>
  <w:num w:numId="17">
    <w:abstractNumId w:val="23"/>
  </w:num>
  <w:num w:numId="18">
    <w:abstractNumId w:val="11"/>
  </w:num>
  <w:num w:numId="19">
    <w:abstractNumId w:val="16"/>
  </w:num>
  <w:num w:numId="20">
    <w:abstractNumId w:val="20"/>
  </w:num>
  <w:num w:numId="21">
    <w:abstractNumId w:val="14"/>
  </w:num>
  <w:num w:numId="22">
    <w:abstractNumId w:val="24"/>
  </w:num>
  <w:num w:numId="23">
    <w:abstractNumId w:val="5"/>
  </w:num>
  <w:num w:numId="24">
    <w:abstractNumId w:val="26"/>
  </w:num>
  <w:num w:numId="25">
    <w:abstractNumId w:val="32"/>
  </w:num>
  <w:num w:numId="26">
    <w:abstractNumId w:val="19"/>
  </w:num>
  <w:num w:numId="27">
    <w:abstractNumId w:val="27"/>
  </w:num>
  <w:num w:numId="28">
    <w:abstractNumId w:val="21"/>
  </w:num>
  <w:num w:numId="29">
    <w:abstractNumId w:val="29"/>
  </w:num>
  <w:num w:numId="30">
    <w:abstractNumId w:val="31"/>
  </w:num>
  <w:num w:numId="31">
    <w:abstractNumId w:val="8"/>
  </w:num>
  <w:num w:numId="32">
    <w:abstractNumId w:val="6"/>
  </w:num>
  <w:num w:numId="33">
    <w:abstractNumId w:val="12"/>
  </w:num>
  <w:num w:numId="34">
    <w:abstractNumId w:val="15"/>
  </w:num>
  <w:num w:numId="35">
    <w:abstractNumId w:val="1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209E9"/>
    <w:rsid w:val="0006704A"/>
    <w:rsid w:val="00067BEA"/>
    <w:rsid w:val="00071657"/>
    <w:rsid w:val="00073DD5"/>
    <w:rsid w:val="00084A07"/>
    <w:rsid w:val="000973CE"/>
    <w:rsid w:val="000A37D0"/>
    <w:rsid w:val="000A6EAE"/>
    <w:rsid w:val="000B3CB7"/>
    <w:rsid w:val="000B53B0"/>
    <w:rsid w:val="000B5C30"/>
    <w:rsid w:val="000C12EC"/>
    <w:rsid w:val="000D7AA8"/>
    <w:rsid w:val="000E041A"/>
    <w:rsid w:val="000F4836"/>
    <w:rsid w:val="001019F3"/>
    <w:rsid w:val="00102253"/>
    <w:rsid w:val="00102E24"/>
    <w:rsid w:val="0010368E"/>
    <w:rsid w:val="00107C0A"/>
    <w:rsid w:val="0011067E"/>
    <w:rsid w:val="00127326"/>
    <w:rsid w:val="00131373"/>
    <w:rsid w:val="001979F1"/>
    <w:rsid w:val="001B0DEC"/>
    <w:rsid w:val="001C0A3B"/>
    <w:rsid w:val="001D3E0B"/>
    <w:rsid w:val="001D66E4"/>
    <w:rsid w:val="001E58AE"/>
    <w:rsid w:val="001F5233"/>
    <w:rsid w:val="002032D2"/>
    <w:rsid w:val="0020357C"/>
    <w:rsid w:val="00230F29"/>
    <w:rsid w:val="00245085"/>
    <w:rsid w:val="00250BFB"/>
    <w:rsid w:val="002539F8"/>
    <w:rsid w:val="00267208"/>
    <w:rsid w:val="00275DB0"/>
    <w:rsid w:val="00280222"/>
    <w:rsid w:val="002A0C62"/>
    <w:rsid w:val="002A71A2"/>
    <w:rsid w:val="002C2A10"/>
    <w:rsid w:val="002D383B"/>
    <w:rsid w:val="002E1027"/>
    <w:rsid w:val="002F2254"/>
    <w:rsid w:val="002F3D9B"/>
    <w:rsid w:val="002F4617"/>
    <w:rsid w:val="0030097D"/>
    <w:rsid w:val="00306F90"/>
    <w:rsid w:val="00306FFC"/>
    <w:rsid w:val="003368DB"/>
    <w:rsid w:val="00337837"/>
    <w:rsid w:val="003648B1"/>
    <w:rsid w:val="0037106C"/>
    <w:rsid w:val="00385FE7"/>
    <w:rsid w:val="003951CF"/>
    <w:rsid w:val="003B1818"/>
    <w:rsid w:val="003B2854"/>
    <w:rsid w:val="003C37AD"/>
    <w:rsid w:val="003D1585"/>
    <w:rsid w:val="00406988"/>
    <w:rsid w:val="00412151"/>
    <w:rsid w:val="00413CAA"/>
    <w:rsid w:val="004166B5"/>
    <w:rsid w:val="004329F2"/>
    <w:rsid w:val="00437860"/>
    <w:rsid w:val="00447BE3"/>
    <w:rsid w:val="00457A2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B2F"/>
    <w:rsid w:val="004F4367"/>
    <w:rsid w:val="005233A4"/>
    <w:rsid w:val="005242C6"/>
    <w:rsid w:val="00527131"/>
    <w:rsid w:val="005419B3"/>
    <w:rsid w:val="00546927"/>
    <w:rsid w:val="0055122E"/>
    <w:rsid w:val="00555563"/>
    <w:rsid w:val="0056197A"/>
    <w:rsid w:val="005A4E67"/>
    <w:rsid w:val="005B5E78"/>
    <w:rsid w:val="005C3DC0"/>
    <w:rsid w:val="005C5C05"/>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A7E07"/>
    <w:rsid w:val="006D5A5D"/>
    <w:rsid w:val="006D6994"/>
    <w:rsid w:val="006E0BBC"/>
    <w:rsid w:val="00703F84"/>
    <w:rsid w:val="00704AAC"/>
    <w:rsid w:val="00734A14"/>
    <w:rsid w:val="007408C8"/>
    <w:rsid w:val="007416CD"/>
    <w:rsid w:val="007645A8"/>
    <w:rsid w:val="007D557D"/>
    <w:rsid w:val="007D7229"/>
    <w:rsid w:val="007E1F8F"/>
    <w:rsid w:val="007E4D87"/>
    <w:rsid w:val="007F0AE0"/>
    <w:rsid w:val="00811F25"/>
    <w:rsid w:val="008124CC"/>
    <w:rsid w:val="0084048E"/>
    <w:rsid w:val="008562F8"/>
    <w:rsid w:val="00865AA2"/>
    <w:rsid w:val="008B5385"/>
    <w:rsid w:val="008C527F"/>
    <w:rsid w:val="0092546E"/>
    <w:rsid w:val="00942EDC"/>
    <w:rsid w:val="00960E2D"/>
    <w:rsid w:val="009610A0"/>
    <w:rsid w:val="009712DE"/>
    <w:rsid w:val="00974689"/>
    <w:rsid w:val="00980949"/>
    <w:rsid w:val="009874F8"/>
    <w:rsid w:val="00994ED7"/>
    <w:rsid w:val="009B7939"/>
    <w:rsid w:val="009D32AF"/>
    <w:rsid w:val="009D5F2B"/>
    <w:rsid w:val="009F0C19"/>
    <w:rsid w:val="00A03D91"/>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E60D5"/>
    <w:rsid w:val="00CF0B96"/>
    <w:rsid w:val="00CF3DCB"/>
    <w:rsid w:val="00CF5700"/>
    <w:rsid w:val="00D03956"/>
    <w:rsid w:val="00D30447"/>
    <w:rsid w:val="00D50424"/>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ED5268"/>
    <w:rsid w:val="00F00309"/>
    <w:rsid w:val="00F21E4B"/>
    <w:rsid w:val="00F24096"/>
    <w:rsid w:val="00F27666"/>
    <w:rsid w:val="00F3386F"/>
    <w:rsid w:val="00F4298F"/>
    <w:rsid w:val="00F469A0"/>
    <w:rsid w:val="00F5530C"/>
    <w:rsid w:val="00F63BFD"/>
    <w:rsid w:val="00F91AF0"/>
    <w:rsid w:val="00FA08DD"/>
    <w:rsid w:val="00FA7163"/>
    <w:rsid w:val="00FB33FE"/>
    <w:rsid w:val="00FB7C9B"/>
    <w:rsid w:val="00FC7541"/>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D5"/>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 w:type="character" w:styleId="Hyperlink">
    <w:name w:val="Hyperlink"/>
    <w:basedOn w:val="DefaultParagraphFont"/>
    <w:uiPriority w:val="99"/>
    <w:semiHidden/>
    <w:unhideWhenUsed/>
    <w:rsid w:val="002F225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FI@health.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2023-07-03T09:26:00Z</dcterms:created>
  <dcterms:modified xsi:type="dcterms:W3CDTF">2023-07-03T09:26:00Z</dcterms:modified>
</cp:coreProperties>
</file>