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04" w:rsidRPr="00911E04" w:rsidRDefault="00911E04" w:rsidP="00911E04">
      <w:pPr>
        <w:spacing w:after="0" w:line="240" w:lineRule="auto"/>
        <w:jc w:val="center"/>
        <w:rPr>
          <w:b/>
          <w:sz w:val="24"/>
          <w:szCs w:val="24"/>
        </w:rPr>
      </w:pPr>
      <w:r w:rsidRPr="00911E04">
        <w:rPr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3ED0AEAA" wp14:editId="66C98506">
            <wp:simplePos x="0" y="0"/>
            <wp:positionH relativeFrom="margin">
              <wp:posOffset>1210310</wp:posOffset>
            </wp:positionH>
            <wp:positionV relativeFrom="margin">
              <wp:posOffset>-643890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E04">
        <w:rPr>
          <w:b/>
          <w:sz w:val="24"/>
          <w:szCs w:val="24"/>
        </w:rPr>
        <w:t>NATIONAL ASSEMBLY</w:t>
      </w:r>
    </w:p>
    <w:p w:rsidR="00911E04" w:rsidRPr="00911E04" w:rsidRDefault="00911E04" w:rsidP="00911E04">
      <w:pPr>
        <w:spacing w:after="0" w:line="240" w:lineRule="auto"/>
        <w:jc w:val="center"/>
        <w:rPr>
          <w:b/>
          <w:sz w:val="24"/>
          <w:szCs w:val="24"/>
        </w:rPr>
      </w:pPr>
    </w:p>
    <w:p w:rsidR="00911E04" w:rsidRPr="00911E04" w:rsidRDefault="00911E04" w:rsidP="00911E04">
      <w:pPr>
        <w:spacing w:after="0" w:line="240" w:lineRule="auto"/>
        <w:jc w:val="center"/>
        <w:rPr>
          <w:b/>
          <w:sz w:val="24"/>
          <w:szCs w:val="24"/>
        </w:rPr>
      </w:pPr>
      <w:r w:rsidRPr="00911E04">
        <w:rPr>
          <w:b/>
          <w:sz w:val="24"/>
          <w:szCs w:val="24"/>
        </w:rPr>
        <w:t>WRITTEN REPLY</w:t>
      </w:r>
    </w:p>
    <w:p w:rsidR="00911E04" w:rsidRPr="00911E04" w:rsidRDefault="00911E04" w:rsidP="00911E04">
      <w:pPr>
        <w:spacing w:after="0" w:line="240" w:lineRule="auto"/>
        <w:jc w:val="center"/>
        <w:rPr>
          <w:b/>
          <w:sz w:val="24"/>
          <w:szCs w:val="24"/>
        </w:rPr>
      </w:pPr>
    </w:p>
    <w:p w:rsidR="00911E04" w:rsidRPr="00911E04" w:rsidRDefault="00911E04" w:rsidP="00911E04">
      <w:pPr>
        <w:spacing w:before="120" w:after="60"/>
        <w:ind w:left="2880"/>
        <w:outlineLvl w:val="0"/>
        <w:rPr>
          <w:b/>
          <w:bCs/>
          <w:caps/>
          <w:sz w:val="22"/>
          <w:szCs w:val="22"/>
          <w:u w:val="single"/>
        </w:rPr>
      </w:pPr>
      <w:r w:rsidRPr="00911E04">
        <w:rPr>
          <w:b/>
          <w:sz w:val="22"/>
          <w:szCs w:val="22"/>
        </w:rPr>
        <w:t xml:space="preserve">QUESTION </w:t>
      </w:r>
      <w:r w:rsidRPr="00911E04">
        <w:rPr>
          <w:b/>
          <w:bCs/>
          <w:sz w:val="24"/>
          <w:szCs w:val="24"/>
          <w:lang w:val="en-GB"/>
        </w:rPr>
        <w:t>2</w:t>
      </w:r>
      <w:r>
        <w:rPr>
          <w:b/>
          <w:bCs/>
          <w:sz w:val="24"/>
          <w:szCs w:val="24"/>
          <w:lang w:val="en-GB"/>
        </w:rPr>
        <w:t>097</w:t>
      </w:r>
      <w:r w:rsidRPr="00911E04">
        <w:rPr>
          <w:b/>
          <w:sz w:val="22"/>
          <w:szCs w:val="22"/>
        </w:rPr>
        <w:t xml:space="preserve"> /</w:t>
      </w:r>
      <w:r w:rsidRPr="00911E04">
        <w:rPr>
          <w:rFonts w:cs="Times New Roman"/>
          <w:b/>
          <w:sz w:val="22"/>
          <w:szCs w:val="22"/>
          <w:lang w:val="en-GB"/>
        </w:rPr>
        <w:t xml:space="preserve"> </w:t>
      </w:r>
      <w:r w:rsidRPr="00911E04">
        <w:rPr>
          <w:b/>
          <w:sz w:val="22"/>
          <w:szCs w:val="22"/>
        </w:rPr>
        <w:t>NW</w:t>
      </w:r>
      <w:r w:rsidRPr="00911E04">
        <w:rPr>
          <w:b/>
          <w:sz w:val="24"/>
          <w:szCs w:val="24"/>
        </w:rPr>
        <w:t xml:space="preserve"> 23</w:t>
      </w:r>
      <w:r>
        <w:rPr>
          <w:b/>
          <w:sz w:val="24"/>
          <w:szCs w:val="24"/>
        </w:rPr>
        <w:t>19</w:t>
      </w:r>
      <w:r w:rsidRPr="00911E04">
        <w:rPr>
          <w:b/>
          <w:sz w:val="24"/>
          <w:szCs w:val="24"/>
        </w:rPr>
        <w:t>E</w:t>
      </w:r>
    </w:p>
    <w:p w:rsidR="00911E04" w:rsidRPr="00911E04" w:rsidRDefault="00911E04" w:rsidP="00911E04">
      <w:pPr>
        <w:spacing w:after="0" w:line="240" w:lineRule="auto"/>
        <w:rPr>
          <w:b/>
          <w:color w:val="000000"/>
          <w:sz w:val="24"/>
          <w:szCs w:val="24"/>
        </w:rPr>
      </w:pPr>
    </w:p>
    <w:p w:rsidR="00911E04" w:rsidRPr="00911E04" w:rsidRDefault="00911E04" w:rsidP="00911E04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11E04">
        <w:rPr>
          <w:b/>
          <w:color w:val="000000"/>
          <w:sz w:val="24"/>
          <w:szCs w:val="24"/>
        </w:rPr>
        <w:t>MINISTER OF AGRICULTURE, FORESTRY AND FISHERIES:</w:t>
      </w:r>
    </w:p>
    <w:p w:rsidR="00911E04" w:rsidRPr="00A71CED" w:rsidRDefault="00911E04" w:rsidP="00911E04">
      <w:pPr>
        <w:spacing w:before="100" w:beforeAutospacing="1" w:after="100" w:afterAutospacing="1"/>
        <w:ind w:left="816" w:hanging="816"/>
        <w:rPr>
          <w:b/>
          <w:bCs/>
          <w:color w:val="000000"/>
          <w:sz w:val="22"/>
          <w:szCs w:val="22"/>
          <w:lang w:val="af-ZA"/>
        </w:rPr>
      </w:pPr>
      <w:r w:rsidRPr="00A71CED">
        <w:rPr>
          <w:b/>
          <w:bCs/>
          <w:color w:val="000000"/>
          <w:sz w:val="22"/>
          <w:szCs w:val="22"/>
          <w:lang w:val="af-ZA"/>
        </w:rPr>
        <w:t>Mr N Paulsen (EFF) to ask the Minister of Agriculture, Forestry and Fisheries:</w:t>
      </w:r>
    </w:p>
    <w:p w:rsidR="00911E04" w:rsidRPr="00911E04" w:rsidRDefault="00911E04" w:rsidP="00911E04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 w:rsidRPr="00911E04">
        <w:rPr>
          <w:b/>
          <w:bCs/>
          <w:caps/>
          <w:sz w:val="22"/>
          <w:szCs w:val="22"/>
          <w:u w:val="single"/>
        </w:rPr>
        <w:t>QUESTION:</w:t>
      </w:r>
    </w:p>
    <w:p w:rsidR="00911E04" w:rsidRPr="00A71CED" w:rsidRDefault="00911E04" w:rsidP="00911E04">
      <w:pPr>
        <w:spacing w:before="100" w:beforeAutospacing="1" w:after="100" w:afterAutospacing="1"/>
        <w:jc w:val="both"/>
        <w:rPr>
          <w:sz w:val="22"/>
          <w:szCs w:val="22"/>
        </w:rPr>
      </w:pPr>
      <w:r w:rsidRPr="00A71CED">
        <w:rPr>
          <w:sz w:val="22"/>
          <w:szCs w:val="22"/>
        </w:rPr>
        <w:t xml:space="preserve">(1) Where in each (a) province, (b) municipality and (c) district are the input supply projects of the farmer support programmes being implemented; </w:t>
      </w:r>
    </w:p>
    <w:p w:rsidR="00911E04" w:rsidRPr="00A71CED" w:rsidRDefault="00911E04" w:rsidP="00911E04">
      <w:pPr>
        <w:spacing w:before="100" w:beforeAutospacing="1" w:after="100" w:afterAutospacing="1"/>
        <w:jc w:val="both"/>
        <w:rPr>
          <w:sz w:val="22"/>
          <w:szCs w:val="22"/>
        </w:rPr>
      </w:pPr>
      <w:r w:rsidRPr="00A71CED">
        <w:rPr>
          <w:sz w:val="22"/>
          <w:szCs w:val="22"/>
        </w:rPr>
        <w:t xml:space="preserve">(2) What amount has been (a) budgeted and (b) spent over the past five years to support the specified </w:t>
      </w:r>
      <w:proofErr w:type="gramStart"/>
      <w:r w:rsidRPr="00A71CED">
        <w:rPr>
          <w:sz w:val="22"/>
          <w:szCs w:val="22"/>
        </w:rPr>
        <w:t>projects;</w:t>
      </w:r>
      <w:proofErr w:type="gramEnd"/>
    </w:p>
    <w:p w:rsidR="00911E04" w:rsidRDefault="00911E04" w:rsidP="00911E04">
      <w:pPr>
        <w:spacing w:after="0"/>
        <w:jc w:val="both"/>
        <w:rPr>
          <w:b/>
          <w:sz w:val="22"/>
          <w:szCs w:val="22"/>
        </w:rPr>
      </w:pPr>
      <w:r w:rsidRPr="00A71CED">
        <w:rPr>
          <w:sz w:val="22"/>
          <w:szCs w:val="22"/>
        </w:rPr>
        <w:t xml:space="preserve">(3) </w:t>
      </w:r>
      <w:proofErr w:type="gramStart"/>
      <w:r w:rsidRPr="00A71CED">
        <w:rPr>
          <w:sz w:val="22"/>
          <w:szCs w:val="22"/>
        </w:rPr>
        <w:t>how</w:t>
      </w:r>
      <w:proofErr w:type="gramEnd"/>
      <w:r w:rsidRPr="00A71CED">
        <w:rPr>
          <w:sz w:val="22"/>
          <w:szCs w:val="22"/>
        </w:rPr>
        <w:t xml:space="preserve"> are the (a) budgets, (b) evaluations and (c) reports of the projects accessible?</w:t>
      </w:r>
      <w:r w:rsidRPr="00911E04">
        <w:rPr>
          <w:b/>
          <w:sz w:val="22"/>
          <w:szCs w:val="22"/>
        </w:rPr>
        <w:t xml:space="preserve"> </w:t>
      </w:r>
    </w:p>
    <w:p w:rsidR="00911E04" w:rsidRPr="00911E04" w:rsidRDefault="00911E04" w:rsidP="00911E04">
      <w:pPr>
        <w:spacing w:after="0"/>
        <w:jc w:val="both"/>
        <w:rPr>
          <w:sz w:val="22"/>
          <w:szCs w:val="22"/>
        </w:rPr>
      </w:pPr>
      <w:r w:rsidRPr="00911E04">
        <w:rPr>
          <w:b/>
          <w:sz w:val="22"/>
          <w:szCs w:val="22"/>
        </w:rPr>
        <w:t>NW</w:t>
      </w:r>
      <w:r w:rsidRPr="00911E04">
        <w:rPr>
          <w:b/>
          <w:sz w:val="24"/>
          <w:szCs w:val="24"/>
        </w:rPr>
        <w:t xml:space="preserve"> 23</w:t>
      </w:r>
      <w:r>
        <w:rPr>
          <w:b/>
          <w:sz w:val="24"/>
          <w:szCs w:val="24"/>
        </w:rPr>
        <w:t>19</w:t>
      </w:r>
      <w:r w:rsidRPr="00911E04">
        <w:rPr>
          <w:b/>
          <w:sz w:val="24"/>
          <w:szCs w:val="24"/>
        </w:rPr>
        <w:t>E</w:t>
      </w:r>
    </w:p>
    <w:p w:rsidR="00911E04" w:rsidRPr="00911E04" w:rsidRDefault="00911E04" w:rsidP="00911E04">
      <w:pPr>
        <w:spacing w:before="100" w:beforeAutospacing="1" w:after="100" w:afterAutospacing="1"/>
        <w:jc w:val="both"/>
        <w:rPr>
          <w:b/>
          <w:sz w:val="22"/>
          <w:szCs w:val="22"/>
          <w:u w:val="single"/>
        </w:rPr>
      </w:pPr>
      <w:r w:rsidRPr="00911E04">
        <w:rPr>
          <w:b/>
          <w:sz w:val="22"/>
          <w:szCs w:val="22"/>
          <w:u w:val="single"/>
        </w:rPr>
        <w:t>REPLY:</w:t>
      </w:r>
    </w:p>
    <w:p w:rsidR="00911E04" w:rsidRDefault="00911E04" w:rsidP="00911E04">
      <w:pPr>
        <w:pStyle w:val="Bodytextnarrative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sz w:val="22"/>
          <w:szCs w:val="22"/>
        </w:rPr>
      </w:pPr>
      <w:r w:rsidRPr="00FB3EE3">
        <w:rPr>
          <w:bCs/>
          <w:sz w:val="22"/>
          <w:szCs w:val="22"/>
        </w:rPr>
        <w:t>(a)</w:t>
      </w:r>
      <w:r>
        <w:rPr>
          <w:bCs/>
          <w:sz w:val="22"/>
          <w:szCs w:val="22"/>
        </w:rPr>
        <w:t xml:space="preserve"> The input supply projects are implemented in all nine provinces</w:t>
      </w:r>
      <w:r w:rsidRPr="00FB3EE3">
        <w:rPr>
          <w:bCs/>
          <w:sz w:val="22"/>
          <w:szCs w:val="22"/>
        </w:rPr>
        <w:t xml:space="preserve">, </w:t>
      </w:r>
    </w:p>
    <w:p w:rsidR="00911E04" w:rsidRPr="00FB3EE3" w:rsidRDefault="00911E04" w:rsidP="00911E04">
      <w:pPr>
        <w:pStyle w:val="Bodytextnarrative"/>
        <w:spacing w:before="100" w:beforeAutospacing="1" w:after="100" w:afterAutospacing="1"/>
        <w:ind w:left="720"/>
        <w:jc w:val="both"/>
        <w:outlineLvl w:val="0"/>
        <w:rPr>
          <w:bCs/>
          <w:sz w:val="22"/>
          <w:szCs w:val="22"/>
        </w:rPr>
      </w:pPr>
      <w:r w:rsidRPr="00FB3EE3">
        <w:rPr>
          <w:bCs/>
          <w:sz w:val="22"/>
          <w:szCs w:val="22"/>
        </w:rPr>
        <w:t xml:space="preserve">(b) </w:t>
      </w:r>
      <w:proofErr w:type="gramStart"/>
      <w:r>
        <w:rPr>
          <w:bCs/>
          <w:sz w:val="22"/>
          <w:szCs w:val="22"/>
        </w:rPr>
        <w:t>and</w:t>
      </w:r>
      <w:proofErr w:type="gramEnd"/>
      <w:r>
        <w:rPr>
          <w:bCs/>
          <w:sz w:val="22"/>
          <w:szCs w:val="22"/>
        </w:rPr>
        <w:t xml:space="preserve"> ( c) Annexure A</w:t>
      </w:r>
      <w:r w:rsidRPr="00FB3EE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provides the list of the municipalities and districts where these programmes are being implemented.</w:t>
      </w:r>
    </w:p>
    <w:p w:rsidR="00911E04" w:rsidRDefault="00911E04" w:rsidP="00911E04">
      <w:pPr>
        <w:pStyle w:val="Bodytextnarrative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amount that has (a) been budgeted and (b) spent over the past five years to support farmers/ projects with inputs through </w:t>
      </w:r>
      <w:proofErr w:type="spellStart"/>
      <w:r>
        <w:rPr>
          <w:bCs/>
          <w:sz w:val="22"/>
          <w:szCs w:val="22"/>
        </w:rPr>
        <w:t>Ilima</w:t>
      </w:r>
      <w:proofErr w:type="spellEnd"/>
      <w:r>
        <w:rPr>
          <w:bCs/>
          <w:sz w:val="22"/>
          <w:szCs w:val="22"/>
        </w:rPr>
        <w:t>/</w:t>
      </w:r>
      <w:proofErr w:type="spellStart"/>
      <w:r>
        <w:rPr>
          <w:bCs/>
          <w:sz w:val="22"/>
          <w:szCs w:val="22"/>
        </w:rPr>
        <w:t>Letsema</w:t>
      </w:r>
      <w:proofErr w:type="spellEnd"/>
      <w:r>
        <w:rPr>
          <w:bCs/>
          <w:sz w:val="22"/>
          <w:szCs w:val="22"/>
        </w:rPr>
        <w:t xml:space="preserve"> is shown in table 1 below.</w:t>
      </w:r>
    </w:p>
    <w:p w:rsidR="00911E04" w:rsidRDefault="00911E04" w:rsidP="00911E04">
      <w:pPr>
        <w:pStyle w:val="Bodytextnarrative"/>
        <w:spacing w:before="100" w:beforeAutospacing="1" w:after="100" w:afterAutospacing="1"/>
        <w:jc w:val="both"/>
        <w:outlineLvl w:val="0"/>
        <w:rPr>
          <w:bCs/>
          <w:sz w:val="22"/>
          <w:szCs w:val="22"/>
        </w:rPr>
      </w:pPr>
    </w:p>
    <w:p w:rsidR="00911E04" w:rsidRDefault="00911E04" w:rsidP="00911E04">
      <w:pPr>
        <w:pStyle w:val="Bodytextnarrative"/>
        <w:spacing w:before="100" w:beforeAutospacing="1" w:after="100" w:afterAutospacing="1"/>
        <w:jc w:val="both"/>
        <w:outlineLvl w:val="0"/>
        <w:rPr>
          <w:bCs/>
          <w:sz w:val="22"/>
          <w:szCs w:val="22"/>
        </w:rPr>
      </w:pPr>
    </w:p>
    <w:p w:rsidR="00911E04" w:rsidRDefault="00911E04" w:rsidP="00911E04">
      <w:pPr>
        <w:pStyle w:val="Bodytextnarrative"/>
        <w:spacing w:before="100" w:beforeAutospacing="1" w:after="100" w:afterAutospacing="1"/>
        <w:jc w:val="both"/>
        <w:outlineLvl w:val="0"/>
        <w:rPr>
          <w:bCs/>
          <w:sz w:val="22"/>
          <w:szCs w:val="22"/>
        </w:rPr>
      </w:pPr>
    </w:p>
    <w:p w:rsidR="00911E04" w:rsidRDefault="00911E04" w:rsidP="00911E04">
      <w:pPr>
        <w:pStyle w:val="Bodytextnarrative"/>
        <w:spacing w:before="100" w:beforeAutospacing="1" w:after="100" w:afterAutospacing="1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Table 1: Amount budgeted and spent to support farmers with inputs through </w:t>
      </w:r>
      <w:proofErr w:type="spellStart"/>
      <w:r>
        <w:rPr>
          <w:bCs/>
          <w:sz w:val="22"/>
          <w:szCs w:val="22"/>
        </w:rPr>
        <w:t>Ilima</w:t>
      </w:r>
      <w:proofErr w:type="spellEnd"/>
      <w:r>
        <w:rPr>
          <w:bCs/>
          <w:sz w:val="22"/>
          <w:szCs w:val="22"/>
        </w:rPr>
        <w:t>/</w:t>
      </w:r>
      <w:proofErr w:type="spellStart"/>
      <w:r>
        <w:rPr>
          <w:bCs/>
          <w:sz w:val="22"/>
          <w:szCs w:val="22"/>
        </w:rPr>
        <w:t>Letsema</w:t>
      </w:r>
      <w:proofErr w:type="spellEnd"/>
      <w:r>
        <w:rPr>
          <w:bCs/>
          <w:sz w:val="22"/>
          <w:szCs w:val="22"/>
        </w:rPr>
        <w:t xml:space="preserve"> for the past five years.</w:t>
      </w:r>
    </w:p>
    <w:tbl>
      <w:tblPr>
        <w:tblW w:w="11766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5"/>
        <w:gridCol w:w="1275"/>
        <w:gridCol w:w="993"/>
        <w:gridCol w:w="992"/>
        <w:gridCol w:w="1417"/>
        <w:gridCol w:w="1418"/>
        <w:gridCol w:w="1559"/>
        <w:gridCol w:w="1559"/>
      </w:tblGrid>
      <w:tr w:rsidR="00911E04" w:rsidRPr="00B323C0" w:rsidTr="00911E04">
        <w:trPr>
          <w:trHeight w:val="1121"/>
        </w:trPr>
        <w:tc>
          <w:tcPr>
            <w:tcW w:w="1418" w:type="dxa"/>
            <w:vMerge w:val="restart"/>
            <w:shd w:val="clear" w:color="000000" w:fill="C6D9F1"/>
            <w:noWrap/>
            <w:vAlign w:val="center"/>
            <w:hideMark/>
          </w:tcPr>
          <w:p w:rsidR="00911E04" w:rsidRPr="00B323C0" w:rsidRDefault="00911E04" w:rsidP="006F0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3C0">
              <w:rPr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1135" w:type="dxa"/>
            <w:vMerge w:val="restart"/>
            <w:shd w:val="clear" w:color="000000" w:fill="C6D9F1"/>
            <w:noWrap/>
            <w:vAlign w:val="bottom"/>
            <w:hideMark/>
          </w:tcPr>
          <w:p w:rsidR="00911E04" w:rsidRPr="00B323C0" w:rsidRDefault="00911E04" w:rsidP="006F0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323C0">
              <w:rPr>
                <w:b/>
                <w:bCs/>
                <w:color w:val="000000"/>
                <w:sz w:val="18"/>
                <w:szCs w:val="18"/>
              </w:rPr>
              <w:t>Allocation</w:t>
            </w:r>
          </w:p>
          <w:p w:rsidR="00911E04" w:rsidRPr="00B323C0" w:rsidRDefault="00911E04" w:rsidP="006F0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3C0">
              <w:rPr>
                <w:b/>
                <w:bCs/>
                <w:color w:val="000000"/>
                <w:sz w:val="18"/>
                <w:szCs w:val="18"/>
              </w:rPr>
              <w:t>R'000</w:t>
            </w:r>
          </w:p>
        </w:tc>
        <w:tc>
          <w:tcPr>
            <w:tcW w:w="1275" w:type="dxa"/>
            <w:vMerge w:val="restart"/>
            <w:shd w:val="clear" w:color="000000" w:fill="C6D9F1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3C0">
              <w:rPr>
                <w:b/>
                <w:bCs/>
                <w:color w:val="000000"/>
                <w:sz w:val="18"/>
                <w:szCs w:val="18"/>
              </w:rPr>
              <w:t>Received</w:t>
            </w:r>
          </w:p>
          <w:p w:rsidR="00911E04" w:rsidRPr="00B323C0" w:rsidRDefault="00911E04" w:rsidP="006F0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3C0">
              <w:rPr>
                <w:b/>
                <w:bCs/>
                <w:color w:val="000000"/>
                <w:sz w:val="18"/>
                <w:szCs w:val="18"/>
              </w:rPr>
              <w:t>by Province</w:t>
            </w:r>
          </w:p>
          <w:p w:rsidR="00911E04" w:rsidRPr="00B323C0" w:rsidRDefault="00911E04" w:rsidP="006F0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3C0">
              <w:rPr>
                <w:b/>
                <w:bCs/>
                <w:color w:val="000000"/>
                <w:sz w:val="18"/>
                <w:szCs w:val="18"/>
              </w:rPr>
              <w:t>R'000</w:t>
            </w:r>
          </w:p>
        </w:tc>
        <w:tc>
          <w:tcPr>
            <w:tcW w:w="993" w:type="dxa"/>
            <w:vMerge w:val="restart"/>
            <w:shd w:val="clear" w:color="000000" w:fill="C6D9F1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3C0">
              <w:rPr>
                <w:b/>
                <w:bCs/>
                <w:color w:val="000000"/>
                <w:sz w:val="18"/>
                <w:szCs w:val="18"/>
              </w:rPr>
              <w:t xml:space="preserve">Roll </w:t>
            </w:r>
          </w:p>
          <w:p w:rsidR="00911E04" w:rsidRPr="00B323C0" w:rsidRDefault="00911E04" w:rsidP="006F0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3C0">
              <w:rPr>
                <w:b/>
                <w:bCs/>
                <w:color w:val="000000"/>
                <w:sz w:val="18"/>
                <w:szCs w:val="18"/>
              </w:rPr>
              <w:t>over</w:t>
            </w:r>
          </w:p>
          <w:p w:rsidR="00911E04" w:rsidRPr="00B323C0" w:rsidRDefault="00911E04" w:rsidP="006F0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3C0">
              <w:rPr>
                <w:b/>
                <w:bCs/>
                <w:color w:val="000000"/>
                <w:sz w:val="18"/>
                <w:szCs w:val="18"/>
              </w:rPr>
              <w:t>R'000</w:t>
            </w:r>
          </w:p>
        </w:tc>
        <w:tc>
          <w:tcPr>
            <w:tcW w:w="992" w:type="dxa"/>
            <w:vMerge w:val="restart"/>
            <w:shd w:val="clear" w:color="000000" w:fill="C6D9F1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3C0">
              <w:rPr>
                <w:b/>
                <w:bCs/>
                <w:color w:val="000000"/>
                <w:sz w:val="18"/>
                <w:szCs w:val="18"/>
              </w:rPr>
              <w:t>Withheld</w:t>
            </w:r>
          </w:p>
          <w:p w:rsidR="00911E04" w:rsidRPr="00B323C0" w:rsidRDefault="00911E04" w:rsidP="006F0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3C0">
              <w:rPr>
                <w:b/>
                <w:bCs/>
                <w:color w:val="000000"/>
                <w:sz w:val="18"/>
                <w:szCs w:val="18"/>
              </w:rPr>
              <w:t>R'000</w:t>
            </w:r>
          </w:p>
        </w:tc>
        <w:tc>
          <w:tcPr>
            <w:tcW w:w="1417" w:type="dxa"/>
            <w:vMerge w:val="restart"/>
            <w:shd w:val="clear" w:color="000000" w:fill="C6D9F1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3C0">
              <w:rPr>
                <w:b/>
                <w:bCs/>
                <w:color w:val="000000"/>
                <w:sz w:val="18"/>
                <w:szCs w:val="18"/>
              </w:rPr>
              <w:t>Total</w:t>
            </w:r>
          </w:p>
          <w:p w:rsidR="00911E04" w:rsidRPr="00B323C0" w:rsidRDefault="00911E04" w:rsidP="006F0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3C0">
              <w:rPr>
                <w:b/>
                <w:bCs/>
                <w:color w:val="000000"/>
                <w:sz w:val="18"/>
                <w:szCs w:val="18"/>
              </w:rPr>
              <w:t>Available</w:t>
            </w:r>
          </w:p>
          <w:p w:rsidR="00911E04" w:rsidRPr="00B323C0" w:rsidRDefault="00911E04" w:rsidP="006F0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3C0">
              <w:rPr>
                <w:b/>
                <w:bCs/>
                <w:color w:val="000000"/>
                <w:sz w:val="18"/>
                <w:szCs w:val="18"/>
              </w:rPr>
              <w:t>R'000</w:t>
            </w:r>
          </w:p>
        </w:tc>
        <w:tc>
          <w:tcPr>
            <w:tcW w:w="2977" w:type="dxa"/>
            <w:gridSpan w:val="2"/>
            <w:shd w:val="clear" w:color="000000" w:fill="C6D9F1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3C0">
              <w:rPr>
                <w:b/>
                <w:bCs/>
                <w:color w:val="000000"/>
                <w:sz w:val="18"/>
                <w:szCs w:val="18"/>
              </w:rPr>
              <w:t>Expenditure  </w:t>
            </w:r>
          </w:p>
        </w:tc>
        <w:tc>
          <w:tcPr>
            <w:tcW w:w="1559" w:type="dxa"/>
            <w:vMerge w:val="restart"/>
            <w:shd w:val="clear" w:color="000000" w:fill="C6D9F1"/>
            <w:vAlign w:val="center"/>
            <w:hideMark/>
          </w:tcPr>
          <w:p w:rsidR="00911E04" w:rsidRDefault="00911E04" w:rsidP="006F0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3C0">
              <w:rPr>
                <w:b/>
                <w:bCs/>
                <w:color w:val="000000"/>
                <w:sz w:val="18"/>
                <w:szCs w:val="18"/>
              </w:rPr>
              <w:t>Beneficiaries</w:t>
            </w:r>
          </w:p>
          <w:p w:rsidR="00911E04" w:rsidRPr="00B323C0" w:rsidRDefault="00911E04" w:rsidP="006F0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Per Year</w:t>
            </w:r>
          </w:p>
        </w:tc>
      </w:tr>
      <w:tr w:rsidR="00911E04" w:rsidRPr="00B323C0" w:rsidTr="00911E04">
        <w:trPr>
          <w:trHeight w:val="302"/>
        </w:trPr>
        <w:tc>
          <w:tcPr>
            <w:tcW w:w="1418" w:type="dxa"/>
            <w:vMerge/>
            <w:vAlign w:val="center"/>
            <w:hideMark/>
          </w:tcPr>
          <w:p w:rsidR="00911E04" w:rsidRPr="00B323C0" w:rsidRDefault="00911E04" w:rsidP="006F0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000000" w:fill="C6D9F1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000000" w:fill="C6D9F1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000000" w:fill="C6D9F1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000000" w:fill="C6D9F1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000000" w:fill="C6D9F1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C6D9F1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3C0">
              <w:rPr>
                <w:b/>
                <w:bCs/>
                <w:color w:val="000000"/>
                <w:sz w:val="18"/>
                <w:szCs w:val="18"/>
              </w:rPr>
              <w:t>R'000</w:t>
            </w:r>
          </w:p>
        </w:tc>
        <w:tc>
          <w:tcPr>
            <w:tcW w:w="1559" w:type="dxa"/>
            <w:shd w:val="clear" w:color="000000" w:fill="C6D9F1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323C0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559" w:type="dxa"/>
            <w:vMerge/>
            <w:vAlign w:val="center"/>
            <w:hideMark/>
          </w:tcPr>
          <w:p w:rsidR="00911E04" w:rsidRPr="00B323C0" w:rsidRDefault="00911E04" w:rsidP="006F0AEB">
            <w:pPr>
              <w:rPr>
                <w:b/>
                <w:bCs/>
                <w:color w:val="000000"/>
              </w:rPr>
            </w:pPr>
          </w:p>
        </w:tc>
      </w:tr>
      <w:tr w:rsidR="00911E04" w:rsidRPr="00B323C0" w:rsidTr="00911E04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2012/13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415 000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415 000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415 000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400 000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96.4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162 985</w:t>
            </w:r>
          </w:p>
        </w:tc>
      </w:tr>
      <w:tr w:rsidR="00911E04" w:rsidRPr="00B323C0" w:rsidTr="00911E04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2013/14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438 000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438 000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16 000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454 000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424 000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93.4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bCs/>
                <w:color w:val="000000"/>
                <w:lang w:eastAsia="en-ZA"/>
              </w:rPr>
              <w:t>147 990</w:t>
            </w:r>
          </w:p>
        </w:tc>
      </w:tr>
      <w:tr w:rsidR="00911E04" w:rsidRPr="00B323C0" w:rsidTr="00911E04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2014/15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460 000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460 000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27 521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4 062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487 521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484 084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99.3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bCs/>
                <w:color w:val="000000"/>
                <w:lang w:eastAsia="en-ZA"/>
              </w:rPr>
              <w:t>191 396</w:t>
            </w:r>
          </w:p>
        </w:tc>
      </w:tr>
      <w:tr w:rsidR="00911E04" w:rsidRPr="00B323C0" w:rsidTr="00911E04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2015/16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470 768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466 713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466 713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464 269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99.5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173 019</w:t>
            </w:r>
          </w:p>
        </w:tc>
      </w:tr>
      <w:tr w:rsidR="00911E04" w:rsidRPr="00B323C0" w:rsidTr="00911E04">
        <w:trPr>
          <w:trHeight w:val="330"/>
        </w:trPr>
        <w:tc>
          <w:tcPr>
            <w:tcW w:w="1418" w:type="dxa"/>
            <w:shd w:val="clear" w:color="auto" w:fill="auto"/>
            <w:noWrap/>
            <w:vAlign w:val="bottom"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2016/17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491 363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491 363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491 363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481 435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 w:rsidRPr="00B323C0">
              <w:rPr>
                <w:color w:val="000000"/>
              </w:rPr>
              <w:t>98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11E04" w:rsidRPr="00B323C0" w:rsidRDefault="00911E04" w:rsidP="006F0A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214 952</w:t>
            </w:r>
          </w:p>
        </w:tc>
      </w:tr>
      <w:tr w:rsidR="00911E04" w:rsidRPr="00B323C0" w:rsidTr="00911E04">
        <w:trPr>
          <w:trHeight w:val="330"/>
        </w:trPr>
        <w:tc>
          <w:tcPr>
            <w:tcW w:w="1418" w:type="dxa"/>
            <w:shd w:val="clear" w:color="auto" w:fill="F2F2F2" w:themeFill="background1" w:themeFillShade="F2"/>
            <w:noWrap/>
            <w:vAlign w:val="bottom"/>
            <w:hideMark/>
          </w:tcPr>
          <w:p w:rsidR="00911E04" w:rsidRPr="00B323C0" w:rsidRDefault="00911E04" w:rsidP="006F0AEB">
            <w:pPr>
              <w:rPr>
                <w:b/>
                <w:bCs/>
                <w:color w:val="000000"/>
              </w:rPr>
            </w:pPr>
            <w:r w:rsidRPr="00B323C0">
              <w:rPr>
                <w:b/>
                <w:bCs/>
                <w:color w:val="000000"/>
              </w:rPr>
              <w:t>Total</w:t>
            </w:r>
          </w:p>
        </w:tc>
        <w:tc>
          <w:tcPr>
            <w:tcW w:w="1135" w:type="dxa"/>
            <w:shd w:val="clear" w:color="auto" w:fill="F2F2F2" w:themeFill="background1" w:themeFillShade="F2"/>
            <w:noWrap/>
          </w:tcPr>
          <w:p w:rsidR="00911E04" w:rsidRPr="00B323C0" w:rsidRDefault="00911E04" w:rsidP="006F0AEB">
            <w:pPr>
              <w:jc w:val="center"/>
              <w:rPr>
                <w:b/>
                <w:color w:val="000000"/>
              </w:rPr>
            </w:pPr>
            <w:r w:rsidRPr="00B323C0">
              <w:rPr>
                <w:b/>
                <w:color w:val="000000"/>
              </w:rPr>
              <w:t>2 275 131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</w:tcPr>
          <w:p w:rsidR="00911E04" w:rsidRPr="00B323C0" w:rsidRDefault="00911E04" w:rsidP="006F0AEB">
            <w:pPr>
              <w:jc w:val="center"/>
              <w:rPr>
                <w:b/>
                <w:color w:val="000000"/>
              </w:rPr>
            </w:pPr>
            <w:r w:rsidRPr="00B323C0">
              <w:rPr>
                <w:b/>
                <w:color w:val="000000"/>
              </w:rPr>
              <w:t>2 271 076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</w:tcPr>
          <w:p w:rsidR="00911E04" w:rsidRPr="00B323C0" w:rsidRDefault="00911E04" w:rsidP="006F0AEB">
            <w:pPr>
              <w:jc w:val="center"/>
              <w:rPr>
                <w:b/>
                <w:color w:val="000000"/>
              </w:rPr>
            </w:pPr>
            <w:r w:rsidRPr="00B323C0">
              <w:rPr>
                <w:b/>
                <w:color w:val="000000"/>
              </w:rPr>
              <w:t>43 521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</w:tcPr>
          <w:p w:rsidR="00911E04" w:rsidRPr="00B323C0" w:rsidRDefault="00911E04" w:rsidP="006F0AEB">
            <w:pPr>
              <w:jc w:val="center"/>
              <w:rPr>
                <w:b/>
                <w:color w:val="000000"/>
              </w:rPr>
            </w:pPr>
            <w:r w:rsidRPr="00B323C0">
              <w:rPr>
                <w:b/>
                <w:color w:val="000000"/>
              </w:rPr>
              <w:t>4 062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</w:tcPr>
          <w:p w:rsidR="00911E04" w:rsidRPr="00B323C0" w:rsidRDefault="00911E04" w:rsidP="006F0AEB">
            <w:pPr>
              <w:jc w:val="center"/>
              <w:rPr>
                <w:b/>
                <w:color w:val="000000"/>
              </w:rPr>
            </w:pPr>
            <w:r w:rsidRPr="00B323C0">
              <w:rPr>
                <w:b/>
                <w:color w:val="000000"/>
              </w:rPr>
              <w:t>2 314 597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</w:tcPr>
          <w:p w:rsidR="00911E04" w:rsidRPr="00B323C0" w:rsidRDefault="00911E04" w:rsidP="006F0AEB">
            <w:pPr>
              <w:jc w:val="center"/>
              <w:rPr>
                <w:b/>
                <w:color w:val="000000"/>
              </w:rPr>
            </w:pPr>
            <w:r w:rsidRPr="00B323C0">
              <w:rPr>
                <w:b/>
                <w:color w:val="000000"/>
              </w:rPr>
              <w:t>2 253 788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</w:tcPr>
          <w:p w:rsidR="00911E04" w:rsidRPr="00B323C0" w:rsidRDefault="00911E04" w:rsidP="006F0AEB">
            <w:pPr>
              <w:jc w:val="center"/>
              <w:rPr>
                <w:b/>
                <w:color w:val="000000"/>
              </w:rPr>
            </w:pPr>
            <w:r w:rsidRPr="00B323C0">
              <w:rPr>
                <w:b/>
                <w:color w:val="000000"/>
              </w:rPr>
              <w:t>97.4%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bottom"/>
            <w:hideMark/>
          </w:tcPr>
          <w:p w:rsidR="00911E04" w:rsidRPr="00B323C0" w:rsidRDefault="00911E04" w:rsidP="006F0AEB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11E04" w:rsidRDefault="00911E04" w:rsidP="00911E04">
      <w:pPr>
        <w:pStyle w:val="Bodytextnarrative"/>
        <w:spacing w:before="100" w:beforeAutospacing="1" w:after="100" w:afterAutospacing="1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From the table 1 above, R2, 275 billion was made available over the past five years through </w:t>
      </w:r>
      <w:proofErr w:type="spellStart"/>
      <w:r>
        <w:rPr>
          <w:bCs/>
          <w:sz w:val="22"/>
          <w:szCs w:val="22"/>
        </w:rPr>
        <w:t>Ilima</w:t>
      </w:r>
      <w:proofErr w:type="spellEnd"/>
      <w:r>
        <w:rPr>
          <w:bCs/>
          <w:sz w:val="22"/>
          <w:szCs w:val="22"/>
        </w:rPr>
        <w:t>/</w:t>
      </w:r>
      <w:proofErr w:type="spellStart"/>
      <w:r>
        <w:rPr>
          <w:bCs/>
          <w:sz w:val="22"/>
          <w:szCs w:val="22"/>
        </w:rPr>
        <w:t>Letsema</w:t>
      </w:r>
      <w:proofErr w:type="spellEnd"/>
      <w:r>
        <w:rPr>
          <w:bCs/>
          <w:sz w:val="22"/>
          <w:szCs w:val="22"/>
        </w:rPr>
        <w:t xml:space="preserve"> programme to support farmers with inputs and mechanization in order to increase production of unutilised lands for beneficiaries of land reform and farmers in communal lands. 97.4% (R2, 253 billion) was reported to have been spent over the past five years.</w:t>
      </w:r>
    </w:p>
    <w:p w:rsidR="00911E04" w:rsidRDefault="00911E04" w:rsidP="00911E04">
      <w:pPr>
        <w:pStyle w:val="Bodytextnarrative"/>
        <w:numPr>
          <w:ilvl w:val="0"/>
          <w:numId w:val="1"/>
        </w:numPr>
        <w:spacing w:before="100" w:beforeAutospacing="1" w:after="100" w:afterAutospacing="1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(a) The budget is allocated by National Treasury through the Division of Revenue Act and the Department of Agriculture, Forestry and Fisheries (DAFF) transfers the allocated funds to respective provinces.</w:t>
      </w:r>
    </w:p>
    <w:p w:rsidR="00911E04" w:rsidRDefault="00911E04" w:rsidP="00911E04">
      <w:pPr>
        <w:pStyle w:val="Bodytextnarrative"/>
        <w:numPr>
          <w:ilvl w:val="2"/>
          <w:numId w:val="1"/>
        </w:numPr>
        <w:spacing w:before="100" w:beforeAutospacing="1" w:after="100" w:afterAutospacing="1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evaluation of the programme is determined by the Department of Planning Monitoring and Evaluation (DPME) Framework on Evaluations which stipulates that programmes should be evaluated every five years. The </w:t>
      </w:r>
      <w:proofErr w:type="spellStart"/>
      <w:r>
        <w:rPr>
          <w:bCs/>
          <w:sz w:val="22"/>
          <w:szCs w:val="22"/>
        </w:rPr>
        <w:t>Ilima</w:t>
      </w:r>
      <w:proofErr w:type="spellEnd"/>
      <w:r>
        <w:rPr>
          <w:bCs/>
          <w:sz w:val="22"/>
          <w:szCs w:val="22"/>
        </w:rPr>
        <w:t>/</w:t>
      </w:r>
      <w:proofErr w:type="spellStart"/>
      <w:r>
        <w:rPr>
          <w:bCs/>
          <w:sz w:val="22"/>
          <w:szCs w:val="22"/>
        </w:rPr>
        <w:t>Letsema</w:t>
      </w:r>
      <w:proofErr w:type="spellEnd"/>
      <w:r>
        <w:rPr>
          <w:bCs/>
          <w:sz w:val="22"/>
          <w:szCs w:val="22"/>
        </w:rPr>
        <w:t xml:space="preserve"> programme must still be evaluated – however, monitoring of performance is done on quarterly basis.</w:t>
      </w:r>
    </w:p>
    <w:p w:rsidR="00911E04" w:rsidRDefault="00911E04" w:rsidP="00911E04">
      <w:pPr>
        <w:pStyle w:val="Bodytextnarrative"/>
        <w:numPr>
          <w:ilvl w:val="2"/>
          <w:numId w:val="1"/>
        </w:numPr>
        <w:spacing w:before="100" w:beforeAutospacing="1" w:after="100" w:afterAutospacing="1"/>
        <w:jc w:val="both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Reports of the projects are provided by implementing provinces to DAFF on quarterly basis.</w:t>
      </w:r>
    </w:p>
    <w:p w:rsidR="005F561C" w:rsidRDefault="005900F0" w:rsidP="00911E04">
      <w:pPr>
        <w:spacing w:before="100" w:beforeAutospacing="1" w:after="100" w:afterAutospacing="1"/>
        <w:jc w:val="both"/>
      </w:pPr>
    </w:p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71D6"/>
    <w:multiLevelType w:val="hybridMultilevel"/>
    <w:tmpl w:val="68804DE0"/>
    <w:lvl w:ilvl="0" w:tplc="7226AD3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886156E">
      <w:start w:val="2"/>
      <w:numFmt w:val="lowerLetter"/>
      <w:lvlText w:val="(%3)"/>
      <w:lvlJc w:val="left"/>
      <w:pPr>
        <w:ind w:left="1069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04"/>
    <w:rsid w:val="00186AC3"/>
    <w:rsid w:val="005900F0"/>
    <w:rsid w:val="00911E04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04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911E04"/>
    <w:pPr>
      <w:spacing w:after="0"/>
      <w:ind w:left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04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narrative">
    <w:name w:val="Body text_narrative"/>
    <w:basedOn w:val="Normal"/>
    <w:uiPriority w:val="99"/>
    <w:rsid w:val="00911E04"/>
    <w:pPr>
      <w:spacing w:after="0"/>
      <w:ind w:left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1</cp:revision>
  <dcterms:created xsi:type="dcterms:W3CDTF">2017-09-06T10:37:00Z</dcterms:created>
  <dcterms:modified xsi:type="dcterms:W3CDTF">2017-09-06T10:54:00Z</dcterms:modified>
</cp:coreProperties>
</file>