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825539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86" w:rsidRPr="00C90886" w:rsidRDefault="00C90886" w:rsidP="00C90886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C90886">
        <w:rPr>
          <w:rFonts w:ascii="Arial" w:eastAsia="Calibri" w:hAnsi="Arial" w:cs="Arial"/>
          <w:sz w:val="16"/>
          <w:szCs w:val="16"/>
        </w:rPr>
        <w:t>Privat</w:t>
      </w:r>
      <w:r>
        <w:rPr>
          <w:rFonts w:ascii="Arial" w:eastAsia="Calibri" w:hAnsi="Arial" w:cs="Arial"/>
          <w:sz w:val="16"/>
          <w:szCs w:val="16"/>
        </w:rPr>
        <w:t>e Bag X276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Pretoria, 0001, Tel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012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406 4669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Fax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012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406 4680</w:t>
      </w:r>
    </w:p>
    <w:p w:rsidR="00C90886" w:rsidRPr="00C90886" w:rsidRDefault="00C90886" w:rsidP="00C90886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C90886">
        <w:rPr>
          <w:rFonts w:ascii="Arial" w:eastAsia="Calibri" w:hAnsi="Arial" w:cs="Arial"/>
          <w:sz w:val="16"/>
          <w:szCs w:val="16"/>
        </w:rPr>
        <w:t>Private Bag X256</w:t>
      </w:r>
      <w:r w:rsidRPr="00C90886">
        <w:rPr>
          <w:rFonts w:ascii="Arial" w:eastAsia="Calibri" w:hAnsi="Arial" w:cs="Arial"/>
          <w:sz w:val="16"/>
          <w:szCs w:val="16"/>
          <w:lang w:val="en-GB"/>
        </w:rPr>
        <w:t xml:space="preserve">, Cape Town, 8000, Tel </w:t>
      </w:r>
      <w:r>
        <w:rPr>
          <w:rFonts w:ascii="Arial" w:eastAsia="Calibri" w:hAnsi="Arial" w:cs="Arial"/>
          <w:sz w:val="16"/>
          <w:szCs w:val="16"/>
          <w:lang w:val="en-GB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021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467 1700</w:t>
      </w:r>
      <w:r>
        <w:rPr>
          <w:rFonts w:ascii="Arial" w:eastAsia="Calibri" w:hAnsi="Arial" w:cs="Arial"/>
          <w:sz w:val="16"/>
          <w:szCs w:val="16"/>
        </w:rPr>
        <w:t xml:space="preserve"> Fax</w:t>
      </w:r>
      <w:r w:rsidRPr="00C90886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(</w:t>
      </w:r>
      <w:r w:rsidRPr="00C90886">
        <w:rPr>
          <w:rFonts w:ascii="Arial" w:eastAsia="Calibri" w:hAnsi="Arial" w:cs="Arial"/>
          <w:sz w:val="16"/>
          <w:szCs w:val="16"/>
        </w:rPr>
        <w:t>021</w:t>
      </w:r>
      <w:r>
        <w:rPr>
          <w:rFonts w:ascii="Arial" w:eastAsia="Calibri" w:hAnsi="Arial" w:cs="Arial"/>
          <w:sz w:val="16"/>
          <w:szCs w:val="16"/>
        </w:rPr>
        <w:t>)</w:t>
      </w:r>
      <w:r w:rsidRPr="00C90886">
        <w:rPr>
          <w:rFonts w:ascii="Arial" w:eastAsia="Calibri" w:hAnsi="Arial" w:cs="Arial"/>
          <w:sz w:val="16"/>
          <w:szCs w:val="16"/>
        </w:rPr>
        <w:t xml:space="preserve"> 467 1730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ZA"/>
        </w:rPr>
        <w:t>NATIONAL ASSEMBLY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>FOR WRITTEN REPLY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QUESTION </w:t>
      </w:r>
      <w:r w:rsidR="005772C1">
        <w:rPr>
          <w:rFonts w:ascii="Arial" w:eastAsia="Calibri" w:hAnsi="Arial" w:cs="Arial"/>
          <w:b/>
          <w:bCs/>
          <w:sz w:val="22"/>
          <w:szCs w:val="22"/>
          <w:lang w:val="en-GB"/>
        </w:rPr>
        <w:t>209</w:t>
      </w:r>
      <w:r w:rsidR="00281574">
        <w:rPr>
          <w:rFonts w:ascii="Arial" w:eastAsia="Calibri" w:hAnsi="Arial" w:cs="Arial"/>
          <w:b/>
          <w:bCs/>
          <w:sz w:val="22"/>
          <w:szCs w:val="22"/>
          <w:lang w:val="en-GB"/>
        </w:rPr>
        <w:t>6</w:t>
      </w:r>
    </w:p>
    <w:p w:rsidR="002E7253" w:rsidRPr="002E7253" w:rsidRDefault="002E7253" w:rsidP="002E7253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DATE OF PUBLICATION OF INTERNAL QUESTION PAPER: </w:t>
      </w:r>
      <w:r w:rsidR="00281574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23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/0</w:t>
      </w:r>
      <w:r w:rsidR="009F17AE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9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/2016</w:t>
      </w:r>
    </w:p>
    <w:p w:rsidR="002E7253" w:rsidRDefault="002E7253" w:rsidP="002E7253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(INTERNAL QUESTION PAPER </w:t>
      </w:r>
      <w:r w:rsidR="00791471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2</w:t>
      </w:r>
      <w:r w:rsidR="00281574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9</w:t>
      </w:r>
      <w:r w:rsidRPr="002E7253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 OF 2016)</w:t>
      </w:r>
    </w:p>
    <w:p w:rsidR="00D463C8" w:rsidRPr="002E7253" w:rsidRDefault="00791471" w:rsidP="002E7253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DATE OF SUBMISSION: </w:t>
      </w:r>
      <w:r w:rsidR="00281574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7 OCTO</w:t>
      </w:r>
      <w:r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BER</w:t>
      </w:r>
      <w:r w:rsidR="009F2D5C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D463C8">
        <w:rPr>
          <w:rFonts w:ascii="Arial" w:eastAsia="Calibri" w:hAnsi="Arial" w:cs="Arial"/>
          <w:b/>
          <w:bCs/>
          <w:sz w:val="22"/>
          <w:szCs w:val="22"/>
          <w:u w:val="single"/>
          <w:lang w:val="en-GB"/>
        </w:rPr>
        <w:t>2016</w:t>
      </w:r>
    </w:p>
    <w:p w:rsidR="005772C1" w:rsidRPr="005772C1" w:rsidRDefault="005772C1" w:rsidP="005772C1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5772C1">
        <w:rPr>
          <w:rFonts w:ascii="Arial" w:hAnsi="Arial" w:cs="Arial"/>
          <w:b/>
          <w:bCs/>
          <w:sz w:val="22"/>
          <w:szCs w:val="22"/>
          <w:lang w:val="en-ZA"/>
        </w:rPr>
        <w:t>Mr D W Macpherson (DA) to ask the Minister of Justice and Correctional Services:</w:t>
      </w:r>
    </w:p>
    <w:p w:rsidR="005772C1" w:rsidRDefault="005772C1" w:rsidP="005772C1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5772C1">
        <w:rPr>
          <w:rFonts w:ascii="Arial" w:hAnsi="Arial" w:cs="Arial"/>
          <w:sz w:val="22"/>
          <w:szCs w:val="22"/>
          <w:lang w:val="en-ZA"/>
        </w:rPr>
        <w:t>What amount did (a) his department and (b) each entity reporting to him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</w:p>
    <w:p w:rsidR="005772C1" w:rsidRPr="005772C1" w:rsidRDefault="005772C1" w:rsidP="005772C1">
      <w:pPr>
        <w:spacing w:before="120" w:after="120" w:line="360" w:lineRule="auto"/>
        <w:ind w:left="360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5772C1">
        <w:rPr>
          <w:rFonts w:ascii="Arial" w:hAnsi="Arial" w:cs="Arial"/>
          <w:b/>
          <w:sz w:val="22"/>
          <w:szCs w:val="22"/>
          <w:lang w:val="en-ZA"/>
        </w:rPr>
        <w:t>NW2407E</w:t>
      </w:r>
    </w:p>
    <w:p w:rsidR="00FF20F0" w:rsidRDefault="00FF20F0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  <w:r w:rsidR="002F037E">
        <w:rPr>
          <w:rFonts w:ascii="Arial" w:hAnsi="Arial" w:cs="Arial"/>
          <w:b/>
        </w:rPr>
        <w:t>:</w:t>
      </w:r>
    </w:p>
    <w:p w:rsidR="002F037E" w:rsidRDefault="002F037E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2F037E" w:rsidRPr="009047FB" w:rsidRDefault="007809FB" w:rsidP="007809FB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(i)   </w:t>
      </w:r>
      <w:r w:rsidR="002F037E" w:rsidRPr="009047FB">
        <w:rPr>
          <w:rFonts w:ascii="Arial" w:hAnsi="Arial" w:cs="Arial"/>
        </w:rPr>
        <w:t xml:space="preserve">The Department of Justice and Constitutional Development (DOJ&amp;CD) did not spend </w:t>
      </w:r>
      <w:r>
        <w:rPr>
          <w:rFonts w:ascii="Arial" w:hAnsi="Arial" w:cs="Arial"/>
        </w:rPr>
        <w:t xml:space="preserve">anything </w:t>
      </w:r>
      <w:r w:rsidR="002F037E" w:rsidRPr="009047FB">
        <w:rPr>
          <w:rFonts w:ascii="Arial" w:hAnsi="Arial" w:cs="Arial"/>
        </w:rPr>
        <w:t xml:space="preserve">on African News Network 7 channel during the  </w:t>
      </w:r>
      <w:r>
        <w:rPr>
          <w:rFonts w:ascii="Arial" w:hAnsi="Arial" w:cs="Arial"/>
        </w:rPr>
        <w:t xml:space="preserve">(aaa) </w:t>
      </w:r>
      <w:r w:rsidR="002F037E" w:rsidRPr="009047FB">
        <w:rPr>
          <w:rFonts w:ascii="Arial" w:hAnsi="Arial" w:cs="Arial"/>
        </w:rPr>
        <w:t xml:space="preserve">2015/16 financial year </w:t>
      </w:r>
      <w:r>
        <w:rPr>
          <w:rFonts w:ascii="Arial" w:hAnsi="Arial" w:cs="Arial"/>
        </w:rPr>
        <w:t xml:space="preserve">nor (bbb) since </w:t>
      </w:r>
      <w:r w:rsidR="002F037E" w:rsidRPr="009047FB">
        <w:rPr>
          <w:rFonts w:ascii="Arial" w:hAnsi="Arial" w:cs="Arial"/>
        </w:rPr>
        <w:t xml:space="preserve">1 April to </w:t>
      </w:r>
      <w:r>
        <w:rPr>
          <w:rFonts w:ascii="Arial" w:hAnsi="Arial" w:cs="Arial"/>
        </w:rPr>
        <w:t xml:space="preserve">31 </w:t>
      </w:r>
      <w:r w:rsidR="002F037E" w:rsidRPr="009047FB">
        <w:rPr>
          <w:rFonts w:ascii="Arial" w:hAnsi="Arial" w:cs="Arial"/>
        </w:rPr>
        <w:t xml:space="preserve">August 2016. </w:t>
      </w:r>
    </w:p>
    <w:p w:rsidR="002F037E" w:rsidRPr="009047FB" w:rsidRDefault="002F037E" w:rsidP="007809FB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(aa) The DOJ&amp;CD did not spen</w:t>
      </w:r>
      <w:r w:rsidR="001E49FD">
        <w:rPr>
          <w:rFonts w:ascii="Arial" w:hAnsi="Arial" w:cs="Arial"/>
        </w:rPr>
        <w:t>d</w:t>
      </w:r>
      <w:r w:rsidRPr="009047FB">
        <w:rPr>
          <w:rFonts w:ascii="Arial" w:hAnsi="Arial" w:cs="Arial"/>
        </w:rPr>
        <w:t xml:space="preserve"> on SABC television channels during the </w:t>
      </w:r>
      <w:r w:rsidR="007809FB">
        <w:rPr>
          <w:rFonts w:ascii="Arial" w:hAnsi="Arial" w:cs="Arial"/>
        </w:rPr>
        <w:t>(aaa)</w:t>
      </w:r>
      <w:r w:rsidRPr="009047FB">
        <w:rPr>
          <w:rFonts w:ascii="Arial" w:hAnsi="Arial" w:cs="Arial"/>
        </w:rPr>
        <w:t xml:space="preserve"> 2015/16 financial year </w:t>
      </w:r>
      <w:r w:rsidR="007809FB">
        <w:rPr>
          <w:rFonts w:ascii="Arial" w:hAnsi="Arial" w:cs="Arial"/>
        </w:rPr>
        <w:t xml:space="preserve">nor (bbb) since </w:t>
      </w:r>
      <w:r w:rsidRPr="009047FB">
        <w:rPr>
          <w:rFonts w:ascii="Arial" w:hAnsi="Arial" w:cs="Arial"/>
        </w:rPr>
        <w:t xml:space="preserve">1 April to </w:t>
      </w:r>
      <w:r w:rsidR="007809FB">
        <w:rPr>
          <w:rFonts w:ascii="Arial" w:hAnsi="Arial" w:cs="Arial"/>
        </w:rPr>
        <w:t xml:space="preserve">31 </w:t>
      </w:r>
      <w:r w:rsidRPr="009047FB">
        <w:rPr>
          <w:rFonts w:ascii="Arial" w:hAnsi="Arial" w:cs="Arial"/>
        </w:rPr>
        <w:t xml:space="preserve">August 2016. </w:t>
      </w:r>
    </w:p>
    <w:p w:rsidR="00946128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  <w:lang w:val="en-ZA"/>
        </w:rPr>
      </w:pPr>
      <w:r w:rsidRPr="009047FB">
        <w:rPr>
          <w:rFonts w:ascii="Arial" w:hAnsi="Arial" w:cs="Arial"/>
        </w:rPr>
        <w:lastRenderedPageBreak/>
        <w:t xml:space="preserve">(bb) </w:t>
      </w:r>
      <w:r w:rsidR="007809FB">
        <w:rPr>
          <w:rFonts w:ascii="Arial" w:hAnsi="Arial" w:cs="Arial"/>
        </w:rPr>
        <w:t xml:space="preserve">(aaa) </w:t>
      </w:r>
      <w:r w:rsidRPr="009047FB">
        <w:rPr>
          <w:rFonts w:ascii="Arial" w:hAnsi="Arial" w:cs="Arial"/>
        </w:rPr>
        <w:t>In the 2015/16 financial year, the Department undertook a campaign to invite children and deserving relatives of T</w:t>
      </w:r>
      <w:r w:rsidR="007809FB">
        <w:rPr>
          <w:rFonts w:ascii="Arial" w:hAnsi="Arial" w:cs="Arial"/>
        </w:rPr>
        <w:t xml:space="preserve">ruth and </w:t>
      </w:r>
      <w:r w:rsidRPr="009047FB">
        <w:rPr>
          <w:rFonts w:ascii="Arial" w:hAnsi="Arial" w:cs="Arial"/>
        </w:rPr>
        <w:t>R</w:t>
      </w:r>
      <w:r w:rsidR="007809FB">
        <w:rPr>
          <w:rFonts w:ascii="Arial" w:hAnsi="Arial" w:cs="Arial"/>
        </w:rPr>
        <w:t>econciliation</w:t>
      </w:r>
      <w:r w:rsidR="001E49FD">
        <w:rPr>
          <w:rFonts w:ascii="Arial" w:hAnsi="Arial" w:cs="Arial"/>
        </w:rPr>
        <w:t xml:space="preserve"> (TRC)</w:t>
      </w:r>
      <w:r w:rsidR="007809FB">
        <w:rPr>
          <w:rFonts w:ascii="Arial" w:hAnsi="Arial" w:cs="Arial"/>
        </w:rPr>
        <w:t xml:space="preserve"> </w:t>
      </w:r>
      <w:r w:rsidRPr="009047FB">
        <w:rPr>
          <w:rFonts w:ascii="Arial" w:hAnsi="Arial" w:cs="Arial"/>
        </w:rPr>
        <w:t>C</w:t>
      </w:r>
      <w:r w:rsidR="007809FB">
        <w:rPr>
          <w:rFonts w:ascii="Arial" w:hAnsi="Arial" w:cs="Arial"/>
        </w:rPr>
        <w:t>ampaign</w:t>
      </w:r>
      <w:r w:rsidRPr="009047FB">
        <w:rPr>
          <w:rFonts w:ascii="Arial" w:hAnsi="Arial" w:cs="Arial"/>
        </w:rPr>
        <w:t xml:space="preserve"> identified victims to apply for educational assistance. In support of this campaign</w:t>
      </w:r>
      <w:r w:rsidR="007809FB">
        <w:rPr>
          <w:rFonts w:ascii="Arial" w:hAnsi="Arial" w:cs="Arial"/>
        </w:rPr>
        <w:t>,</w:t>
      </w:r>
      <w:r w:rsidRPr="009047FB">
        <w:rPr>
          <w:rFonts w:ascii="Arial" w:hAnsi="Arial" w:cs="Arial"/>
        </w:rPr>
        <w:t xml:space="preserve"> the DOJ&amp;CD spent a total of </w:t>
      </w:r>
      <w:r w:rsidRPr="009047FB">
        <w:rPr>
          <w:rFonts w:ascii="Arial" w:hAnsi="Arial" w:cs="Arial"/>
          <w:lang w:val="en-ZA"/>
        </w:rPr>
        <w:t xml:space="preserve">R798 817.95. </w:t>
      </w:r>
    </w:p>
    <w:tbl>
      <w:tblPr>
        <w:tblW w:w="5329" w:type="pct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842"/>
        <w:gridCol w:w="1985"/>
        <w:gridCol w:w="1700"/>
        <w:gridCol w:w="2976"/>
      </w:tblGrid>
      <w:tr w:rsidR="00935902" w:rsidRPr="00566F03" w:rsidTr="00935902">
        <w:trPr>
          <w:trHeight w:val="300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F03" w:rsidRPr="00935902" w:rsidRDefault="00566F03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SERVICE PROVIDER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F03" w:rsidRPr="00935902" w:rsidRDefault="00566F03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TOTAL COST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03" w:rsidRPr="00935902" w:rsidRDefault="00566F03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RADIO STATIONS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03" w:rsidRPr="00935902" w:rsidRDefault="00935902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COST PER STATION</w:t>
            </w:r>
          </w:p>
        </w:tc>
        <w:tc>
          <w:tcPr>
            <w:tcW w:w="1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F03" w:rsidRPr="00935902" w:rsidRDefault="00566F03" w:rsidP="001E49F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35902">
              <w:rPr>
                <w:rFonts w:ascii="Arial" w:eastAsia="Calibri" w:hAnsi="Arial" w:cs="Arial"/>
                <w:b/>
              </w:rPr>
              <w:t>CAMPAIGN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SABC Radio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798 817.95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Ukhozi FM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221 692.95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Umhlobo Wenene FM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129 352.95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Lesedi FM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145 666.35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Motsweding FM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106 652.70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Limpopo Combo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131 738.40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  <w:tr w:rsidR="00935902" w:rsidRPr="00566F03" w:rsidTr="00935902">
        <w:trPr>
          <w:trHeight w:val="300"/>
        </w:trPr>
        <w:tc>
          <w:tcPr>
            <w:tcW w:w="83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Mpumalanga Combo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R 63 714.60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902" w:rsidRPr="00935902" w:rsidRDefault="00935902" w:rsidP="001E49FD">
            <w:pPr>
              <w:spacing w:line="360" w:lineRule="auto"/>
              <w:rPr>
                <w:rFonts w:ascii="Arial" w:eastAsia="Calibri" w:hAnsi="Arial" w:cs="Arial"/>
              </w:rPr>
            </w:pPr>
            <w:r w:rsidRPr="00935902">
              <w:rPr>
                <w:rFonts w:ascii="Arial" w:eastAsia="Calibri" w:hAnsi="Arial" w:cs="Arial"/>
              </w:rPr>
              <w:t>TRC Education Assistance Regulations</w:t>
            </w:r>
          </w:p>
        </w:tc>
      </w:tr>
    </w:tbl>
    <w:p w:rsidR="00946128" w:rsidRDefault="00946128" w:rsidP="002F037E">
      <w:pPr>
        <w:spacing w:before="120" w:after="120" w:line="360" w:lineRule="auto"/>
        <w:ind w:left="1440"/>
        <w:jc w:val="both"/>
        <w:rPr>
          <w:rFonts w:ascii="Arial" w:hAnsi="Arial" w:cs="Arial"/>
          <w:lang w:val="en-ZA"/>
        </w:rPr>
      </w:pPr>
    </w:p>
    <w:p w:rsidR="002F037E" w:rsidRPr="009047FB" w:rsidRDefault="007809FB" w:rsidP="002F037E">
      <w:pPr>
        <w:spacing w:before="120" w:after="120" w:line="360" w:lineRule="auto"/>
        <w:ind w:left="144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(bbb) </w:t>
      </w:r>
      <w:r w:rsidR="002F037E" w:rsidRPr="009047FB">
        <w:rPr>
          <w:rFonts w:ascii="Arial" w:hAnsi="Arial" w:cs="Arial"/>
          <w:lang w:val="en-ZA"/>
        </w:rPr>
        <w:t xml:space="preserve">The Department did not </w:t>
      </w:r>
      <w:r w:rsidR="001E49FD" w:rsidRPr="009047FB">
        <w:rPr>
          <w:rFonts w:ascii="Arial" w:hAnsi="Arial" w:cs="Arial"/>
          <w:lang w:val="en-ZA"/>
        </w:rPr>
        <w:t>spen</w:t>
      </w:r>
      <w:r w:rsidR="001E49FD">
        <w:rPr>
          <w:rFonts w:ascii="Arial" w:hAnsi="Arial" w:cs="Arial"/>
          <w:lang w:val="en-ZA"/>
        </w:rPr>
        <w:t>d</w:t>
      </w:r>
      <w:r w:rsidR="002F037E" w:rsidRPr="009047FB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anything </w:t>
      </w:r>
      <w:r w:rsidR="002F037E" w:rsidRPr="009047FB">
        <w:rPr>
          <w:rFonts w:ascii="Arial" w:hAnsi="Arial" w:cs="Arial"/>
          <w:lang w:val="en-ZA"/>
        </w:rPr>
        <w:t xml:space="preserve">on SABC radio </w:t>
      </w:r>
      <w:r>
        <w:rPr>
          <w:rFonts w:ascii="Arial" w:hAnsi="Arial" w:cs="Arial"/>
          <w:lang w:val="en-ZA"/>
        </w:rPr>
        <w:t xml:space="preserve">stations since </w:t>
      </w:r>
      <w:r w:rsidR="002F037E" w:rsidRPr="009047FB">
        <w:rPr>
          <w:rFonts w:ascii="Arial" w:hAnsi="Arial" w:cs="Arial"/>
        </w:rPr>
        <w:t xml:space="preserve">1 April to </w:t>
      </w:r>
      <w:r>
        <w:rPr>
          <w:rFonts w:ascii="Arial" w:hAnsi="Arial" w:cs="Arial"/>
        </w:rPr>
        <w:t xml:space="preserve">31 </w:t>
      </w:r>
      <w:r w:rsidR="002F037E" w:rsidRPr="009047FB">
        <w:rPr>
          <w:rFonts w:ascii="Arial" w:hAnsi="Arial" w:cs="Arial"/>
        </w:rPr>
        <w:t>August 2016.</w:t>
      </w:r>
    </w:p>
    <w:p w:rsidR="002F037E" w:rsidRPr="009047FB" w:rsidRDefault="002F037E" w:rsidP="007809FB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9047FB">
        <w:rPr>
          <w:rFonts w:ascii="Arial" w:hAnsi="Arial" w:cs="Arial"/>
        </w:rPr>
        <w:t>The DOJ&amp;CD did not spend on</w:t>
      </w:r>
      <w:r w:rsidRPr="009047FB">
        <w:rPr>
          <w:rFonts w:ascii="Arial" w:hAnsi="Arial" w:cs="Arial"/>
          <w:sz w:val="22"/>
          <w:szCs w:val="22"/>
          <w:lang w:val="en-ZA"/>
        </w:rPr>
        <w:t xml:space="preserve"> </w:t>
      </w:r>
      <w:r w:rsidRPr="009047FB">
        <w:rPr>
          <w:rFonts w:ascii="Arial" w:hAnsi="Arial" w:cs="Arial"/>
          <w:lang w:val="en-ZA"/>
        </w:rPr>
        <w:t xml:space="preserve">national commercial radio stations </w:t>
      </w:r>
      <w:r w:rsidRPr="009047FB">
        <w:rPr>
          <w:rFonts w:ascii="Arial" w:hAnsi="Arial" w:cs="Arial"/>
        </w:rPr>
        <w:t xml:space="preserve">during </w:t>
      </w:r>
      <w:r w:rsidR="0009037C">
        <w:rPr>
          <w:rFonts w:ascii="Arial" w:hAnsi="Arial" w:cs="Arial"/>
        </w:rPr>
        <w:t xml:space="preserve">(aaa) </w:t>
      </w:r>
      <w:r w:rsidR="001E49FD">
        <w:rPr>
          <w:rFonts w:ascii="Arial" w:hAnsi="Arial" w:cs="Arial"/>
        </w:rPr>
        <w:t xml:space="preserve">the </w:t>
      </w:r>
      <w:r w:rsidRPr="009047FB">
        <w:rPr>
          <w:rFonts w:ascii="Arial" w:hAnsi="Arial" w:cs="Arial"/>
        </w:rPr>
        <w:t xml:space="preserve">2015/16 financial year </w:t>
      </w:r>
      <w:r w:rsidR="0009037C">
        <w:rPr>
          <w:rFonts w:ascii="Arial" w:hAnsi="Arial" w:cs="Arial"/>
        </w:rPr>
        <w:t xml:space="preserve">nor (bbb) since </w:t>
      </w:r>
      <w:r w:rsidRPr="009047FB">
        <w:rPr>
          <w:rFonts w:ascii="Arial" w:hAnsi="Arial" w:cs="Arial"/>
        </w:rPr>
        <w:t xml:space="preserve">1 April to </w:t>
      </w:r>
      <w:r w:rsidR="0009037C">
        <w:rPr>
          <w:rFonts w:ascii="Arial" w:hAnsi="Arial" w:cs="Arial"/>
        </w:rPr>
        <w:t xml:space="preserve">31 </w:t>
      </w:r>
      <w:r w:rsidRPr="009047FB">
        <w:rPr>
          <w:rFonts w:ascii="Arial" w:hAnsi="Arial" w:cs="Arial"/>
        </w:rPr>
        <w:t>August 2016</w:t>
      </w:r>
      <w:r w:rsidRPr="009047FB">
        <w:rPr>
          <w:rFonts w:ascii="Arial" w:hAnsi="Arial" w:cs="Arial"/>
          <w:lang w:val="en-ZA"/>
        </w:rPr>
        <w:t>.</w:t>
      </w:r>
    </w:p>
    <w:p w:rsidR="002F037E" w:rsidRPr="0009037C" w:rsidRDefault="002F037E" w:rsidP="0009037C">
      <w:pPr>
        <w:numPr>
          <w:ilvl w:val="0"/>
          <w:numId w:val="32"/>
        </w:numPr>
        <w:spacing w:before="120" w:after="120" w:line="360" w:lineRule="auto"/>
        <w:jc w:val="both"/>
        <w:rPr>
          <w:rFonts w:ascii="Arial" w:hAnsi="Arial" w:cs="Arial"/>
        </w:rPr>
      </w:pPr>
      <w:r w:rsidRPr="0009037C">
        <w:rPr>
          <w:rFonts w:ascii="Arial" w:hAnsi="Arial" w:cs="Arial"/>
          <w:lang w:val="en-ZA"/>
        </w:rPr>
        <w:t xml:space="preserve">(aa) </w:t>
      </w:r>
      <w:r w:rsidRPr="0009037C">
        <w:rPr>
          <w:rFonts w:ascii="Arial" w:hAnsi="Arial" w:cs="Arial"/>
        </w:rPr>
        <w:t xml:space="preserve">The DOJ&amp;CD did not spend </w:t>
      </w:r>
      <w:r w:rsidR="0009037C">
        <w:rPr>
          <w:rFonts w:ascii="Arial" w:hAnsi="Arial" w:cs="Arial"/>
        </w:rPr>
        <w:t xml:space="preserve">any money </w:t>
      </w:r>
      <w:r w:rsidRPr="0009037C">
        <w:rPr>
          <w:rFonts w:ascii="Arial" w:hAnsi="Arial" w:cs="Arial"/>
        </w:rPr>
        <w:t xml:space="preserve">on community television </w:t>
      </w:r>
      <w:r w:rsidR="0009037C">
        <w:rPr>
          <w:rFonts w:ascii="Arial" w:hAnsi="Arial" w:cs="Arial"/>
        </w:rPr>
        <w:t xml:space="preserve">stations </w:t>
      </w:r>
      <w:r w:rsidRPr="0009037C">
        <w:rPr>
          <w:rFonts w:ascii="Arial" w:hAnsi="Arial" w:cs="Arial"/>
        </w:rPr>
        <w:t xml:space="preserve">during the </w:t>
      </w:r>
      <w:r w:rsidR="0009037C">
        <w:rPr>
          <w:rFonts w:ascii="Arial" w:hAnsi="Arial" w:cs="Arial"/>
        </w:rPr>
        <w:t>(aaa)</w:t>
      </w:r>
      <w:r w:rsidRPr="0009037C">
        <w:rPr>
          <w:rFonts w:ascii="Arial" w:hAnsi="Arial" w:cs="Arial"/>
        </w:rPr>
        <w:t xml:space="preserve"> 2015/16 financial year </w:t>
      </w:r>
      <w:r w:rsidR="0009037C">
        <w:rPr>
          <w:rFonts w:ascii="Arial" w:hAnsi="Arial" w:cs="Arial"/>
        </w:rPr>
        <w:t xml:space="preserve">nor (bbb) since </w:t>
      </w:r>
      <w:r w:rsidRPr="0009037C">
        <w:rPr>
          <w:rFonts w:ascii="Arial" w:hAnsi="Arial" w:cs="Arial"/>
        </w:rPr>
        <w:t xml:space="preserve">1 April to </w:t>
      </w:r>
      <w:r w:rsidR="0009037C">
        <w:rPr>
          <w:rFonts w:ascii="Arial" w:hAnsi="Arial" w:cs="Arial"/>
        </w:rPr>
        <w:t xml:space="preserve">31 </w:t>
      </w:r>
      <w:r w:rsidRPr="0009037C">
        <w:rPr>
          <w:rFonts w:ascii="Arial" w:hAnsi="Arial" w:cs="Arial"/>
        </w:rPr>
        <w:t>August 2016.</w:t>
      </w:r>
    </w:p>
    <w:p w:rsidR="002F037E" w:rsidRPr="009047FB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  <w:lang w:val="en-ZA"/>
        </w:rPr>
      </w:pPr>
      <w:r w:rsidRPr="009047FB">
        <w:rPr>
          <w:rFonts w:ascii="Arial" w:hAnsi="Arial" w:cs="Arial"/>
        </w:rPr>
        <w:lastRenderedPageBreak/>
        <w:t xml:space="preserve">(bb) </w:t>
      </w:r>
      <w:r w:rsidR="003627D3">
        <w:rPr>
          <w:rFonts w:ascii="Arial" w:hAnsi="Arial" w:cs="Arial"/>
        </w:rPr>
        <w:t xml:space="preserve">Background to spending: </w:t>
      </w:r>
      <w:r w:rsidRPr="009047FB">
        <w:rPr>
          <w:rFonts w:ascii="Arial" w:hAnsi="Arial" w:cs="Arial"/>
        </w:rPr>
        <w:t xml:space="preserve">In the 2015/2016 financial year, the DOJ&amp;CD, in partnership with the National Prosecuting Authority (NPA), initiated an educational campaign on community radio called </w:t>
      </w:r>
      <w:r w:rsidRPr="009047FB">
        <w:rPr>
          <w:rFonts w:ascii="Arial" w:hAnsi="Arial" w:cs="Arial"/>
          <w:i/>
        </w:rPr>
        <w:t>Let’s Talk Justice: Live Your Rights</w:t>
      </w:r>
      <w:r w:rsidRPr="009047FB">
        <w:rPr>
          <w:rFonts w:ascii="Arial" w:hAnsi="Arial" w:cs="Arial"/>
        </w:rPr>
        <w:t xml:space="preserve">. </w:t>
      </w:r>
    </w:p>
    <w:p w:rsidR="002F037E" w:rsidRPr="009047FB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The programme, which is currently in its second season, is facilitated through the Government Communication and Information System (GCIS) and broadcast every Thursday between 1</w:t>
      </w:r>
      <w:r w:rsidR="00946128">
        <w:rPr>
          <w:rFonts w:ascii="Arial" w:hAnsi="Arial" w:cs="Arial"/>
        </w:rPr>
        <w:t>8h05 to 19</w:t>
      </w:r>
      <w:r w:rsidRPr="009047FB">
        <w:rPr>
          <w:rFonts w:ascii="Arial" w:hAnsi="Arial" w:cs="Arial"/>
        </w:rPr>
        <w:t xml:space="preserve">h05. The programme is linked to 65 community radio stations and covers a range of justice related topics such as domestic violence, maintenance, sexual offences, expungement of criminal records, Constitutional rights, </w:t>
      </w:r>
      <w:r w:rsidR="001E49FD" w:rsidRPr="009047FB">
        <w:rPr>
          <w:rFonts w:ascii="Arial" w:hAnsi="Arial" w:cs="Arial"/>
        </w:rPr>
        <w:t>and etcetera</w:t>
      </w:r>
      <w:r w:rsidRPr="009047FB">
        <w:rPr>
          <w:rFonts w:ascii="Arial" w:hAnsi="Arial" w:cs="Arial"/>
        </w:rPr>
        <w:t xml:space="preserve">.  </w:t>
      </w:r>
    </w:p>
    <w:p w:rsidR="002F037E" w:rsidRPr="009047FB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The programme is one of the DOJ&amp;CD’s efforts to educate the public on how to access justice services. It promotes a free flow of information, open dialogue, transparency, and accountability</w:t>
      </w:r>
      <w:r w:rsidR="003627D3">
        <w:rPr>
          <w:rFonts w:ascii="Arial" w:hAnsi="Arial" w:cs="Arial"/>
        </w:rPr>
        <w:t>,</w:t>
      </w:r>
      <w:r w:rsidRPr="009047FB">
        <w:rPr>
          <w:rFonts w:ascii="Arial" w:hAnsi="Arial" w:cs="Arial"/>
        </w:rPr>
        <w:t xml:space="preserve"> all of which are fundamental tenets of a thriving democracy. </w:t>
      </w:r>
    </w:p>
    <w:p w:rsidR="002F037E" w:rsidRPr="009047FB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 xml:space="preserve">It also sought to encourage the public to unite in the protection of human rights and urge them to exercise their responsibilities as reflected in the Constitution. </w:t>
      </w:r>
    </w:p>
    <w:p w:rsidR="002F037E" w:rsidRPr="00791085" w:rsidRDefault="002F037E" w:rsidP="002F037E">
      <w:pPr>
        <w:spacing w:before="120" w:after="120" w:line="360" w:lineRule="auto"/>
        <w:ind w:left="1440"/>
        <w:jc w:val="both"/>
        <w:rPr>
          <w:rFonts w:ascii="Arial" w:hAnsi="Arial" w:cs="Arial"/>
          <w:b/>
        </w:rPr>
      </w:pPr>
      <w:r w:rsidRPr="00791085">
        <w:rPr>
          <w:rFonts w:ascii="Arial" w:hAnsi="Arial" w:cs="Arial"/>
          <w:b/>
        </w:rPr>
        <w:t xml:space="preserve">Financial </w:t>
      </w:r>
      <w:r>
        <w:rPr>
          <w:rFonts w:ascii="Arial" w:hAnsi="Arial" w:cs="Arial"/>
          <w:b/>
        </w:rPr>
        <w:t>implication</w:t>
      </w:r>
      <w:r w:rsidR="003627D3">
        <w:rPr>
          <w:rFonts w:ascii="Arial" w:hAnsi="Arial" w:cs="Arial"/>
          <w:b/>
        </w:rPr>
        <w:t>s:</w:t>
      </w:r>
      <w:r>
        <w:rPr>
          <w:rFonts w:ascii="Arial" w:hAnsi="Arial" w:cs="Arial"/>
          <w:b/>
        </w:rPr>
        <w:t xml:space="preserve"> </w:t>
      </w:r>
    </w:p>
    <w:p w:rsidR="002F037E" w:rsidRPr="009047FB" w:rsidRDefault="002F037E" w:rsidP="003627D3">
      <w:pPr>
        <w:spacing w:before="120" w:after="120" w:line="360" w:lineRule="auto"/>
        <w:ind w:left="216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(aaa) In the first season of the Let</w:t>
      </w:r>
      <w:r w:rsidR="003627D3">
        <w:rPr>
          <w:rFonts w:ascii="Arial" w:hAnsi="Arial" w:cs="Arial"/>
        </w:rPr>
        <w:t>’</w:t>
      </w:r>
      <w:r w:rsidRPr="009047FB">
        <w:rPr>
          <w:rFonts w:ascii="Arial" w:hAnsi="Arial" w:cs="Arial"/>
        </w:rPr>
        <w:t xml:space="preserve">s Talk Justice programme, the DOJ&amp;CD invested a total of </w:t>
      </w:r>
      <w:r w:rsidRPr="009047FB">
        <w:rPr>
          <w:rFonts w:ascii="Arial" w:hAnsi="Arial" w:cs="Arial"/>
          <w:bCs/>
          <w:lang w:val="en-ZA"/>
        </w:rPr>
        <w:t xml:space="preserve">R7 572 000.00 which covered a total of </w:t>
      </w:r>
      <w:r w:rsidRPr="009047FB">
        <w:rPr>
          <w:rFonts w:ascii="Arial" w:hAnsi="Arial" w:cs="Arial"/>
        </w:rPr>
        <w:t xml:space="preserve">29 episodes that were linked to 63 participating community radio stations across the country. </w:t>
      </w:r>
    </w:p>
    <w:p w:rsidR="002F037E" w:rsidRPr="009047FB" w:rsidRDefault="002F037E" w:rsidP="003627D3">
      <w:pPr>
        <w:spacing w:before="120" w:after="120" w:line="360" w:lineRule="auto"/>
        <w:ind w:left="2160"/>
        <w:jc w:val="both"/>
        <w:rPr>
          <w:rFonts w:ascii="Arial" w:hAnsi="Arial" w:cs="Arial"/>
        </w:rPr>
      </w:pPr>
      <w:r w:rsidRPr="009047FB">
        <w:rPr>
          <w:rFonts w:ascii="Arial" w:hAnsi="Arial" w:cs="Arial"/>
        </w:rPr>
        <w:t>(bbb) In the second season (2016/17)</w:t>
      </w:r>
      <w:r w:rsidR="003627D3">
        <w:rPr>
          <w:rFonts w:ascii="Arial" w:hAnsi="Arial" w:cs="Arial"/>
        </w:rPr>
        <w:t>,</w:t>
      </w:r>
      <w:r w:rsidRPr="009047FB">
        <w:rPr>
          <w:rFonts w:ascii="Arial" w:hAnsi="Arial" w:cs="Arial"/>
        </w:rPr>
        <w:t xml:space="preserve"> the DOJ&amp;CD has budgeted a total of </w:t>
      </w:r>
      <w:r w:rsidRPr="009047FB">
        <w:rPr>
          <w:rFonts w:ascii="Arial" w:hAnsi="Arial" w:cs="Arial"/>
          <w:bCs/>
          <w:lang w:val="en-ZA"/>
        </w:rPr>
        <w:t xml:space="preserve">R10 072 000.00 for </w:t>
      </w:r>
      <w:r w:rsidRPr="009047FB">
        <w:rPr>
          <w:rFonts w:ascii="Arial" w:hAnsi="Arial" w:cs="Arial"/>
        </w:rPr>
        <w:t xml:space="preserve">26 episodes that are linked to 65 </w:t>
      </w:r>
      <w:r w:rsidRPr="00935902">
        <w:rPr>
          <w:rFonts w:ascii="Arial" w:hAnsi="Arial" w:cs="Arial"/>
        </w:rPr>
        <w:t xml:space="preserve">participating community radio stations across the country. </w:t>
      </w:r>
      <w:r w:rsidR="00566F03" w:rsidRPr="00935902">
        <w:rPr>
          <w:rFonts w:ascii="Arial" w:hAnsi="Arial" w:cs="Arial"/>
        </w:rPr>
        <w:t>This means that one episode is broadcast</w:t>
      </w:r>
      <w:r w:rsidR="001E49FD" w:rsidRPr="00935902">
        <w:rPr>
          <w:rFonts w:ascii="Arial" w:hAnsi="Arial" w:cs="Arial"/>
        </w:rPr>
        <w:t>ed</w:t>
      </w:r>
      <w:r w:rsidR="00566F03" w:rsidRPr="00935902">
        <w:rPr>
          <w:rFonts w:ascii="Arial" w:hAnsi="Arial" w:cs="Arial"/>
        </w:rPr>
        <w:t xml:space="preserve"> in 65 community radio station. Each radio station is charging R6000 per episode and there </w:t>
      </w:r>
      <w:r w:rsidR="00B455A3" w:rsidRPr="00935902">
        <w:rPr>
          <w:rFonts w:ascii="Arial" w:hAnsi="Arial" w:cs="Arial"/>
        </w:rPr>
        <w:t xml:space="preserve">is a </w:t>
      </w:r>
      <w:r w:rsidR="00566F03" w:rsidRPr="00935902">
        <w:rPr>
          <w:rFonts w:ascii="Arial" w:hAnsi="Arial" w:cs="Arial"/>
        </w:rPr>
        <w:t>satellite cost amount</w:t>
      </w:r>
      <w:r w:rsidR="001E49FD" w:rsidRPr="00935902">
        <w:rPr>
          <w:rFonts w:ascii="Arial" w:hAnsi="Arial" w:cs="Arial"/>
        </w:rPr>
        <w:t>ing</w:t>
      </w:r>
      <w:r w:rsidR="00566F03" w:rsidRPr="00935902">
        <w:rPr>
          <w:rFonts w:ascii="Arial" w:hAnsi="Arial" w:cs="Arial"/>
        </w:rPr>
        <w:t xml:space="preserve"> to R27</w:t>
      </w:r>
      <w:r w:rsidR="001E49FD" w:rsidRPr="00935902">
        <w:rPr>
          <w:rFonts w:ascii="Arial" w:hAnsi="Arial" w:cs="Arial"/>
        </w:rPr>
        <w:t xml:space="preserve"> </w:t>
      </w:r>
      <w:r w:rsidR="00566F03" w:rsidRPr="00935902">
        <w:rPr>
          <w:rFonts w:ascii="Arial" w:hAnsi="Arial" w:cs="Arial"/>
        </w:rPr>
        <w:t xml:space="preserve">360. The satellite is important as it enables GCIS to link an episode into all 65 community radio </w:t>
      </w:r>
      <w:r w:rsidR="00566F03" w:rsidRPr="00935902">
        <w:rPr>
          <w:rFonts w:ascii="Arial" w:hAnsi="Arial" w:cs="Arial"/>
        </w:rPr>
        <w:lastRenderedPageBreak/>
        <w:t xml:space="preserve">stations. The programme enables us to reach an estimated </w:t>
      </w:r>
      <w:r w:rsidR="00575FFF" w:rsidRPr="00935902">
        <w:rPr>
          <w:rFonts w:ascii="Arial" w:hAnsi="Arial" w:cs="Arial"/>
        </w:rPr>
        <w:t>listenership</w:t>
      </w:r>
      <w:r w:rsidR="00566F03" w:rsidRPr="00935902">
        <w:rPr>
          <w:rFonts w:ascii="Arial" w:hAnsi="Arial" w:cs="Arial"/>
        </w:rPr>
        <w:t xml:space="preserve"> of 1 400 000. This translates to just over R3 per listener.</w:t>
      </w:r>
      <w:r w:rsidR="00935902">
        <w:rPr>
          <w:rFonts w:ascii="Arial" w:hAnsi="Arial" w:cs="Arial"/>
        </w:rPr>
        <w:t xml:space="preserve"> </w:t>
      </w:r>
      <w:r w:rsidRPr="009047FB">
        <w:rPr>
          <w:rFonts w:ascii="Arial" w:hAnsi="Arial" w:cs="Arial"/>
        </w:rPr>
        <w:t>This financial year</w:t>
      </w:r>
      <w:r w:rsidR="003627D3">
        <w:rPr>
          <w:rFonts w:ascii="Arial" w:hAnsi="Arial" w:cs="Arial"/>
        </w:rPr>
        <w:t>’s</w:t>
      </w:r>
      <w:r w:rsidRPr="009047FB">
        <w:rPr>
          <w:rFonts w:ascii="Arial" w:hAnsi="Arial" w:cs="Arial"/>
        </w:rPr>
        <w:t xml:space="preserve"> programme commenced on </w:t>
      </w:r>
      <w:r w:rsidR="001E49FD">
        <w:rPr>
          <w:rFonts w:ascii="Arial" w:hAnsi="Arial" w:cs="Arial"/>
        </w:rPr>
        <w:t xml:space="preserve">               </w:t>
      </w:r>
      <w:r w:rsidRPr="009047FB">
        <w:rPr>
          <w:rFonts w:ascii="Arial" w:hAnsi="Arial" w:cs="Arial"/>
        </w:rPr>
        <w:t xml:space="preserve">9 June </w:t>
      </w:r>
      <w:r w:rsidR="003627D3">
        <w:rPr>
          <w:rFonts w:ascii="Arial" w:hAnsi="Arial" w:cs="Arial"/>
        </w:rPr>
        <w:t xml:space="preserve">2016, </w:t>
      </w:r>
      <w:r w:rsidRPr="009047FB">
        <w:rPr>
          <w:rFonts w:ascii="Arial" w:hAnsi="Arial" w:cs="Arial"/>
        </w:rPr>
        <w:t xml:space="preserve">and by end of August </w:t>
      </w:r>
      <w:r w:rsidR="003627D3">
        <w:rPr>
          <w:rFonts w:ascii="Arial" w:hAnsi="Arial" w:cs="Arial"/>
        </w:rPr>
        <w:t xml:space="preserve">2016, </w:t>
      </w:r>
      <w:r w:rsidRPr="009047FB">
        <w:rPr>
          <w:rFonts w:ascii="Arial" w:hAnsi="Arial" w:cs="Arial"/>
        </w:rPr>
        <w:t xml:space="preserve">11 episodes had already been coordinated. </w:t>
      </w:r>
    </w:p>
    <w:p w:rsidR="002F037E" w:rsidRPr="003627D3" w:rsidRDefault="002F037E" w:rsidP="003627D3">
      <w:pPr>
        <w:spacing w:before="120" w:after="120" w:line="360" w:lineRule="auto"/>
        <w:jc w:val="both"/>
        <w:rPr>
          <w:rFonts w:ascii="Arial" w:hAnsi="Arial" w:cs="Arial"/>
        </w:rPr>
      </w:pPr>
    </w:p>
    <w:p w:rsidR="00FF20F0" w:rsidRDefault="00357AF5" w:rsidP="00357AF5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(A)(aaa) </w:t>
      </w:r>
      <w:r w:rsidR="003627D3">
        <w:rPr>
          <w:rFonts w:ascii="Arial" w:hAnsi="Arial" w:cs="Arial"/>
        </w:rPr>
        <w:t xml:space="preserve">Regarding the </w:t>
      </w:r>
      <w:r w:rsidR="003627D3" w:rsidRPr="0042067B">
        <w:rPr>
          <w:rFonts w:ascii="Arial" w:hAnsi="Arial" w:cs="Arial"/>
          <w:b/>
        </w:rPr>
        <w:t>National Prosecuting Authority</w:t>
      </w:r>
      <w:r w:rsidR="003627D3">
        <w:rPr>
          <w:rFonts w:ascii="Arial" w:hAnsi="Arial" w:cs="Arial"/>
        </w:rPr>
        <w:t>, t</w:t>
      </w:r>
      <w:r w:rsidR="00FF20F0" w:rsidRPr="00FF20F0">
        <w:rPr>
          <w:rFonts w:ascii="Arial" w:hAnsi="Arial" w:cs="Arial"/>
        </w:rPr>
        <w:t>he NPA contributed R4,</w:t>
      </w:r>
      <w:r w:rsidR="00DA6719">
        <w:rPr>
          <w:rFonts w:ascii="Arial" w:hAnsi="Arial" w:cs="Arial"/>
        </w:rPr>
        <w:t xml:space="preserve"> </w:t>
      </w:r>
      <w:r w:rsidR="00FF20F0" w:rsidRPr="00FF20F0">
        <w:rPr>
          <w:rFonts w:ascii="Arial" w:hAnsi="Arial" w:cs="Arial"/>
        </w:rPr>
        <w:t>8 million to the community radio</w:t>
      </w:r>
      <w:r w:rsidR="00FF20F0">
        <w:rPr>
          <w:rFonts w:ascii="Arial" w:hAnsi="Arial" w:cs="Arial"/>
        </w:rPr>
        <w:t xml:space="preserve"> awareness</w:t>
      </w:r>
      <w:r w:rsidR="00FF20F0" w:rsidRPr="00FF20F0">
        <w:rPr>
          <w:rFonts w:ascii="Arial" w:hAnsi="Arial" w:cs="Arial"/>
        </w:rPr>
        <w:t xml:space="preserve"> campaign</w:t>
      </w:r>
      <w:r w:rsidR="00FF20F0" w:rsidRPr="00FF20F0">
        <w:rPr>
          <w:rFonts w:ascii="Arial" w:hAnsi="Arial" w:cs="Arial"/>
          <w:i/>
        </w:rPr>
        <w:t xml:space="preserve"> </w:t>
      </w:r>
      <w:r w:rsidR="00FF20F0" w:rsidRPr="00FF20F0">
        <w:rPr>
          <w:rFonts w:ascii="Arial" w:hAnsi="Arial" w:cs="Arial"/>
          <w:b/>
          <w:i/>
        </w:rPr>
        <w:t>Let’s</w:t>
      </w:r>
      <w:r w:rsidR="00FF20F0" w:rsidRPr="00FF20F0">
        <w:rPr>
          <w:rFonts w:ascii="Arial" w:hAnsi="Arial" w:cs="Arial"/>
          <w:i/>
        </w:rPr>
        <w:t xml:space="preserve"> </w:t>
      </w:r>
      <w:r w:rsidR="00FF20F0" w:rsidRPr="00FF20F0">
        <w:rPr>
          <w:rFonts w:ascii="Arial" w:hAnsi="Arial" w:cs="Arial"/>
          <w:b/>
          <w:i/>
        </w:rPr>
        <w:t>Talk Justice</w:t>
      </w:r>
      <w:r w:rsidR="00FF20F0" w:rsidRPr="00FF20F0">
        <w:rPr>
          <w:rFonts w:ascii="Arial" w:hAnsi="Arial" w:cs="Arial"/>
        </w:rPr>
        <w:t>. The Department’s</w:t>
      </w:r>
      <w:r w:rsidR="00FF2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 Education and Communication’s Unit</w:t>
      </w:r>
      <w:r w:rsidR="00FF20F0" w:rsidRPr="00FF20F0">
        <w:rPr>
          <w:rFonts w:ascii="Arial" w:hAnsi="Arial" w:cs="Arial"/>
        </w:rPr>
        <w:t xml:space="preserve"> overall response in this regard will therefore cover the NPA in respect of </w:t>
      </w:r>
      <w:r>
        <w:rPr>
          <w:rFonts w:ascii="Arial" w:hAnsi="Arial" w:cs="Arial"/>
        </w:rPr>
        <w:t xml:space="preserve">the </w:t>
      </w:r>
      <w:r w:rsidR="00FF20F0" w:rsidRPr="00FF20F0">
        <w:rPr>
          <w:rFonts w:ascii="Arial" w:hAnsi="Arial" w:cs="Arial"/>
        </w:rPr>
        <w:t>2015</w:t>
      </w:r>
      <w:r>
        <w:rPr>
          <w:rFonts w:ascii="Arial" w:hAnsi="Arial" w:cs="Arial"/>
        </w:rPr>
        <w:t>/</w:t>
      </w:r>
      <w:r w:rsidR="00FF20F0" w:rsidRPr="00FF20F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financial year</w:t>
      </w:r>
      <w:r w:rsidR="00FF20F0" w:rsidRPr="00FF20F0">
        <w:rPr>
          <w:rFonts w:ascii="Arial" w:hAnsi="Arial" w:cs="Arial"/>
        </w:rPr>
        <w:t>. No other expenditure was incurred outside the above-mentioned campaign in 2015</w:t>
      </w:r>
      <w:r>
        <w:rPr>
          <w:rFonts w:ascii="Arial" w:hAnsi="Arial" w:cs="Arial"/>
        </w:rPr>
        <w:t>/</w:t>
      </w:r>
      <w:r w:rsidR="00FF20F0" w:rsidRPr="00FF20F0">
        <w:rPr>
          <w:rFonts w:ascii="Arial" w:hAnsi="Arial" w:cs="Arial"/>
        </w:rPr>
        <w:t xml:space="preserve">16, and </w:t>
      </w:r>
      <w:r>
        <w:rPr>
          <w:rFonts w:ascii="Arial" w:hAnsi="Arial" w:cs="Arial"/>
        </w:rPr>
        <w:t xml:space="preserve">(bbb) </w:t>
      </w:r>
      <w:r w:rsidR="00FF20F0" w:rsidRPr="00FF20F0">
        <w:rPr>
          <w:rFonts w:ascii="Arial" w:hAnsi="Arial" w:cs="Arial"/>
        </w:rPr>
        <w:t>there has been no expenditure</w:t>
      </w:r>
      <w:r w:rsidR="004D4FE9">
        <w:rPr>
          <w:rFonts w:ascii="Arial" w:hAnsi="Arial" w:cs="Arial"/>
        </w:rPr>
        <w:t xml:space="preserve"> on advertising</w:t>
      </w:r>
      <w:r w:rsidR="00FF20F0" w:rsidRPr="00FF20F0">
        <w:rPr>
          <w:rFonts w:ascii="Arial" w:hAnsi="Arial" w:cs="Arial"/>
        </w:rPr>
        <w:t xml:space="preserve"> since 1 April 2016 to date, due to budget constraints.</w:t>
      </w:r>
    </w:p>
    <w:p w:rsidR="00983C6B" w:rsidRDefault="00983C6B" w:rsidP="00FF20F0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83532B" w:rsidRPr="0083532B" w:rsidRDefault="0046240D" w:rsidP="0046240D">
      <w:pPr>
        <w:spacing w:before="120" w:after="120" w:line="360" w:lineRule="auto"/>
        <w:ind w:left="709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(aaa) </w:t>
      </w:r>
      <w:r w:rsidR="0083532B" w:rsidRPr="0083532B">
        <w:rPr>
          <w:rFonts w:ascii="Arial" w:hAnsi="Arial" w:cs="Arial"/>
        </w:rPr>
        <w:t>During the financial year 2015/16</w:t>
      </w:r>
      <w:r>
        <w:rPr>
          <w:rFonts w:ascii="Arial" w:hAnsi="Arial" w:cs="Arial"/>
        </w:rPr>
        <w:t>,</w:t>
      </w:r>
      <w:r w:rsidR="0083532B" w:rsidRPr="0083532B">
        <w:rPr>
          <w:rFonts w:ascii="Arial" w:hAnsi="Arial" w:cs="Arial"/>
        </w:rPr>
        <w:t xml:space="preserve"> the </w:t>
      </w:r>
      <w:r w:rsidR="0083532B" w:rsidRPr="0042067B">
        <w:rPr>
          <w:rFonts w:ascii="Arial" w:hAnsi="Arial" w:cs="Arial"/>
          <w:b/>
        </w:rPr>
        <w:t>Special Investigating Unit</w:t>
      </w:r>
      <w:r w:rsidR="0083532B" w:rsidRPr="0083532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="0083532B" w:rsidRPr="0083532B">
        <w:rPr>
          <w:rFonts w:ascii="Arial" w:hAnsi="Arial" w:cs="Arial"/>
        </w:rPr>
        <w:t>(SIU)</w:t>
      </w:r>
      <w:r>
        <w:rPr>
          <w:rFonts w:ascii="Arial" w:hAnsi="Arial" w:cs="Arial"/>
        </w:rPr>
        <w:t xml:space="preserve"> </w:t>
      </w:r>
      <w:r w:rsidR="0083532B" w:rsidRPr="0083532B">
        <w:rPr>
          <w:rFonts w:ascii="Arial" w:hAnsi="Arial" w:cs="Arial"/>
        </w:rPr>
        <w:t>has not incurred cost on radio or TV advertising. All the interviews done were a free service.</w:t>
      </w:r>
    </w:p>
    <w:p w:rsidR="00983C6B" w:rsidRDefault="00983C6B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0A0808" w:rsidRDefault="0046240D" w:rsidP="0046240D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(C)   </w:t>
      </w:r>
      <w:r w:rsidR="000A0808">
        <w:rPr>
          <w:rFonts w:ascii="Arial" w:hAnsi="Arial" w:cs="Arial"/>
          <w:b/>
        </w:rPr>
        <w:t>LEGAL AID SOUTH AFRICA</w:t>
      </w:r>
    </w:p>
    <w:p w:rsidR="000A0808" w:rsidRDefault="000A0808" w:rsidP="0046240D">
      <w:pPr>
        <w:spacing w:line="360" w:lineRule="auto"/>
        <w:ind w:left="709"/>
        <w:jc w:val="both"/>
        <w:rPr>
          <w:rFonts w:ascii="Arial" w:hAnsi="Arial" w:cs="Arial"/>
        </w:rPr>
      </w:pPr>
      <w:r w:rsidRPr="00631EA5">
        <w:rPr>
          <w:rFonts w:ascii="Arial" w:hAnsi="Arial" w:cs="Arial"/>
        </w:rPr>
        <w:t xml:space="preserve">I wish to inform the Honorable Member that </w:t>
      </w:r>
      <w:r w:rsidRPr="00631EA5">
        <w:rPr>
          <w:rFonts w:ascii="Arial" w:hAnsi="Arial" w:cs="Arial"/>
          <w:u w:val="single"/>
        </w:rPr>
        <w:t>Legal Aid SA</w:t>
      </w:r>
      <w:r w:rsidRPr="00631EA5">
        <w:rPr>
          <w:rFonts w:ascii="Arial" w:hAnsi="Arial" w:cs="Arial"/>
        </w:rPr>
        <w:t xml:space="preserve"> spent the following total amounts in relation </w:t>
      </w:r>
      <w:r>
        <w:rPr>
          <w:rFonts w:ascii="Arial" w:hAnsi="Arial" w:cs="Arial"/>
        </w:rPr>
        <w:t xml:space="preserve">to </w:t>
      </w:r>
      <w:r w:rsidRPr="00631EA5">
        <w:rPr>
          <w:rFonts w:ascii="Arial" w:hAnsi="Arial" w:cs="Arial"/>
        </w:rPr>
        <w:t xml:space="preserve">advertising:  </w:t>
      </w:r>
    </w:p>
    <w:p w:rsidR="000A0808" w:rsidRDefault="000A0808" w:rsidP="0046240D">
      <w:pPr>
        <w:spacing w:line="360" w:lineRule="auto"/>
        <w:jc w:val="both"/>
        <w:rPr>
          <w:rFonts w:ascii="Arial" w:hAnsi="Arial" w:cs="Arial"/>
        </w:rPr>
      </w:pPr>
    </w:p>
    <w:tbl>
      <w:tblPr>
        <w:tblW w:w="9558" w:type="dxa"/>
        <w:tblInd w:w="18" w:type="dxa"/>
        <w:tblLook w:val="04A0"/>
      </w:tblPr>
      <w:tblGrid>
        <w:gridCol w:w="2779"/>
        <w:gridCol w:w="4680"/>
        <w:gridCol w:w="2099"/>
      </w:tblGrid>
      <w:tr w:rsidR="000A0808" w:rsidRPr="00631EA5" w:rsidTr="001E49FD">
        <w:trPr>
          <w:trHeight w:val="330"/>
          <w:tblHeader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808" w:rsidRPr="00631EA5" w:rsidRDefault="000A0808" w:rsidP="001E49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Financial Year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808" w:rsidRPr="00631EA5" w:rsidRDefault="001E49FD" w:rsidP="001E49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808" w:rsidRPr="00631EA5" w:rsidRDefault="001E49FD" w:rsidP="001E49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vertisement </w:t>
            </w: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Television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2067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(aaa) 2015</w:t>
            </w:r>
            <w:r w:rsidR="0042067B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(i) ANN7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(ii) SA Broadcasting Corporation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(aa) Television channels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60 750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SABC 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R146 250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SABC 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R364 500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SABC 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R150 000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(bb) Radio stations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465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899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Lotus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RSG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SAFM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Ukhozi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Umhlobo Wenene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Lesedi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Thobela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Ikwekwezi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Ligwalagwala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Munghana Lonene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Phalaphala FM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(iii) National Commercial Radio stations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(iv) C</w:t>
            </w: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ommunity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ind w:left="45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(aa) Television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ind w:firstLine="45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(bb) Radio stations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R0</w:t>
            </w:r>
          </w:p>
        </w:tc>
      </w:tr>
      <w:tr w:rsidR="000A0808" w:rsidRPr="00347704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347704" w:rsidRDefault="000A0808" w:rsidP="00907D0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for 2015</w:t>
            </w:r>
            <w:r w:rsidR="00907D0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Pr="0034770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91559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/>
                <w:color w:val="000000"/>
                <w:sz w:val="22"/>
                <w:szCs w:val="22"/>
              </w:rPr>
              <w:t>R1</w:t>
            </w:r>
            <w:r w:rsidR="0091559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126 649</w:t>
            </w:r>
          </w:p>
        </w:tc>
      </w:tr>
      <w:tr w:rsidR="000A0808" w:rsidRPr="00631EA5" w:rsidTr="0042067B">
        <w:trPr>
          <w:trHeight w:val="7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0808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A0808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907D0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(bbb) </w:t>
            </w:r>
            <w:r w:rsidR="00907D01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631EA5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ince 1 April 2016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SABC Radio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R933 840</w:t>
            </w:r>
          </w:p>
        </w:tc>
      </w:tr>
      <w:tr w:rsidR="000A0808" w:rsidRPr="00631EA5" w:rsidTr="0042067B">
        <w:trPr>
          <w:trHeight w:val="3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SABC TV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EA5">
              <w:rPr>
                <w:rFonts w:ascii="Arial" w:hAnsi="Arial" w:cs="Arial"/>
                <w:color w:val="000000"/>
                <w:sz w:val="22"/>
                <w:szCs w:val="22"/>
              </w:rPr>
              <w:t>R1 215 000</w:t>
            </w: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Default="000A0808" w:rsidP="00907D0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Committed expenditure in 2016</w:t>
            </w:r>
            <w:r w:rsidR="00907D0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E-TV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R600 000</w:t>
            </w: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SABC Radio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R935 404</w:t>
            </w:r>
          </w:p>
        </w:tc>
      </w:tr>
      <w:tr w:rsidR="000A0808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SABC TV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R684 000</w:t>
            </w:r>
          </w:p>
        </w:tc>
      </w:tr>
      <w:tr w:rsidR="000A0808" w:rsidRPr="00631EA5" w:rsidTr="00302EFE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808" w:rsidRPr="00631EA5" w:rsidRDefault="000A0808" w:rsidP="00907D0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70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for 2016</w:t>
            </w:r>
            <w:r w:rsidR="00907D01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08" w:rsidRPr="00631EA5" w:rsidRDefault="000A0808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1E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08" w:rsidRPr="00347704" w:rsidRDefault="000A0808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7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R4 368 244</w:t>
            </w:r>
          </w:p>
        </w:tc>
      </w:tr>
      <w:tr w:rsidR="00302EFE" w:rsidRPr="00631EA5" w:rsidTr="0042067B">
        <w:trPr>
          <w:trHeight w:val="31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E" w:rsidRPr="00347704" w:rsidRDefault="00302EFE" w:rsidP="00907D0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FE" w:rsidRPr="00631EA5" w:rsidRDefault="00302EFE" w:rsidP="0046240D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FE" w:rsidRPr="00347704" w:rsidRDefault="00302EFE" w:rsidP="0046240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A0808" w:rsidRDefault="000A0808" w:rsidP="0046240D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A0808" w:rsidRDefault="000A0808" w:rsidP="004624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0808" w:rsidRDefault="000A0808" w:rsidP="004624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2EFE" w:rsidRDefault="00302EFE" w:rsidP="00302EFE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The </w:t>
      </w:r>
      <w:r w:rsidRPr="00302EFE">
        <w:rPr>
          <w:rFonts w:ascii="Arial" w:hAnsi="Arial" w:cs="Arial"/>
          <w:b/>
        </w:rPr>
        <w:t>Office of the Chief Justice</w:t>
      </w:r>
      <w:r>
        <w:rPr>
          <w:rFonts w:ascii="Arial" w:hAnsi="Arial" w:cs="Arial"/>
        </w:rPr>
        <w:t xml:space="preserve"> did not spend on advertising on the (i) Africa News Network 7 channel, (ii) SA Broadcasting Corporation (aa) television channels and (bb) radio stations, (iii) national commercial radio stations and (iv) community (aa) television and (bb) radio stations (aaa) for the 2015-16 financial year and (bbb) as well for the current financial year. </w:t>
      </w: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302EFE" w:rsidRDefault="00302EFE" w:rsidP="0046240D">
      <w:pPr>
        <w:spacing w:line="360" w:lineRule="auto"/>
        <w:jc w:val="both"/>
        <w:rPr>
          <w:rFonts w:ascii="Arial" w:hAnsi="Arial" w:cs="Arial"/>
          <w:b/>
        </w:rPr>
      </w:pPr>
    </w:p>
    <w:p w:rsidR="000A0808" w:rsidRPr="009C1DDD" w:rsidRDefault="000A0808" w:rsidP="004624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0808" w:rsidRPr="00FE64CB" w:rsidRDefault="000A0808" w:rsidP="0046240D">
      <w:pPr>
        <w:spacing w:line="360" w:lineRule="auto"/>
        <w:jc w:val="both"/>
        <w:rPr>
          <w:rFonts w:ascii="Arial" w:hAnsi="Arial" w:cs="Arial"/>
          <w:b/>
        </w:rPr>
      </w:pPr>
    </w:p>
    <w:sectPr w:rsidR="000A0808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83" w:rsidRDefault="006C0C83" w:rsidP="00913892">
      <w:r>
        <w:separator/>
      </w:r>
    </w:p>
  </w:endnote>
  <w:endnote w:type="continuationSeparator" w:id="0">
    <w:p w:rsidR="006C0C83" w:rsidRDefault="006C0C83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825539" w:rsidRPr="00825539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83" w:rsidRDefault="006C0C83" w:rsidP="00913892">
      <w:r>
        <w:separator/>
      </w:r>
    </w:p>
  </w:footnote>
  <w:footnote w:type="continuationSeparator" w:id="0">
    <w:p w:rsidR="006C0C83" w:rsidRDefault="006C0C83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161BCB"/>
    <w:multiLevelType w:val="hybridMultilevel"/>
    <w:tmpl w:val="272C137C"/>
    <w:lvl w:ilvl="0" w:tplc="513254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164772F"/>
    <w:multiLevelType w:val="hybridMultilevel"/>
    <w:tmpl w:val="F6E08CA0"/>
    <w:lvl w:ilvl="0" w:tplc="F32C959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C1A9A"/>
    <w:multiLevelType w:val="hybridMultilevel"/>
    <w:tmpl w:val="D14A8A46"/>
    <w:lvl w:ilvl="0" w:tplc="26643932">
      <w:start w:val="1"/>
      <w:numFmt w:val="lowerLetter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182682E"/>
    <w:multiLevelType w:val="hybridMultilevel"/>
    <w:tmpl w:val="D2A0E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0"/>
  </w:num>
  <w:num w:numId="5">
    <w:abstractNumId w:val="26"/>
  </w:num>
  <w:num w:numId="6">
    <w:abstractNumId w:val="2"/>
  </w:num>
  <w:num w:numId="7">
    <w:abstractNumId w:val="32"/>
  </w:num>
  <w:num w:numId="8">
    <w:abstractNumId w:val="10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2"/>
  </w:num>
  <w:num w:numId="14">
    <w:abstractNumId w:val="16"/>
  </w:num>
  <w:num w:numId="15">
    <w:abstractNumId w:val="8"/>
  </w:num>
  <w:num w:numId="16">
    <w:abstractNumId w:val="14"/>
  </w:num>
  <w:num w:numId="17">
    <w:abstractNumId w:val="29"/>
  </w:num>
  <w:num w:numId="18">
    <w:abstractNumId w:val="19"/>
  </w:num>
  <w:num w:numId="19">
    <w:abstractNumId w:val="17"/>
  </w:num>
  <w:num w:numId="20">
    <w:abstractNumId w:val="28"/>
  </w:num>
  <w:num w:numId="21">
    <w:abstractNumId w:val="23"/>
  </w:num>
  <w:num w:numId="22">
    <w:abstractNumId w:val="24"/>
  </w:num>
  <w:num w:numId="23">
    <w:abstractNumId w:val="7"/>
  </w:num>
  <w:num w:numId="24">
    <w:abstractNumId w:val="25"/>
  </w:num>
  <w:num w:numId="25">
    <w:abstractNumId w:val="4"/>
  </w:num>
  <w:num w:numId="26">
    <w:abstractNumId w:val="6"/>
  </w:num>
  <w:num w:numId="27">
    <w:abstractNumId w:val="21"/>
  </w:num>
  <w:num w:numId="28">
    <w:abstractNumId w:val="31"/>
  </w:num>
  <w:num w:numId="29">
    <w:abstractNumId w:val="5"/>
  </w:num>
  <w:num w:numId="30">
    <w:abstractNumId w:val="22"/>
  </w:num>
  <w:num w:numId="31">
    <w:abstractNumId w:val="30"/>
  </w:num>
  <w:num w:numId="32">
    <w:abstractNumId w:val="13"/>
  </w:num>
  <w:num w:numId="3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9037C"/>
    <w:rsid w:val="000A0808"/>
    <w:rsid w:val="000A3DA5"/>
    <w:rsid w:val="000B09EB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5654E"/>
    <w:rsid w:val="001702F2"/>
    <w:rsid w:val="001774BC"/>
    <w:rsid w:val="001848C4"/>
    <w:rsid w:val="00192D26"/>
    <w:rsid w:val="00194B05"/>
    <w:rsid w:val="001A6D2A"/>
    <w:rsid w:val="001B00F0"/>
    <w:rsid w:val="001B676D"/>
    <w:rsid w:val="001E1BE7"/>
    <w:rsid w:val="001E49FD"/>
    <w:rsid w:val="001F445E"/>
    <w:rsid w:val="00203F6A"/>
    <w:rsid w:val="00213182"/>
    <w:rsid w:val="0021549B"/>
    <w:rsid w:val="002269FD"/>
    <w:rsid w:val="00281574"/>
    <w:rsid w:val="002857B6"/>
    <w:rsid w:val="00286311"/>
    <w:rsid w:val="002A0DB1"/>
    <w:rsid w:val="002B2B31"/>
    <w:rsid w:val="002B6D18"/>
    <w:rsid w:val="002C719B"/>
    <w:rsid w:val="002D5BF7"/>
    <w:rsid w:val="002D7BBD"/>
    <w:rsid w:val="002E7253"/>
    <w:rsid w:val="002F037E"/>
    <w:rsid w:val="00302EFE"/>
    <w:rsid w:val="0031652F"/>
    <w:rsid w:val="00322BA4"/>
    <w:rsid w:val="00346942"/>
    <w:rsid w:val="00357AF5"/>
    <w:rsid w:val="003627D3"/>
    <w:rsid w:val="0037187E"/>
    <w:rsid w:val="003767D7"/>
    <w:rsid w:val="00381B64"/>
    <w:rsid w:val="00386CA6"/>
    <w:rsid w:val="003A64C5"/>
    <w:rsid w:val="003C43F4"/>
    <w:rsid w:val="003C4D22"/>
    <w:rsid w:val="003C5B62"/>
    <w:rsid w:val="003D526D"/>
    <w:rsid w:val="003E0CEE"/>
    <w:rsid w:val="003F5064"/>
    <w:rsid w:val="003F6245"/>
    <w:rsid w:val="004031F8"/>
    <w:rsid w:val="00417DB4"/>
    <w:rsid w:val="0042067B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240D"/>
    <w:rsid w:val="00465448"/>
    <w:rsid w:val="00465A51"/>
    <w:rsid w:val="004B6B6B"/>
    <w:rsid w:val="004D4FE9"/>
    <w:rsid w:val="004F6FEC"/>
    <w:rsid w:val="00515B6A"/>
    <w:rsid w:val="005160F8"/>
    <w:rsid w:val="005177DC"/>
    <w:rsid w:val="00541A4C"/>
    <w:rsid w:val="0054211D"/>
    <w:rsid w:val="00566F03"/>
    <w:rsid w:val="00572F09"/>
    <w:rsid w:val="00575FFF"/>
    <w:rsid w:val="005772C1"/>
    <w:rsid w:val="005835BC"/>
    <w:rsid w:val="005856A7"/>
    <w:rsid w:val="00585897"/>
    <w:rsid w:val="005E365A"/>
    <w:rsid w:val="005E6608"/>
    <w:rsid w:val="00612214"/>
    <w:rsid w:val="006179E3"/>
    <w:rsid w:val="00625CD7"/>
    <w:rsid w:val="00630932"/>
    <w:rsid w:val="00650627"/>
    <w:rsid w:val="00653FE5"/>
    <w:rsid w:val="00657AB5"/>
    <w:rsid w:val="00665739"/>
    <w:rsid w:val="00670788"/>
    <w:rsid w:val="0067545A"/>
    <w:rsid w:val="006959E4"/>
    <w:rsid w:val="006B0F80"/>
    <w:rsid w:val="006C0567"/>
    <w:rsid w:val="006C0C83"/>
    <w:rsid w:val="006C48EA"/>
    <w:rsid w:val="006D1BD9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09FB"/>
    <w:rsid w:val="0078425B"/>
    <w:rsid w:val="00791471"/>
    <w:rsid w:val="007961D4"/>
    <w:rsid w:val="007A4A7E"/>
    <w:rsid w:val="007C0564"/>
    <w:rsid w:val="007C0AC3"/>
    <w:rsid w:val="007C1863"/>
    <w:rsid w:val="007E7201"/>
    <w:rsid w:val="007F2B0B"/>
    <w:rsid w:val="00825539"/>
    <w:rsid w:val="0083532B"/>
    <w:rsid w:val="00846897"/>
    <w:rsid w:val="00865132"/>
    <w:rsid w:val="008769EF"/>
    <w:rsid w:val="00881381"/>
    <w:rsid w:val="00892846"/>
    <w:rsid w:val="008A1398"/>
    <w:rsid w:val="008A1837"/>
    <w:rsid w:val="008C1A56"/>
    <w:rsid w:val="008D3B99"/>
    <w:rsid w:val="008D4373"/>
    <w:rsid w:val="008E312C"/>
    <w:rsid w:val="008E78E6"/>
    <w:rsid w:val="008F6A5A"/>
    <w:rsid w:val="009025C1"/>
    <w:rsid w:val="00905C38"/>
    <w:rsid w:val="00907D01"/>
    <w:rsid w:val="00913892"/>
    <w:rsid w:val="00915598"/>
    <w:rsid w:val="0092193B"/>
    <w:rsid w:val="009229AD"/>
    <w:rsid w:val="00935902"/>
    <w:rsid w:val="0094372F"/>
    <w:rsid w:val="009441AF"/>
    <w:rsid w:val="00946128"/>
    <w:rsid w:val="009541F2"/>
    <w:rsid w:val="009551F2"/>
    <w:rsid w:val="00973033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42301"/>
    <w:rsid w:val="00A4711C"/>
    <w:rsid w:val="00A64328"/>
    <w:rsid w:val="00A6432A"/>
    <w:rsid w:val="00A6599D"/>
    <w:rsid w:val="00A66729"/>
    <w:rsid w:val="00A7136B"/>
    <w:rsid w:val="00AA2AB0"/>
    <w:rsid w:val="00AA39AC"/>
    <w:rsid w:val="00AD7B7A"/>
    <w:rsid w:val="00AF34E1"/>
    <w:rsid w:val="00AF5D91"/>
    <w:rsid w:val="00B13369"/>
    <w:rsid w:val="00B170EA"/>
    <w:rsid w:val="00B26AB3"/>
    <w:rsid w:val="00B40A2F"/>
    <w:rsid w:val="00B4528B"/>
    <w:rsid w:val="00B455A3"/>
    <w:rsid w:val="00B46E62"/>
    <w:rsid w:val="00B553A6"/>
    <w:rsid w:val="00B8345D"/>
    <w:rsid w:val="00B958BA"/>
    <w:rsid w:val="00BA3361"/>
    <w:rsid w:val="00BA3A67"/>
    <w:rsid w:val="00BA61AF"/>
    <w:rsid w:val="00BB53A8"/>
    <w:rsid w:val="00BC7AFB"/>
    <w:rsid w:val="00BD6D36"/>
    <w:rsid w:val="00BE2CBD"/>
    <w:rsid w:val="00BF0672"/>
    <w:rsid w:val="00BF0809"/>
    <w:rsid w:val="00BF738D"/>
    <w:rsid w:val="00C0184A"/>
    <w:rsid w:val="00C079DA"/>
    <w:rsid w:val="00C15423"/>
    <w:rsid w:val="00C31057"/>
    <w:rsid w:val="00C331B7"/>
    <w:rsid w:val="00C360AA"/>
    <w:rsid w:val="00C3772F"/>
    <w:rsid w:val="00C41A50"/>
    <w:rsid w:val="00C57E38"/>
    <w:rsid w:val="00C75ACC"/>
    <w:rsid w:val="00C770B6"/>
    <w:rsid w:val="00C81ABF"/>
    <w:rsid w:val="00C8589D"/>
    <w:rsid w:val="00C877EE"/>
    <w:rsid w:val="00C904B6"/>
    <w:rsid w:val="00C90886"/>
    <w:rsid w:val="00C95F59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3CDF"/>
    <w:rsid w:val="00D86E52"/>
    <w:rsid w:val="00D93903"/>
    <w:rsid w:val="00DA495F"/>
    <w:rsid w:val="00DA6719"/>
    <w:rsid w:val="00DB11B2"/>
    <w:rsid w:val="00DC255C"/>
    <w:rsid w:val="00DC592F"/>
    <w:rsid w:val="00DC7CDA"/>
    <w:rsid w:val="00DE1284"/>
    <w:rsid w:val="00DF2638"/>
    <w:rsid w:val="00DF5252"/>
    <w:rsid w:val="00E1080E"/>
    <w:rsid w:val="00E17F42"/>
    <w:rsid w:val="00E44AFC"/>
    <w:rsid w:val="00E55AFD"/>
    <w:rsid w:val="00E72B15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65D4"/>
    <w:rsid w:val="00F475A6"/>
    <w:rsid w:val="00F55893"/>
    <w:rsid w:val="00F62C3F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B3625"/>
    <w:rsid w:val="00FD32ED"/>
    <w:rsid w:val="00FE25AE"/>
    <w:rsid w:val="00FE64CB"/>
    <w:rsid w:val="00FF0C8B"/>
    <w:rsid w:val="00FF20F0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B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1BD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B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1BD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2016-10-04T14:39:00Z</cp:lastPrinted>
  <dcterms:created xsi:type="dcterms:W3CDTF">2016-10-20T11:49:00Z</dcterms:created>
  <dcterms:modified xsi:type="dcterms:W3CDTF">2016-10-20T11:49:00Z</dcterms:modified>
</cp:coreProperties>
</file>