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rPr>
        <w:drawing>
          <wp:inline distT="0" distB="0" distL="0" distR="0" wp14:anchorId="533027C1" wp14:editId="7972052E">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73713A" w:rsidRDefault="004355E5" w:rsidP="004355E5">
      <w:pPr>
        <w:tabs>
          <w:tab w:val="left" w:pos="432"/>
          <w:tab w:val="left" w:pos="864"/>
        </w:tabs>
        <w:spacing w:after="0"/>
        <w:jc w:val="center"/>
        <w:rPr>
          <w:rFonts w:ascii="Arial" w:eastAsia="Times New Roman" w:hAnsi="Arial" w:cs="Arial"/>
          <w:b/>
        </w:rPr>
      </w:pPr>
      <w:r w:rsidRPr="0073713A">
        <w:rPr>
          <w:rFonts w:ascii="Arial" w:eastAsia="Times New Roman" w:hAnsi="Arial" w:cs="Arial"/>
          <w:b/>
        </w:rPr>
        <w:t>NATIONAL ASSEMBLY</w:t>
      </w:r>
    </w:p>
    <w:p w:rsidR="004355E5" w:rsidRPr="0073713A" w:rsidRDefault="004355E5" w:rsidP="004355E5">
      <w:pPr>
        <w:tabs>
          <w:tab w:val="left" w:pos="432"/>
          <w:tab w:val="left" w:pos="864"/>
        </w:tabs>
        <w:spacing w:after="0"/>
        <w:jc w:val="center"/>
        <w:rPr>
          <w:rFonts w:ascii="Arial" w:eastAsia="Times New Roman" w:hAnsi="Arial" w:cs="Arial"/>
          <w:b/>
        </w:rPr>
      </w:pPr>
    </w:p>
    <w:p w:rsidR="004355E5" w:rsidRPr="0073713A" w:rsidRDefault="004355E5"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QUESTION FOR WRITTEN REPLY</w:t>
      </w:r>
    </w:p>
    <w:p w:rsidR="004355E5" w:rsidRPr="0073713A" w:rsidRDefault="004355E5"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 xml:space="preserve">QUESTION NUMBER: </w:t>
      </w:r>
      <w:r w:rsidR="006A423F" w:rsidRPr="0073713A">
        <w:rPr>
          <w:rFonts w:ascii="Arial" w:hAnsi="Arial" w:cs="Arial"/>
          <w:b/>
          <w:noProof/>
          <w:color w:val="000000" w:themeColor="text1"/>
          <w:lang w:val="af-ZA"/>
        </w:rPr>
        <w:t>2092</w:t>
      </w:r>
      <w:r w:rsidR="00EE110F" w:rsidRPr="0073713A">
        <w:rPr>
          <w:rFonts w:ascii="Arial" w:eastAsia="Times New Roman" w:hAnsi="Arial" w:cs="Arial"/>
          <w:b/>
        </w:rPr>
        <w:t xml:space="preserve"> </w:t>
      </w:r>
      <w:r w:rsidR="002416B5" w:rsidRPr="0073713A">
        <w:rPr>
          <w:rFonts w:ascii="Arial" w:eastAsia="Times New Roman" w:hAnsi="Arial" w:cs="Arial"/>
          <w:b/>
        </w:rPr>
        <w:t>[</w:t>
      </w:r>
      <w:r w:rsidR="006A423F" w:rsidRPr="0073713A">
        <w:rPr>
          <w:rFonts w:ascii="Arial" w:hAnsi="Arial" w:cs="Arial"/>
        </w:rPr>
        <w:t>NW2314E</w:t>
      </w:r>
      <w:r w:rsidR="002416B5" w:rsidRPr="0073713A">
        <w:rPr>
          <w:rFonts w:ascii="Arial" w:eastAsia="Times New Roman" w:hAnsi="Arial" w:cs="Arial"/>
          <w:b/>
        </w:rPr>
        <w:t>]</w:t>
      </w:r>
    </w:p>
    <w:p w:rsidR="004355E5" w:rsidRPr="0073713A" w:rsidRDefault="004355E5"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 xml:space="preserve">DATE OF PUBLICATION: </w:t>
      </w:r>
      <w:r w:rsidR="006A423F" w:rsidRPr="0073713A">
        <w:rPr>
          <w:rFonts w:ascii="Arial" w:eastAsia="Times New Roman" w:hAnsi="Arial" w:cs="Arial"/>
          <w:b/>
        </w:rPr>
        <w:t>25 August 2017</w:t>
      </w:r>
    </w:p>
    <w:p w:rsidR="004355E5" w:rsidRPr="0073713A" w:rsidRDefault="004355E5" w:rsidP="00A75BAE">
      <w:pPr>
        <w:tabs>
          <w:tab w:val="left" w:pos="432"/>
          <w:tab w:val="left" w:pos="864"/>
        </w:tabs>
        <w:spacing w:after="0" w:line="240" w:lineRule="auto"/>
        <w:rPr>
          <w:rFonts w:ascii="Arial" w:eastAsia="Times New Roman" w:hAnsi="Arial" w:cs="Arial"/>
          <w:b/>
        </w:rPr>
      </w:pPr>
    </w:p>
    <w:p w:rsidR="006A423F" w:rsidRPr="0073713A" w:rsidRDefault="006A423F" w:rsidP="00A75BAE">
      <w:pPr>
        <w:spacing w:before="100" w:beforeAutospacing="1" w:after="100" w:afterAutospacing="1" w:line="240" w:lineRule="auto"/>
        <w:ind w:left="816" w:hanging="816"/>
        <w:rPr>
          <w:rFonts w:ascii="Arial" w:hAnsi="Arial" w:cs="Arial"/>
          <w:b/>
          <w:noProof/>
          <w:color w:val="000000" w:themeColor="text1"/>
          <w:lang w:val="af-ZA"/>
        </w:rPr>
      </w:pPr>
      <w:r w:rsidRPr="0073713A">
        <w:rPr>
          <w:rFonts w:ascii="Arial" w:hAnsi="Arial" w:cs="Arial"/>
          <w:b/>
          <w:noProof/>
          <w:color w:val="000000" w:themeColor="text1"/>
          <w:lang w:val="af-ZA"/>
        </w:rPr>
        <w:t>2092.</w:t>
      </w:r>
      <w:r w:rsidRPr="0073713A">
        <w:rPr>
          <w:rFonts w:ascii="Arial" w:hAnsi="Arial" w:cs="Arial"/>
          <w:b/>
          <w:noProof/>
          <w:color w:val="000000" w:themeColor="text1"/>
          <w:lang w:val="af-ZA"/>
        </w:rPr>
        <w:tab/>
        <w:t xml:space="preserve">Mr N F Shivambu (EFF) to ask the Minister of Finance: </w:t>
      </w:r>
    </w:p>
    <w:p w:rsidR="006A423F" w:rsidRPr="0073713A" w:rsidRDefault="006A423F" w:rsidP="00A75BAE">
      <w:pPr>
        <w:spacing w:before="100" w:beforeAutospacing="1" w:after="100" w:afterAutospacing="1" w:line="240" w:lineRule="auto"/>
        <w:ind w:left="851"/>
        <w:jc w:val="both"/>
        <w:rPr>
          <w:rFonts w:ascii="Arial" w:hAnsi="Arial" w:cs="Arial"/>
        </w:rPr>
      </w:pPr>
      <w:r w:rsidRPr="0073713A">
        <w:rPr>
          <w:rFonts w:ascii="Arial" w:hAnsi="Arial" w:cs="Arial"/>
        </w:rPr>
        <w:t>Whether (a) the National Treasury and/or (b) any entities reporting to him are funding, including by way of discretionary funding, any institution of research and development (i) domestically and/or (ii) internationally; if so, (aa)(</w:t>
      </w:r>
      <w:proofErr w:type="spellStart"/>
      <w:r w:rsidRPr="0073713A">
        <w:rPr>
          <w:rFonts w:ascii="Arial" w:hAnsi="Arial" w:cs="Arial"/>
        </w:rPr>
        <w:t>aaa</w:t>
      </w:r>
      <w:proofErr w:type="spellEnd"/>
      <w:r w:rsidRPr="0073713A">
        <w:rPr>
          <w:rFonts w:ascii="Arial" w:hAnsi="Arial" w:cs="Arial"/>
        </w:rPr>
        <w:t>) what are the names of the specified institutions and (</w:t>
      </w:r>
      <w:proofErr w:type="spellStart"/>
      <w:r w:rsidRPr="0073713A">
        <w:rPr>
          <w:rFonts w:ascii="Arial" w:hAnsi="Arial" w:cs="Arial"/>
        </w:rPr>
        <w:t>bbb</w:t>
      </w:r>
      <w:proofErr w:type="spellEnd"/>
      <w:r w:rsidRPr="0073713A">
        <w:rPr>
          <w:rFonts w:ascii="Arial" w:hAnsi="Arial" w:cs="Arial"/>
        </w:rPr>
        <w:t>) what are their functions, (bb) from what date has the National Treasury or any entity reporting to him been funding them and (cc) what amount has the National Treasury contributed towards such funding?</w:t>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r>
      <w:r w:rsidRPr="0073713A">
        <w:rPr>
          <w:rFonts w:ascii="Arial" w:hAnsi="Arial" w:cs="Arial"/>
        </w:rPr>
        <w:tab/>
        <w:t>NW2314E</w:t>
      </w:r>
    </w:p>
    <w:p w:rsidR="006F70D8" w:rsidRPr="0073713A" w:rsidRDefault="004355E5" w:rsidP="00A75BAE">
      <w:pPr>
        <w:tabs>
          <w:tab w:val="left" w:pos="1134"/>
        </w:tabs>
        <w:spacing w:after="0" w:line="240" w:lineRule="auto"/>
        <w:ind w:left="1134" w:hanging="1134"/>
        <w:jc w:val="both"/>
        <w:rPr>
          <w:rFonts w:ascii="Arial" w:eastAsia="Times New Roman" w:hAnsi="Arial" w:cs="Arial"/>
          <w:b/>
        </w:rPr>
      </w:pPr>
      <w:r w:rsidRPr="0073713A">
        <w:rPr>
          <w:rFonts w:ascii="Arial" w:eastAsia="Times New Roman" w:hAnsi="Arial" w:cs="Arial"/>
          <w:b/>
        </w:rPr>
        <w:t>REPLY:</w:t>
      </w:r>
      <w:r w:rsidR="00D76558" w:rsidRPr="0073713A">
        <w:rPr>
          <w:rFonts w:ascii="Arial" w:eastAsia="Times New Roman" w:hAnsi="Arial" w:cs="Arial"/>
          <w:b/>
        </w:rPr>
        <w:tab/>
      </w:r>
    </w:p>
    <w:p w:rsidR="006F70D8" w:rsidRPr="0073713A" w:rsidRDefault="006F70D8" w:rsidP="00A75BAE">
      <w:pPr>
        <w:tabs>
          <w:tab w:val="left" w:pos="1134"/>
        </w:tabs>
        <w:spacing w:after="0" w:line="240" w:lineRule="auto"/>
        <w:ind w:left="1134" w:hanging="1134"/>
        <w:jc w:val="both"/>
        <w:rPr>
          <w:rFonts w:ascii="Arial" w:eastAsia="Times New Roman" w:hAnsi="Arial" w:cs="Arial"/>
          <w:b/>
        </w:rPr>
      </w:pPr>
    </w:p>
    <w:p w:rsidR="00AD1767" w:rsidRPr="0073713A" w:rsidRDefault="00AD1767" w:rsidP="00A75BAE">
      <w:pPr>
        <w:tabs>
          <w:tab w:val="left" w:pos="1134"/>
        </w:tabs>
        <w:spacing w:after="0" w:line="240" w:lineRule="auto"/>
        <w:ind w:left="1134" w:hanging="1134"/>
        <w:jc w:val="both"/>
        <w:rPr>
          <w:rFonts w:ascii="Arial" w:eastAsia="Times New Roman" w:hAnsi="Arial" w:cs="Arial"/>
          <w:b/>
        </w:rPr>
      </w:pPr>
      <w:r w:rsidRPr="0073713A">
        <w:rPr>
          <w:rFonts w:ascii="Arial" w:eastAsia="Times New Roman" w:hAnsi="Arial" w:cs="Arial"/>
          <w:b/>
        </w:rPr>
        <w:t xml:space="preserve">NATIONAL TREASURY </w:t>
      </w:r>
    </w:p>
    <w:p w:rsidR="004355E5" w:rsidRPr="0073713A" w:rsidRDefault="004355E5" w:rsidP="00A75BAE">
      <w:pPr>
        <w:tabs>
          <w:tab w:val="left" w:pos="1134"/>
        </w:tabs>
        <w:spacing w:after="0" w:line="240" w:lineRule="auto"/>
        <w:jc w:val="both"/>
        <w:rPr>
          <w:rFonts w:ascii="Arial" w:hAnsi="Arial" w:cs="Arial"/>
        </w:rPr>
      </w:pPr>
    </w:p>
    <w:p w:rsidR="004C20CD" w:rsidRPr="0073713A" w:rsidRDefault="004C20CD" w:rsidP="00A75BAE">
      <w:pPr>
        <w:pBdr>
          <w:top w:val="nil"/>
          <w:left w:val="nil"/>
          <w:bottom w:val="nil"/>
          <w:right w:val="nil"/>
          <w:between w:val="nil"/>
          <w:bar w:val="nil"/>
        </w:pBdr>
        <w:tabs>
          <w:tab w:val="left" w:pos="432"/>
          <w:tab w:val="left" w:pos="864"/>
        </w:tabs>
        <w:spacing w:after="0" w:line="240" w:lineRule="auto"/>
        <w:ind w:left="1088" w:hanging="1088"/>
        <w:contextualSpacing/>
        <w:jc w:val="both"/>
        <w:rPr>
          <w:rFonts w:ascii="Arial" w:eastAsia="Arial" w:hAnsi="Arial" w:cs="Arial"/>
          <w:color w:val="000000"/>
          <w:u w:color="000000"/>
          <w:bdr w:val="nil"/>
        </w:rPr>
      </w:pPr>
      <w:r w:rsidRPr="0073713A">
        <w:rPr>
          <w:rFonts w:ascii="Arial" w:eastAsia="Arial" w:hAnsi="Arial" w:cs="Arial"/>
          <w:b/>
          <w:color w:val="000000"/>
          <w:u w:color="000000"/>
          <w:bdr w:val="nil"/>
        </w:rPr>
        <w:t>(a)(i)</w:t>
      </w:r>
      <w:r w:rsidRPr="0073713A">
        <w:rPr>
          <w:rFonts w:ascii="Arial" w:eastAsia="Arial" w:hAnsi="Arial" w:cs="Arial"/>
          <w:color w:val="000000"/>
          <w:u w:color="000000"/>
          <w:bdr w:val="nil"/>
        </w:rPr>
        <w:tab/>
        <w:t>Yes</w:t>
      </w:r>
    </w:p>
    <w:p w:rsidR="004C20CD" w:rsidRPr="0073713A" w:rsidRDefault="004C20CD" w:rsidP="00A75BAE">
      <w:pPr>
        <w:pBdr>
          <w:top w:val="nil"/>
          <w:left w:val="nil"/>
          <w:bottom w:val="nil"/>
          <w:right w:val="nil"/>
          <w:between w:val="nil"/>
          <w:bar w:val="nil"/>
        </w:pBdr>
        <w:tabs>
          <w:tab w:val="left" w:pos="432"/>
          <w:tab w:val="left" w:pos="864"/>
        </w:tabs>
        <w:spacing w:after="0" w:line="240" w:lineRule="auto"/>
        <w:ind w:left="1088" w:hanging="1088"/>
        <w:contextualSpacing/>
        <w:jc w:val="both"/>
        <w:rPr>
          <w:rFonts w:ascii="Arial" w:eastAsia="Arial" w:hAnsi="Arial" w:cs="Arial"/>
          <w:color w:val="000000"/>
          <w:u w:color="000000"/>
          <w:bdr w:val="nil"/>
        </w:rPr>
      </w:pPr>
      <w:r w:rsidRPr="0073713A">
        <w:rPr>
          <w:rFonts w:ascii="Arial" w:eastAsia="Arial" w:hAnsi="Arial" w:cs="Arial"/>
          <w:b/>
          <w:color w:val="000000"/>
          <w:u w:color="000000"/>
          <w:bdr w:val="nil"/>
        </w:rPr>
        <w:t>(a)(ii)</w:t>
      </w:r>
      <w:r w:rsidRPr="0073713A">
        <w:rPr>
          <w:rFonts w:ascii="Arial" w:eastAsia="Arial" w:hAnsi="Arial" w:cs="Arial"/>
          <w:b/>
          <w:color w:val="000000"/>
          <w:u w:color="000000"/>
          <w:bdr w:val="nil"/>
        </w:rPr>
        <w:tab/>
      </w:r>
      <w:r w:rsidRPr="0073713A">
        <w:rPr>
          <w:rFonts w:ascii="Arial" w:eastAsia="Arial" w:hAnsi="Arial" w:cs="Arial"/>
          <w:color w:val="000000"/>
          <w:u w:color="000000"/>
          <w:bdr w:val="nil"/>
        </w:rPr>
        <w:t>Yes</w:t>
      </w:r>
    </w:p>
    <w:tbl>
      <w:tblPr>
        <w:tblStyle w:val="TableGrid1"/>
        <w:tblW w:w="8788" w:type="dxa"/>
        <w:tblInd w:w="959" w:type="dxa"/>
        <w:tblLayout w:type="fixed"/>
        <w:tblLook w:val="04A0" w:firstRow="1" w:lastRow="0" w:firstColumn="1" w:lastColumn="0" w:noHBand="0" w:noVBand="1"/>
      </w:tblPr>
      <w:tblGrid>
        <w:gridCol w:w="1843"/>
        <w:gridCol w:w="3969"/>
        <w:gridCol w:w="1275"/>
        <w:gridCol w:w="1701"/>
      </w:tblGrid>
      <w:tr w:rsidR="004C20CD" w:rsidRPr="0073713A" w:rsidTr="006D290D">
        <w:tc>
          <w:tcPr>
            <w:tcW w:w="1843" w:type="dxa"/>
            <w:shd w:val="clear" w:color="auto" w:fill="D9D9D9" w:themeFill="background1" w:themeFillShade="D9"/>
          </w:tcPr>
          <w:p w:rsidR="004C20CD" w:rsidRPr="0073713A" w:rsidRDefault="004C20CD" w:rsidP="00A75BAE">
            <w:pPr>
              <w:tabs>
                <w:tab w:val="left" w:pos="432"/>
                <w:tab w:val="left" w:pos="864"/>
              </w:tabs>
              <w:contextualSpacing/>
              <w:jc w:val="both"/>
              <w:rPr>
                <w:rFonts w:ascii="Arial" w:eastAsia="Arial" w:hAnsi="Arial" w:cs="Arial"/>
                <w:b/>
                <w:color w:val="000000"/>
                <w:sz w:val="22"/>
                <w:szCs w:val="22"/>
                <w:u w:color="000000"/>
              </w:rPr>
            </w:pPr>
            <w:r w:rsidRPr="0073713A">
              <w:rPr>
                <w:rFonts w:ascii="Arial" w:eastAsia="Arial" w:hAnsi="Arial" w:cs="Arial"/>
                <w:b/>
                <w:color w:val="000000"/>
                <w:sz w:val="22"/>
                <w:szCs w:val="22"/>
                <w:u w:color="000000"/>
              </w:rPr>
              <w:t>(a)(aa)(</w:t>
            </w:r>
            <w:proofErr w:type="spellStart"/>
            <w:r w:rsidRPr="0073713A">
              <w:rPr>
                <w:rFonts w:ascii="Arial" w:eastAsia="Arial" w:hAnsi="Arial" w:cs="Arial"/>
                <w:b/>
                <w:color w:val="000000"/>
                <w:sz w:val="22"/>
                <w:szCs w:val="22"/>
                <w:u w:color="000000"/>
              </w:rPr>
              <w:t>aaa</w:t>
            </w:r>
            <w:proofErr w:type="spellEnd"/>
            <w:r w:rsidRPr="0073713A">
              <w:rPr>
                <w:rFonts w:ascii="Arial" w:eastAsia="Arial" w:hAnsi="Arial" w:cs="Arial"/>
                <w:b/>
                <w:color w:val="000000"/>
                <w:sz w:val="22"/>
                <w:szCs w:val="22"/>
                <w:u w:color="000000"/>
              </w:rPr>
              <w:t>)</w:t>
            </w:r>
          </w:p>
        </w:tc>
        <w:tc>
          <w:tcPr>
            <w:tcW w:w="3969" w:type="dxa"/>
            <w:shd w:val="clear" w:color="auto" w:fill="D9D9D9" w:themeFill="background1" w:themeFillShade="D9"/>
          </w:tcPr>
          <w:p w:rsidR="004C20CD" w:rsidRPr="0073713A" w:rsidRDefault="004C20CD" w:rsidP="00A75BAE">
            <w:pPr>
              <w:tabs>
                <w:tab w:val="left" w:pos="432"/>
                <w:tab w:val="left" w:pos="864"/>
              </w:tabs>
              <w:contextualSpacing/>
              <w:jc w:val="both"/>
              <w:rPr>
                <w:rFonts w:ascii="Arial" w:eastAsia="Arial" w:hAnsi="Arial" w:cs="Arial"/>
                <w:b/>
                <w:color w:val="000000"/>
                <w:sz w:val="22"/>
                <w:szCs w:val="22"/>
                <w:u w:color="000000"/>
              </w:rPr>
            </w:pPr>
            <w:r w:rsidRPr="0073713A">
              <w:rPr>
                <w:rFonts w:ascii="Arial" w:eastAsia="Arial" w:hAnsi="Arial" w:cs="Arial"/>
                <w:b/>
                <w:color w:val="000000"/>
                <w:sz w:val="22"/>
                <w:szCs w:val="22"/>
                <w:u w:color="000000"/>
              </w:rPr>
              <w:t>(a)(aa)(</w:t>
            </w:r>
            <w:proofErr w:type="spellStart"/>
            <w:r w:rsidRPr="0073713A">
              <w:rPr>
                <w:rFonts w:ascii="Arial" w:eastAsia="Arial" w:hAnsi="Arial" w:cs="Arial"/>
                <w:b/>
                <w:color w:val="000000"/>
                <w:sz w:val="22"/>
                <w:szCs w:val="22"/>
                <w:u w:color="000000"/>
              </w:rPr>
              <w:t>bbb</w:t>
            </w:r>
            <w:proofErr w:type="spellEnd"/>
            <w:r w:rsidRPr="0073713A">
              <w:rPr>
                <w:rFonts w:ascii="Arial" w:eastAsia="Arial" w:hAnsi="Arial" w:cs="Arial"/>
                <w:b/>
                <w:color w:val="000000"/>
                <w:sz w:val="22"/>
                <w:szCs w:val="22"/>
                <w:u w:color="000000"/>
              </w:rPr>
              <w:t>)</w:t>
            </w:r>
          </w:p>
        </w:tc>
        <w:tc>
          <w:tcPr>
            <w:tcW w:w="1275" w:type="dxa"/>
            <w:shd w:val="clear" w:color="auto" w:fill="D9D9D9" w:themeFill="background1" w:themeFillShade="D9"/>
          </w:tcPr>
          <w:p w:rsidR="004C20CD" w:rsidRPr="0073713A" w:rsidRDefault="004C20CD" w:rsidP="00A75BAE">
            <w:pPr>
              <w:tabs>
                <w:tab w:val="left" w:pos="432"/>
                <w:tab w:val="left" w:pos="864"/>
              </w:tabs>
              <w:ind w:right="-108" w:hanging="108"/>
              <w:contextualSpacing/>
              <w:jc w:val="center"/>
              <w:rPr>
                <w:rFonts w:ascii="Arial" w:eastAsia="Arial" w:hAnsi="Arial" w:cs="Arial"/>
                <w:b/>
                <w:color w:val="000000"/>
                <w:sz w:val="22"/>
                <w:szCs w:val="22"/>
                <w:u w:color="000000"/>
              </w:rPr>
            </w:pPr>
            <w:r w:rsidRPr="0073713A">
              <w:rPr>
                <w:rFonts w:ascii="Arial" w:eastAsia="Arial" w:hAnsi="Arial" w:cs="Arial"/>
                <w:b/>
                <w:color w:val="000000"/>
                <w:sz w:val="22"/>
                <w:szCs w:val="22"/>
                <w:u w:color="000000"/>
              </w:rPr>
              <w:t>(a)(aa)(bb)</w:t>
            </w:r>
          </w:p>
        </w:tc>
        <w:tc>
          <w:tcPr>
            <w:tcW w:w="1701" w:type="dxa"/>
            <w:shd w:val="clear" w:color="auto" w:fill="D9D9D9" w:themeFill="background1" w:themeFillShade="D9"/>
          </w:tcPr>
          <w:p w:rsidR="004C20CD" w:rsidRPr="0073713A" w:rsidRDefault="004C20CD" w:rsidP="00A75BAE">
            <w:pPr>
              <w:tabs>
                <w:tab w:val="left" w:pos="432"/>
                <w:tab w:val="left" w:pos="864"/>
              </w:tabs>
              <w:contextualSpacing/>
              <w:jc w:val="both"/>
              <w:rPr>
                <w:rFonts w:ascii="Arial" w:eastAsia="Arial" w:hAnsi="Arial" w:cs="Arial"/>
                <w:b/>
                <w:color w:val="000000"/>
                <w:sz w:val="22"/>
                <w:szCs w:val="22"/>
                <w:u w:color="000000"/>
              </w:rPr>
            </w:pPr>
            <w:r w:rsidRPr="0073713A">
              <w:rPr>
                <w:rFonts w:ascii="Arial" w:eastAsia="Arial" w:hAnsi="Arial" w:cs="Arial"/>
                <w:b/>
                <w:color w:val="000000"/>
                <w:sz w:val="22"/>
                <w:szCs w:val="22"/>
                <w:u w:color="000000"/>
              </w:rPr>
              <w:t>(a)(aa)(cc)</w:t>
            </w:r>
          </w:p>
        </w:tc>
      </w:tr>
      <w:tr w:rsidR="004C20CD" w:rsidRPr="0073713A" w:rsidTr="006D290D">
        <w:trPr>
          <w:trHeight w:val="1553"/>
        </w:trPr>
        <w:tc>
          <w:tcPr>
            <w:tcW w:w="1843" w:type="dxa"/>
            <w:vAlign w:val="center"/>
          </w:tcPr>
          <w:p w:rsidR="004C20CD" w:rsidRPr="0073713A" w:rsidRDefault="004C20CD" w:rsidP="00A75BAE">
            <w:pPr>
              <w:tabs>
                <w:tab w:val="left" w:pos="432"/>
                <w:tab w:val="left" w:pos="864"/>
              </w:tabs>
              <w:contextualSpacing/>
              <w:rPr>
                <w:rFonts w:ascii="Arial" w:eastAsia="Arial" w:hAnsi="Arial" w:cs="Arial"/>
                <w:color w:val="000000"/>
                <w:sz w:val="22"/>
                <w:szCs w:val="22"/>
                <w:u w:color="000000"/>
              </w:rPr>
            </w:pPr>
            <w:r w:rsidRPr="0073713A">
              <w:rPr>
                <w:rFonts w:ascii="Arial" w:hAnsi="Arial" w:cs="Arial"/>
                <w:bCs/>
                <w:color w:val="000000"/>
                <w:sz w:val="22"/>
                <w:szCs w:val="22"/>
                <w:u w:color="000000"/>
              </w:rPr>
              <w:t>Economic Research Southern Africa  (ERSA)</w:t>
            </w:r>
          </w:p>
        </w:tc>
        <w:tc>
          <w:tcPr>
            <w:tcW w:w="3969" w:type="dxa"/>
            <w:vAlign w:val="center"/>
          </w:tcPr>
          <w:p w:rsidR="004C20CD" w:rsidRPr="0073713A" w:rsidRDefault="004C20CD" w:rsidP="00A75BAE">
            <w:pPr>
              <w:tabs>
                <w:tab w:val="left" w:pos="432"/>
                <w:tab w:val="left" w:pos="864"/>
              </w:tabs>
              <w:contextualSpacing/>
              <w:rPr>
                <w:rFonts w:ascii="Arial" w:eastAsia="Arial" w:hAnsi="Arial" w:cs="Arial"/>
                <w:color w:val="000000"/>
                <w:sz w:val="22"/>
                <w:szCs w:val="22"/>
                <w:u w:color="000000"/>
              </w:rPr>
            </w:pPr>
            <w:r w:rsidRPr="0073713A">
              <w:rPr>
                <w:rFonts w:ascii="Arial" w:hAnsi="Arial" w:cs="Arial"/>
                <w:color w:val="000000"/>
                <w:sz w:val="22"/>
                <w:szCs w:val="22"/>
                <w:u w:color="000000"/>
              </w:rPr>
              <w:t xml:space="preserve">Research </w:t>
            </w:r>
            <w:proofErr w:type="spellStart"/>
            <w:r w:rsidRPr="0073713A">
              <w:rPr>
                <w:rFonts w:ascii="Arial" w:hAnsi="Arial" w:cs="Arial"/>
                <w:color w:val="000000"/>
                <w:sz w:val="22"/>
                <w:szCs w:val="22"/>
                <w:u w:color="000000"/>
              </w:rPr>
              <w:t>programme</w:t>
            </w:r>
            <w:proofErr w:type="spellEnd"/>
            <w:r w:rsidRPr="0073713A">
              <w:rPr>
                <w:rFonts w:ascii="Arial" w:hAnsi="Arial" w:cs="Arial"/>
                <w:color w:val="000000"/>
                <w:sz w:val="22"/>
                <w:szCs w:val="22"/>
                <w:u w:color="000000"/>
              </w:rPr>
              <w:t xml:space="preserve"> funded with the aim to nurture and expand economic research capacity in South Africa amongst academics and practicing economists.</w:t>
            </w:r>
          </w:p>
        </w:tc>
        <w:tc>
          <w:tcPr>
            <w:tcW w:w="1275" w:type="dxa"/>
            <w:vAlign w:val="center"/>
          </w:tcPr>
          <w:p w:rsidR="004C20CD" w:rsidRPr="0073713A" w:rsidRDefault="004C20CD" w:rsidP="00A75BAE">
            <w:pPr>
              <w:tabs>
                <w:tab w:val="left" w:pos="432"/>
                <w:tab w:val="left" w:pos="864"/>
              </w:tabs>
              <w:contextualSpacing/>
              <w:rPr>
                <w:rFonts w:ascii="Arial" w:eastAsia="Arial" w:hAnsi="Arial" w:cs="Arial"/>
                <w:color w:val="000000"/>
                <w:sz w:val="22"/>
                <w:szCs w:val="22"/>
                <w:u w:color="000000"/>
              </w:rPr>
            </w:pPr>
            <w:r w:rsidRPr="0073713A">
              <w:rPr>
                <w:rFonts w:ascii="Arial" w:eastAsia="Arial" w:hAnsi="Arial" w:cs="Arial"/>
                <w:color w:val="000000"/>
                <w:sz w:val="22"/>
                <w:szCs w:val="22"/>
                <w:u w:color="000000"/>
              </w:rPr>
              <w:t>2005</w:t>
            </w:r>
          </w:p>
        </w:tc>
        <w:tc>
          <w:tcPr>
            <w:tcW w:w="1701" w:type="dxa"/>
            <w:vAlign w:val="center"/>
          </w:tcPr>
          <w:p w:rsidR="004C20CD" w:rsidRPr="0073713A" w:rsidRDefault="004C20CD" w:rsidP="00A75BAE">
            <w:pPr>
              <w:tabs>
                <w:tab w:val="left" w:pos="432"/>
                <w:tab w:val="left" w:pos="864"/>
              </w:tabs>
              <w:ind w:right="-108"/>
              <w:contextualSpacing/>
              <w:rPr>
                <w:rFonts w:ascii="Arial" w:eastAsia="Arial" w:hAnsi="Arial" w:cs="Arial"/>
                <w:color w:val="000000"/>
                <w:sz w:val="22"/>
                <w:szCs w:val="22"/>
                <w:u w:color="000000"/>
              </w:rPr>
            </w:pPr>
            <w:r w:rsidRPr="0073713A">
              <w:rPr>
                <w:rFonts w:ascii="Arial" w:eastAsia="Arial" w:hAnsi="Arial" w:cs="Arial"/>
                <w:color w:val="000000"/>
                <w:sz w:val="22"/>
                <w:szCs w:val="22"/>
                <w:u w:color="000000"/>
              </w:rPr>
              <w:t>R91 677 000.00</w:t>
            </w:r>
          </w:p>
        </w:tc>
      </w:tr>
      <w:tr w:rsidR="004C20CD" w:rsidRPr="0073713A" w:rsidTr="006D290D">
        <w:trPr>
          <w:trHeight w:val="1405"/>
        </w:trPr>
        <w:tc>
          <w:tcPr>
            <w:tcW w:w="1843" w:type="dxa"/>
            <w:vAlign w:val="center"/>
          </w:tcPr>
          <w:p w:rsidR="004C20CD" w:rsidRPr="0073713A" w:rsidRDefault="004C20CD" w:rsidP="00A75BAE">
            <w:pPr>
              <w:tabs>
                <w:tab w:val="left" w:pos="432"/>
                <w:tab w:val="left" w:pos="864"/>
              </w:tabs>
              <w:contextualSpacing/>
              <w:rPr>
                <w:rFonts w:ascii="Arial" w:hAnsi="Arial" w:cs="Arial"/>
                <w:bCs/>
                <w:color w:val="000000"/>
                <w:sz w:val="22"/>
                <w:szCs w:val="22"/>
                <w:u w:color="000000"/>
              </w:rPr>
            </w:pPr>
            <w:r w:rsidRPr="0073713A">
              <w:rPr>
                <w:rFonts w:ascii="Arial" w:hAnsi="Arial" w:cs="Arial"/>
                <w:bCs/>
                <w:color w:val="000000"/>
                <w:sz w:val="22"/>
                <w:szCs w:val="22"/>
                <w:u w:color="000000"/>
              </w:rPr>
              <w:t xml:space="preserve">United Nations University-World Institute for Development Economic Research </w:t>
            </w:r>
          </w:p>
          <w:p w:rsidR="004C20CD" w:rsidRPr="0073713A" w:rsidRDefault="004C20CD" w:rsidP="00A75BAE">
            <w:pPr>
              <w:tabs>
                <w:tab w:val="left" w:pos="432"/>
                <w:tab w:val="left" w:pos="864"/>
              </w:tabs>
              <w:contextualSpacing/>
              <w:rPr>
                <w:rFonts w:ascii="Arial" w:eastAsia="Arial" w:hAnsi="Arial" w:cs="Arial"/>
                <w:color w:val="000000"/>
                <w:sz w:val="22"/>
                <w:szCs w:val="22"/>
                <w:u w:color="000000"/>
              </w:rPr>
            </w:pPr>
            <w:r w:rsidRPr="0073713A">
              <w:rPr>
                <w:rFonts w:ascii="Arial" w:hAnsi="Arial" w:cs="Arial"/>
                <w:bCs/>
                <w:color w:val="000000"/>
                <w:sz w:val="22"/>
                <w:szCs w:val="22"/>
                <w:u w:color="000000"/>
              </w:rPr>
              <w:t>(UNU-WIDER)</w:t>
            </w:r>
          </w:p>
        </w:tc>
        <w:tc>
          <w:tcPr>
            <w:tcW w:w="3969" w:type="dxa"/>
            <w:vAlign w:val="center"/>
          </w:tcPr>
          <w:p w:rsidR="004C20CD" w:rsidRPr="0073713A" w:rsidRDefault="004C20CD" w:rsidP="00A75BAE">
            <w:pPr>
              <w:rPr>
                <w:rFonts w:ascii="Arial" w:eastAsia="Arial" w:hAnsi="Arial" w:cs="Arial"/>
                <w:sz w:val="22"/>
                <w:szCs w:val="22"/>
              </w:rPr>
            </w:pPr>
            <w:r w:rsidRPr="0073713A">
              <w:rPr>
                <w:rFonts w:ascii="Arial" w:hAnsi="Arial" w:cs="Arial"/>
                <w:sz w:val="22"/>
                <w:szCs w:val="22"/>
              </w:rPr>
              <w:t xml:space="preserve">Areas of research funded were climate change and energy; economic development in Southern Africa; understanding the behavior of firms, tax and </w:t>
            </w:r>
            <w:proofErr w:type="spellStart"/>
            <w:r w:rsidRPr="0073713A">
              <w:rPr>
                <w:rFonts w:ascii="Arial" w:hAnsi="Arial" w:cs="Arial"/>
                <w:sz w:val="22"/>
                <w:szCs w:val="22"/>
              </w:rPr>
              <w:t>labour</w:t>
            </w:r>
            <w:proofErr w:type="spellEnd"/>
            <w:r w:rsidRPr="0073713A">
              <w:rPr>
                <w:rFonts w:ascii="Arial" w:hAnsi="Arial" w:cs="Arial"/>
                <w:sz w:val="22"/>
                <w:szCs w:val="22"/>
              </w:rPr>
              <w:t xml:space="preserve"> economics.</w:t>
            </w:r>
          </w:p>
        </w:tc>
        <w:tc>
          <w:tcPr>
            <w:tcW w:w="1275" w:type="dxa"/>
            <w:vAlign w:val="center"/>
          </w:tcPr>
          <w:p w:rsidR="004C20CD" w:rsidRPr="0073713A" w:rsidRDefault="004C20CD" w:rsidP="00A75BAE">
            <w:pPr>
              <w:tabs>
                <w:tab w:val="left" w:pos="432"/>
                <w:tab w:val="left" w:pos="864"/>
              </w:tabs>
              <w:contextualSpacing/>
              <w:rPr>
                <w:rFonts w:ascii="Arial" w:eastAsia="Arial" w:hAnsi="Arial" w:cs="Arial"/>
                <w:color w:val="000000"/>
                <w:sz w:val="22"/>
                <w:szCs w:val="22"/>
                <w:u w:color="000000"/>
              </w:rPr>
            </w:pPr>
            <w:r w:rsidRPr="0073713A">
              <w:rPr>
                <w:rFonts w:ascii="Arial" w:eastAsia="Arial" w:hAnsi="Arial" w:cs="Arial"/>
                <w:color w:val="000000"/>
                <w:sz w:val="22"/>
                <w:szCs w:val="22"/>
                <w:u w:color="000000"/>
              </w:rPr>
              <w:t>2012</w:t>
            </w:r>
          </w:p>
        </w:tc>
        <w:tc>
          <w:tcPr>
            <w:tcW w:w="1701" w:type="dxa"/>
            <w:vAlign w:val="center"/>
          </w:tcPr>
          <w:p w:rsidR="004C20CD" w:rsidRPr="0073713A" w:rsidRDefault="004C20CD" w:rsidP="00A75BAE">
            <w:pPr>
              <w:tabs>
                <w:tab w:val="left" w:pos="432"/>
                <w:tab w:val="left" w:pos="864"/>
              </w:tabs>
              <w:ind w:right="-108"/>
              <w:contextualSpacing/>
              <w:rPr>
                <w:rFonts w:ascii="Arial" w:eastAsia="Arial" w:hAnsi="Arial" w:cs="Arial"/>
                <w:color w:val="000000"/>
                <w:sz w:val="22"/>
                <w:szCs w:val="22"/>
                <w:u w:color="000000"/>
              </w:rPr>
            </w:pPr>
            <w:r w:rsidRPr="0073713A">
              <w:rPr>
                <w:rFonts w:ascii="Arial" w:eastAsia="Arial" w:hAnsi="Arial" w:cs="Arial"/>
                <w:color w:val="000000"/>
                <w:sz w:val="22"/>
                <w:szCs w:val="22"/>
                <w:u w:color="000000"/>
              </w:rPr>
              <w:t>R13 600 000.00</w:t>
            </w:r>
          </w:p>
        </w:tc>
      </w:tr>
    </w:tbl>
    <w:p w:rsidR="004C20CD" w:rsidRPr="0073713A" w:rsidRDefault="004C20CD" w:rsidP="00A75BAE">
      <w:pPr>
        <w:tabs>
          <w:tab w:val="left" w:pos="1134"/>
        </w:tabs>
        <w:spacing w:after="0" w:line="240" w:lineRule="auto"/>
        <w:jc w:val="both"/>
        <w:rPr>
          <w:rFonts w:ascii="Arial" w:eastAsia="Times New Roman" w:hAnsi="Arial" w:cs="Arial"/>
          <w:b/>
        </w:rPr>
      </w:pPr>
    </w:p>
    <w:p w:rsidR="004355E5" w:rsidRPr="0073713A" w:rsidRDefault="004355E5" w:rsidP="00A75BAE">
      <w:pPr>
        <w:pBdr>
          <w:bottom w:val="single" w:sz="6" w:space="1" w:color="auto"/>
        </w:pBdr>
        <w:tabs>
          <w:tab w:val="left" w:pos="432"/>
          <w:tab w:val="left" w:pos="864"/>
        </w:tabs>
        <w:spacing w:after="0" w:line="240" w:lineRule="auto"/>
        <w:jc w:val="center"/>
        <w:rPr>
          <w:rFonts w:ascii="Arial" w:eastAsia="Times New Roman" w:hAnsi="Arial" w:cs="Arial"/>
          <w:b/>
        </w:rPr>
      </w:pPr>
    </w:p>
    <w:p w:rsidR="00AD1767" w:rsidRPr="0073713A" w:rsidRDefault="00AD1767" w:rsidP="00A75BAE">
      <w:pPr>
        <w:tabs>
          <w:tab w:val="left" w:pos="432"/>
          <w:tab w:val="left" w:pos="864"/>
        </w:tabs>
        <w:spacing w:after="0" w:line="240" w:lineRule="auto"/>
        <w:jc w:val="center"/>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ASB</w:t>
      </w:r>
    </w:p>
    <w:p w:rsidR="0073713A" w:rsidRPr="0073713A" w:rsidRDefault="0073713A" w:rsidP="00A75BAE">
      <w:pPr>
        <w:tabs>
          <w:tab w:val="left" w:pos="432"/>
          <w:tab w:val="left" w:pos="864"/>
        </w:tabs>
        <w:spacing w:after="0" w:line="240" w:lineRule="auto"/>
        <w:rPr>
          <w:rFonts w:ascii="Arial" w:eastAsia="Times New Roman" w:hAnsi="Arial" w:cs="Arial"/>
          <w:b/>
        </w:rPr>
      </w:pPr>
    </w:p>
    <w:p w:rsidR="00531E8A" w:rsidRPr="0073713A" w:rsidRDefault="0073713A" w:rsidP="00A75BAE">
      <w:pPr>
        <w:tabs>
          <w:tab w:val="left" w:pos="432"/>
          <w:tab w:val="left" w:pos="864"/>
        </w:tabs>
        <w:spacing w:after="0" w:line="240" w:lineRule="auto"/>
        <w:rPr>
          <w:rFonts w:ascii="Arial" w:eastAsia="Times New Roman" w:hAnsi="Arial" w:cs="Arial"/>
          <w:b/>
        </w:rPr>
      </w:pPr>
      <w:r w:rsidRPr="0073713A">
        <w:rPr>
          <w:rFonts w:ascii="Arial" w:hAnsi="Arial" w:cs="Arial"/>
        </w:rPr>
        <w:t>The Accounting Standards Board does not provide funding to any institution of research and development domestically or internationally.</w:t>
      </w: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CBDA</w:t>
      </w:r>
    </w:p>
    <w:p w:rsidR="0072116E" w:rsidRPr="0073713A" w:rsidRDefault="0072116E" w:rsidP="00A75BAE">
      <w:pPr>
        <w:tabs>
          <w:tab w:val="left" w:pos="432"/>
          <w:tab w:val="left" w:pos="864"/>
        </w:tabs>
        <w:spacing w:after="0" w:line="240" w:lineRule="auto"/>
        <w:jc w:val="both"/>
        <w:rPr>
          <w:rFonts w:ascii="Arial" w:eastAsia="Times New Roman" w:hAnsi="Arial" w:cs="Arial"/>
          <w:b/>
        </w:rPr>
      </w:pPr>
    </w:p>
    <w:p w:rsidR="0072116E" w:rsidRPr="0073713A" w:rsidRDefault="0072116E" w:rsidP="00A75BAE">
      <w:pPr>
        <w:tabs>
          <w:tab w:val="left" w:pos="432"/>
          <w:tab w:val="left" w:pos="864"/>
        </w:tabs>
        <w:spacing w:after="0" w:line="240" w:lineRule="auto"/>
        <w:jc w:val="both"/>
        <w:rPr>
          <w:rFonts w:ascii="Arial" w:hAnsi="Arial" w:cs="Arial"/>
        </w:rPr>
      </w:pPr>
      <w:r w:rsidRPr="0073713A">
        <w:rPr>
          <w:rFonts w:ascii="Arial" w:hAnsi="Arial" w:cs="Arial"/>
        </w:rPr>
        <w:t xml:space="preserve"> (a) The Co-operative Banks Development Agency and/or (b) any entities reporting to her is not funding, including by way of discretionary funding, any institution of research and development (i) domestically and/or (ii) internationally; if so, (aa</w:t>
      </w:r>
      <w:proofErr w:type="gramStart"/>
      <w:r w:rsidRPr="0073713A">
        <w:rPr>
          <w:rFonts w:ascii="Arial" w:hAnsi="Arial" w:cs="Arial"/>
        </w:rPr>
        <w:t>)(</w:t>
      </w:r>
      <w:proofErr w:type="spellStart"/>
      <w:proofErr w:type="gramEnd"/>
      <w:r w:rsidRPr="0073713A">
        <w:rPr>
          <w:rFonts w:ascii="Arial" w:hAnsi="Arial" w:cs="Arial"/>
        </w:rPr>
        <w:t>aaa</w:t>
      </w:r>
      <w:proofErr w:type="spellEnd"/>
      <w:r w:rsidRPr="0073713A">
        <w:rPr>
          <w:rFonts w:ascii="Arial" w:hAnsi="Arial" w:cs="Arial"/>
        </w:rPr>
        <w:t>) no names of the specified institutions and (</w:t>
      </w:r>
      <w:proofErr w:type="spellStart"/>
      <w:r w:rsidRPr="0073713A">
        <w:rPr>
          <w:rFonts w:ascii="Arial" w:hAnsi="Arial" w:cs="Arial"/>
        </w:rPr>
        <w:t>bbb</w:t>
      </w:r>
      <w:proofErr w:type="spellEnd"/>
      <w:r w:rsidRPr="0073713A">
        <w:rPr>
          <w:rFonts w:ascii="Arial" w:hAnsi="Arial" w:cs="Arial"/>
        </w:rPr>
        <w:t>) or functions, (bb) or date can be provided or reported by her funding them and (cc) no amount was contributed by the CBDA towards such funding?</w:t>
      </w:r>
    </w:p>
    <w:p w:rsidR="00B0595E" w:rsidRPr="0073713A" w:rsidRDefault="00B0595E"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DBSA</w:t>
      </w:r>
    </w:p>
    <w:p w:rsidR="004D1544" w:rsidRPr="0073713A" w:rsidRDefault="004D1544" w:rsidP="00A75BAE">
      <w:pPr>
        <w:tabs>
          <w:tab w:val="left" w:pos="432"/>
          <w:tab w:val="left" w:pos="864"/>
        </w:tabs>
        <w:spacing w:after="0" w:line="240" w:lineRule="auto"/>
        <w:jc w:val="both"/>
        <w:rPr>
          <w:rFonts w:ascii="Arial" w:eastAsia="Times New Roman" w:hAnsi="Arial" w:cs="Arial"/>
        </w:rPr>
      </w:pPr>
    </w:p>
    <w:p w:rsidR="00963350" w:rsidRPr="0073713A" w:rsidRDefault="00963350" w:rsidP="00A75BAE">
      <w:pPr>
        <w:pStyle w:val="BodyTextIndent"/>
        <w:spacing w:line="240" w:lineRule="auto"/>
        <w:ind w:left="0" w:firstLine="0"/>
        <w:contextualSpacing/>
        <w:jc w:val="both"/>
        <w:rPr>
          <w:rFonts w:ascii="Arial" w:hAnsi="Arial" w:cs="Arial"/>
          <w:bCs/>
          <w:sz w:val="22"/>
          <w:szCs w:val="22"/>
        </w:rPr>
      </w:pPr>
      <w:r w:rsidRPr="0073713A">
        <w:rPr>
          <w:rFonts w:ascii="Arial" w:hAnsi="Arial" w:cs="Arial"/>
          <w:bCs/>
          <w:sz w:val="22"/>
          <w:szCs w:val="22"/>
        </w:rPr>
        <w:t xml:space="preserve">The Development Bank of Southern Africa (DBSA) has over the previous 2016/17 and current 2017/18 financial years, as part of the Strategy Division’s research and knowledge management functions engaged the services of the following institutions: (i) the Wits School of Governance (WSG); (ii) the Chartered Institute of Development Finance (CIDEF); (iii) the Institute of African Alternatives (IFAA); and the University of Pretoria’s Gordon Institute of Business Science (GIBS), all of which are local. </w:t>
      </w:r>
    </w:p>
    <w:p w:rsidR="00963350" w:rsidRPr="0073713A" w:rsidRDefault="00963350" w:rsidP="00A75BAE">
      <w:pPr>
        <w:pStyle w:val="BodyTextIndent"/>
        <w:spacing w:line="240" w:lineRule="auto"/>
        <w:ind w:left="0" w:firstLine="0"/>
        <w:contextualSpacing/>
        <w:jc w:val="both"/>
        <w:rPr>
          <w:rFonts w:ascii="Arial" w:hAnsi="Arial" w:cs="Arial"/>
          <w:bCs/>
          <w:sz w:val="22"/>
          <w:szCs w:val="22"/>
        </w:rPr>
      </w:pPr>
    </w:p>
    <w:p w:rsidR="00963350" w:rsidRPr="0073713A" w:rsidRDefault="00963350" w:rsidP="00A75BAE">
      <w:pPr>
        <w:pStyle w:val="BodyTextIndent"/>
        <w:numPr>
          <w:ilvl w:val="0"/>
          <w:numId w:val="11"/>
        </w:numPr>
        <w:spacing w:line="240" w:lineRule="auto"/>
        <w:contextualSpacing/>
        <w:jc w:val="both"/>
        <w:rPr>
          <w:rFonts w:ascii="Arial" w:eastAsia="Arial" w:hAnsi="Arial" w:cs="Arial"/>
          <w:bCs/>
          <w:sz w:val="22"/>
          <w:szCs w:val="22"/>
        </w:rPr>
      </w:pPr>
      <w:r w:rsidRPr="0073713A">
        <w:rPr>
          <w:rFonts w:ascii="Arial" w:hAnsi="Arial" w:cs="Arial"/>
          <w:bCs/>
          <w:sz w:val="22"/>
          <w:szCs w:val="22"/>
        </w:rPr>
        <w:t>The Wits School of Governance (WSG) was engaged for a multi-stakeholder conversation on “The Utility of the Electricity Supply Model” as the first session under the purview of the Infrastructure Conversation Series. Their responsibilities were facilitation of the session, report compilation, hosting and marketing of the event. The DBSA was invoiced for a total of R 64 545.34 that was paid during the 2016/17 financial year;</w:t>
      </w:r>
    </w:p>
    <w:p w:rsidR="00963350" w:rsidRPr="0073713A" w:rsidRDefault="00963350" w:rsidP="00A75BAE">
      <w:pPr>
        <w:pStyle w:val="BodyTextIndent"/>
        <w:numPr>
          <w:ilvl w:val="0"/>
          <w:numId w:val="11"/>
        </w:numPr>
        <w:spacing w:line="240" w:lineRule="auto"/>
        <w:contextualSpacing/>
        <w:jc w:val="both"/>
        <w:rPr>
          <w:rFonts w:ascii="Arial" w:eastAsia="Arial" w:hAnsi="Arial" w:cs="Arial"/>
          <w:bCs/>
          <w:sz w:val="22"/>
          <w:szCs w:val="22"/>
        </w:rPr>
      </w:pPr>
      <w:r w:rsidRPr="0073713A">
        <w:rPr>
          <w:rFonts w:ascii="Arial" w:eastAsia="Arial" w:hAnsi="Arial" w:cs="Arial"/>
          <w:bCs/>
          <w:sz w:val="22"/>
          <w:szCs w:val="22"/>
        </w:rPr>
        <w:t>Prof Adrian Saville from GIBS on a sole sourcing basis assisted the DBSA with the drafting and presentation of the Economic Outlook reports that served at the Assets and Liabilities Committee (ALCO), the Investment Committee (IC), the Board Credit and Investment Committee (BCIC), and the Management Strategy Session. The DBSA was invoiced twice for these services for the respective amounts of R 212 500 and R 597 500 that were both paid during the 2016/17 financial year.</w:t>
      </w:r>
    </w:p>
    <w:p w:rsidR="00963350" w:rsidRPr="0073713A" w:rsidRDefault="00963350" w:rsidP="00A75BAE">
      <w:pPr>
        <w:pStyle w:val="BodyTextIndent"/>
        <w:numPr>
          <w:ilvl w:val="0"/>
          <w:numId w:val="11"/>
        </w:numPr>
        <w:spacing w:line="240" w:lineRule="auto"/>
        <w:contextualSpacing/>
        <w:jc w:val="both"/>
        <w:rPr>
          <w:rFonts w:ascii="Arial" w:eastAsia="Arial" w:hAnsi="Arial" w:cs="Arial"/>
          <w:bCs/>
          <w:sz w:val="22"/>
          <w:szCs w:val="22"/>
        </w:rPr>
      </w:pPr>
      <w:r w:rsidRPr="0073713A">
        <w:rPr>
          <w:rFonts w:ascii="Arial" w:eastAsia="Arial" w:hAnsi="Arial" w:cs="Arial"/>
          <w:bCs/>
          <w:sz w:val="22"/>
          <w:szCs w:val="22"/>
        </w:rPr>
        <w:t xml:space="preserve">The services of the Institute for African Alternatives (IFAA) were procured on a closed tender basis to undertake a study on the relationship between infrastructure and </w:t>
      </w:r>
      <w:proofErr w:type="spellStart"/>
      <w:r w:rsidRPr="0073713A">
        <w:rPr>
          <w:rFonts w:ascii="Arial" w:eastAsia="Arial" w:hAnsi="Arial" w:cs="Arial"/>
          <w:bCs/>
          <w:sz w:val="22"/>
          <w:szCs w:val="22"/>
        </w:rPr>
        <w:t>industrialisation</w:t>
      </w:r>
      <w:proofErr w:type="spellEnd"/>
      <w:r w:rsidRPr="0073713A">
        <w:rPr>
          <w:rFonts w:ascii="Arial" w:eastAsia="Arial" w:hAnsi="Arial" w:cs="Arial"/>
          <w:bCs/>
          <w:sz w:val="22"/>
          <w:szCs w:val="22"/>
        </w:rPr>
        <w:t xml:space="preserve"> through examination of the impact of South African entities in the African continent. The deadline for submission of the output is the end of Q4, specifically end of September, 2017. IFAA quoted the study at R 400 000 with the DBSA to be invoiced on submission of the final output. Payment to be made within the current 2017/18 financial year.</w:t>
      </w:r>
    </w:p>
    <w:p w:rsidR="00963350" w:rsidRPr="0073713A" w:rsidRDefault="00963350" w:rsidP="00A75BAE">
      <w:pPr>
        <w:pStyle w:val="BodyTextIndent"/>
        <w:numPr>
          <w:ilvl w:val="0"/>
          <w:numId w:val="11"/>
        </w:numPr>
        <w:spacing w:line="240" w:lineRule="auto"/>
        <w:contextualSpacing/>
        <w:jc w:val="both"/>
        <w:rPr>
          <w:rFonts w:ascii="Arial" w:eastAsia="Arial" w:hAnsi="Arial" w:cs="Arial"/>
          <w:bCs/>
          <w:sz w:val="22"/>
          <w:szCs w:val="22"/>
        </w:rPr>
      </w:pPr>
      <w:r w:rsidRPr="0073713A">
        <w:rPr>
          <w:rFonts w:ascii="Arial" w:eastAsia="Arial" w:hAnsi="Arial" w:cs="Arial"/>
          <w:bCs/>
          <w:sz w:val="22"/>
          <w:szCs w:val="22"/>
        </w:rPr>
        <w:t xml:space="preserve">The DBSA has entered into a membership/partnership agreement with the Chartered Institute of Development Finance (CIDEF) on the Masters in Development Finance as at 23 January, 2017. The components of the partnership include a visiting Fellowship and Lectureship </w:t>
      </w:r>
      <w:proofErr w:type="spellStart"/>
      <w:r w:rsidRPr="0073713A">
        <w:rPr>
          <w:rFonts w:ascii="Arial" w:eastAsia="Arial" w:hAnsi="Arial" w:cs="Arial"/>
          <w:bCs/>
          <w:sz w:val="22"/>
          <w:szCs w:val="22"/>
        </w:rPr>
        <w:t>Programme</w:t>
      </w:r>
      <w:proofErr w:type="spellEnd"/>
      <w:r w:rsidRPr="0073713A">
        <w:rPr>
          <w:rFonts w:ascii="Arial" w:eastAsia="Arial" w:hAnsi="Arial" w:cs="Arial"/>
          <w:bCs/>
          <w:sz w:val="22"/>
          <w:szCs w:val="22"/>
        </w:rPr>
        <w:t>, Knowledge Collaboration for Research, and Internship and Youth Development. The total annual cost of the partnership is estimated at R 300 000 and the funds are expected to be spent over the current 2017/18 financial year.</w:t>
      </w:r>
    </w:p>
    <w:p w:rsidR="00963350" w:rsidRPr="0073713A" w:rsidRDefault="00963350" w:rsidP="00A75BAE">
      <w:pPr>
        <w:pStyle w:val="BodyTextIndent"/>
        <w:numPr>
          <w:ilvl w:val="0"/>
          <w:numId w:val="11"/>
        </w:numPr>
        <w:spacing w:line="240" w:lineRule="auto"/>
        <w:contextualSpacing/>
        <w:jc w:val="both"/>
        <w:rPr>
          <w:rFonts w:ascii="Arial" w:eastAsia="Arial" w:hAnsi="Arial" w:cs="Arial"/>
          <w:bCs/>
          <w:sz w:val="22"/>
          <w:szCs w:val="22"/>
        </w:rPr>
      </w:pPr>
      <w:r w:rsidRPr="0073713A">
        <w:rPr>
          <w:rFonts w:ascii="Arial" w:eastAsia="Arial" w:hAnsi="Arial" w:cs="Arial"/>
          <w:bCs/>
          <w:sz w:val="22"/>
          <w:szCs w:val="22"/>
        </w:rPr>
        <w:lastRenderedPageBreak/>
        <w:t>The respective amount totals paid out to local research and development institutions are (R 64 545 34 + R 212 500 + R 597 500) = R 874 545 34 for the 2016/17 financial year and the anticipation of (R 400 000 + 300 000) =</w:t>
      </w:r>
    </w:p>
    <w:p w:rsidR="00963350" w:rsidRPr="0073713A" w:rsidRDefault="00963350" w:rsidP="00A75BAE">
      <w:pPr>
        <w:pStyle w:val="BodyTextIndent"/>
        <w:spacing w:line="240" w:lineRule="auto"/>
        <w:ind w:left="720" w:firstLine="0"/>
        <w:contextualSpacing/>
        <w:jc w:val="both"/>
        <w:rPr>
          <w:rFonts w:ascii="Arial" w:eastAsia="Arial" w:hAnsi="Arial" w:cs="Arial"/>
          <w:bCs/>
          <w:sz w:val="22"/>
          <w:szCs w:val="22"/>
        </w:rPr>
      </w:pPr>
      <w:r w:rsidRPr="0073713A">
        <w:rPr>
          <w:rFonts w:ascii="Arial" w:eastAsia="Arial" w:hAnsi="Arial" w:cs="Arial"/>
          <w:bCs/>
          <w:sz w:val="22"/>
          <w:szCs w:val="22"/>
        </w:rPr>
        <w:t xml:space="preserve"> </w:t>
      </w:r>
      <w:proofErr w:type="gramStart"/>
      <w:r w:rsidRPr="0073713A">
        <w:rPr>
          <w:rFonts w:ascii="Arial" w:eastAsia="Arial" w:hAnsi="Arial" w:cs="Arial"/>
          <w:bCs/>
          <w:sz w:val="22"/>
          <w:szCs w:val="22"/>
        </w:rPr>
        <w:t>R 700 000 for the 2017/18 financial year.</w:t>
      </w:r>
      <w:proofErr w:type="gramEnd"/>
    </w:p>
    <w:p w:rsidR="00750D3D" w:rsidRPr="0073713A" w:rsidRDefault="00750D3D" w:rsidP="00A75BAE">
      <w:pPr>
        <w:pStyle w:val="BodyTextIndent"/>
        <w:spacing w:line="240" w:lineRule="auto"/>
        <w:ind w:left="0" w:firstLine="0"/>
        <w:contextualSpacing/>
        <w:jc w:val="both"/>
        <w:rPr>
          <w:rFonts w:ascii="Arial" w:eastAsia="Arial" w:hAnsi="Arial" w:cs="Arial"/>
          <w:sz w:val="22"/>
          <w:szCs w:val="22"/>
        </w:rPr>
      </w:pPr>
    </w:p>
    <w:p w:rsidR="004D1544" w:rsidRPr="0073713A" w:rsidRDefault="004D1544" w:rsidP="00A75BAE">
      <w:pPr>
        <w:tabs>
          <w:tab w:val="left" w:pos="432"/>
          <w:tab w:val="left" w:pos="864"/>
        </w:tabs>
        <w:spacing w:after="0" w:line="240" w:lineRule="auto"/>
        <w:jc w:val="both"/>
        <w:rPr>
          <w:rFonts w:ascii="Arial" w:eastAsia="Times New Roman" w:hAnsi="Arial" w:cs="Arial"/>
          <w:b/>
        </w:rPr>
      </w:pP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4D1544" w:rsidRPr="0073713A" w:rsidRDefault="004D1544"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FSB</w:t>
      </w:r>
    </w:p>
    <w:p w:rsidR="004D1544" w:rsidRPr="0073713A" w:rsidRDefault="00D14C96" w:rsidP="00A75BAE">
      <w:pPr>
        <w:pStyle w:val="BodyTextIndent"/>
        <w:spacing w:line="240" w:lineRule="auto"/>
        <w:ind w:left="0" w:firstLine="0"/>
        <w:contextualSpacing/>
        <w:rPr>
          <w:rFonts w:ascii="Arial" w:eastAsia="Arial" w:hAnsi="Arial" w:cs="Arial"/>
          <w:bCs/>
          <w:sz w:val="22"/>
          <w:szCs w:val="22"/>
        </w:rPr>
      </w:pPr>
      <w:r w:rsidRPr="0073713A">
        <w:rPr>
          <w:rFonts w:ascii="Arial" w:hAnsi="Arial" w:cs="Arial"/>
          <w:bCs/>
          <w:sz w:val="22"/>
          <w:szCs w:val="22"/>
        </w:rPr>
        <w:t xml:space="preserve">(b) Financial Services Board is not funding any institution for Research and Development. (i) </w:t>
      </w:r>
      <w:proofErr w:type="gramStart"/>
      <w:r w:rsidRPr="0073713A">
        <w:rPr>
          <w:rFonts w:ascii="Arial" w:hAnsi="Arial" w:cs="Arial"/>
          <w:bCs/>
          <w:sz w:val="22"/>
          <w:szCs w:val="22"/>
        </w:rPr>
        <w:t>to</w:t>
      </w:r>
      <w:proofErr w:type="gramEnd"/>
      <w:r w:rsidRPr="0073713A">
        <w:rPr>
          <w:rFonts w:ascii="Arial" w:hAnsi="Arial" w:cs="Arial"/>
          <w:bCs/>
          <w:sz w:val="22"/>
          <w:szCs w:val="22"/>
        </w:rPr>
        <w:t xml:space="preserve"> (ii) cc Not Applicable</w:t>
      </w:r>
    </w:p>
    <w:p w:rsidR="004D1544" w:rsidRPr="0073713A" w:rsidRDefault="004D1544" w:rsidP="00A75BAE">
      <w:pPr>
        <w:pBdr>
          <w:bottom w:val="single" w:sz="6" w:space="1" w:color="auto"/>
        </w:pBdr>
        <w:tabs>
          <w:tab w:val="left" w:pos="432"/>
          <w:tab w:val="left" w:pos="864"/>
        </w:tabs>
        <w:spacing w:after="0" w:line="240" w:lineRule="auto"/>
        <w:rPr>
          <w:rFonts w:ascii="Arial" w:eastAsia="Times New Roman" w:hAnsi="Arial" w:cs="Arial"/>
          <w:b/>
        </w:rPr>
      </w:pPr>
    </w:p>
    <w:p w:rsidR="004D1544" w:rsidRPr="0073713A" w:rsidRDefault="004D1544" w:rsidP="00A75BAE">
      <w:pPr>
        <w:tabs>
          <w:tab w:val="left" w:pos="432"/>
          <w:tab w:val="left" w:pos="864"/>
        </w:tabs>
        <w:spacing w:after="0" w:line="240" w:lineRule="auto"/>
        <w:rPr>
          <w:rFonts w:ascii="Arial" w:eastAsia="Times New Roman" w:hAnsi="Arial" w:cs="Arial"/>
          <w:b/>
        </w:rPr>
      </w:pPr>
    </w:p>
    <w:p w:rsidR="0045530B" w:rsidRPr="0073713A" w:rsidRDefault="0045530B"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FIC</w:t>
      </w:r>
    </w:p>
    <w:p w:rsidR="00F958A4" w:rsidRPr="0073713A" w:rsidRDefault="00F958A4" w:rsidP="00A75BAE">
      <w:pPr>
        <w:tabs>
          <w:tab w:val="left" w:pos="432"/>
          <w:tab w:val="left" w:pos="864"/>
        </w:tabs>
        <w:spacing w:after="0" w:line="240" w:lineRule="auto"/>
        <w:rPr>
          <w:rFonts w:ascii="Arial" w:eastAsia="Times New Roman" w:hAnsi="Arial" w:cs="Arial"/>
          <w:b/>
        </w:rPr>
      </w:pPr>
    </w:p>
    <w:p w:rsidR="00A97CFF" w:rsidRPr="0073713A" w:rsidRDefault="007940F9" w:rsidP="00A75BAE">
      <w:pPr>
        <w:tabs>
          <w:tab w:val="left" w:pos="432"/>
          <w:tab w:val="left" w:pos="864"/>
        </w:tabs>
        <w:spacing w:after="0" w:line="240" w:lineRule="auto"/>
        <w:rPr>
          <w:rFonts w:ascii="Arial" w:eastAsia="Times New Roman" w:hAnsi="Arial" w:cs="Arial"/>
        </w:rPr>
      </w:pPr>
      <w:r w:rsidRPr="0073713A">
        <w:rPr>
          <w:rFonts w:ascii="Arial" w:eastAsia="Times New Roman" w:hAnsi="Arial" w:cs="Arial"/>
        </w:rPr>
        <w:t>The financial Intelligence Centre is not funding any research and development as per question 2092 (b) and therefore the question in the subsections to not apply.</w:t>
      </w: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GEPF</w:t>
      </w:r>
    </w:p>
    <w:p w:rsidR="00EA3B9E" w:rsidRPr="0073713A" w:rsidRDefault="00EA3B9E" w:rsidP="00A75BAE">
      <w:pPr>
        <w:tabs>
          <w:tab w:val="left" w:pos="1134"/>
        </w:tabs>
        <w:spacing w:after="0" w:line="240" w:lineRule="auto"/>
        <w:jc w:val="both"/>
        <w:rPr>
          <w:rFonts w:ascii="Arial" w:eastAsia="Times New Roman" w:hAnsi="Arial" w:cs="Arial"/>
        </w:rPr>
      </w:pPr>
      <w:r w:rsidRPr="0073713A">
        <w:rPr>
          <w:rFonts w:ascii="Arial" w:eastAsia="Times New Roman" w:hAnsi="Arial" w:cs="Arial"/>
        </w:rPr>
        <w:t>The GEPF is not funding any institutions of research and development.</w:t>
      </w:r>
    </w:p>
    <w:p w:rsidR="00B0595E" w:rsidRPr="0073713A" w:rsidRDefault="00B0595E" w:rsidP="00A75BAE">
      <w:pPr>
        <w:tabs>
          <w:tab w:val="left" w:pos="432"/>
          <w:tab w:val="left" w:pos="864"/>
        </w:tabs>
        <w:spacing w:after="0" w:line="240" w:lineRule="auto"/>
        <w:jc w:val="both"/>
        <w:rPr>
          <w:rFonts w:ascii="Arial" w:eastAsia="Times New Roman" w:hAnsi="Arial" w:cs="Arial"/>
        </w:rPr>
      </w:pP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GPAA</w:t>
      </w:r>
    </w:p>
    <w:p w:rsidR="00B0595E" w:rsidRPr="0073713A" w:rsidRDefault="00B0595E" w:rsidP="00A75BAE">
      <w:pPr>
        <w:tabs>
          <w:tab w:val="left" w:pos="432"/>
          <w:tab w:val="left" w:pos="864"/>
        </w:tabs>
        <w:spacing w:after="0" w:line="240" w:lineRule="auto"/>
        <w:jc w:val="both"/>
        <w:rPr>
          <w:rFonts w:ascii="Arial" w:eastAsia="Times New Roman" w:hAnsi="Arial" w:cs="Arial"/>
        </w:rPr>
      </w:pPr>
    </w:p>
    <w:p w:rsidR="00B0595E" w:rsidRPr="0073713A" w:rsidRDefault="006A423F" w:rsidP="00A75BAE">
      <w:pPr>
        <w:tabs>
          <w:tab w:val="left" w:pos="432"/>
          <w:tab w:val="left" w:pos="864"/>
        </w:tabs>
        <w:spacing w:after="0" w:line="240" w:lineRule="auto"/>
        <w:contextualSpacing/>
        <w:jc w:val="both"/>
        <w:rPr>
          <w:rFonts w:ascii="Arial" w:eastAsia="Times New Roman" w:hAnsi="Arial" w:cs="Arial"/>
          <w:b/>
        </w:rPr>
      </w:pPr>
      <w:r w:rsidRPr="0073713A">
        <w:rPr>
          <w:rFonts w:ascii="Arial" w:eastAsia="Arial" w:hAnsi="Arial" w:cs="Arial"/>
        </w:rPr>
        <w:t>The GPAA is not funding any institution of research and development domestically and internationally.</w:t>
      </w:r>
      <w:r w:rsidR="00B0595E" w:rsidRPr="0073713A">
        <w:rPr>
          <w:rFonts w:ascii="Arial" w:eastAsia="Calibri" w:hAnsi="Arial" w:cs="Arial"/>
          <w:lang w:val="en-ZA"/>
        </w:rPr>
        <w:tab/>
      </w: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97CFF" w:rsidRPr="0073713A" w:rsidRDefault="00A97CFF"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IRBA</w:t>
      </w:r>
    </w:p>
    <w:p w:rsidR="00487522" w:rsidRPr="0073713A" w:rsidRDefault="00487522" w:rsidP="00A75BAE">
      <w:pPr>
        <w:tabs>
          <w:tab w:val="left" w:pos="432"/>
          <w:tab w:val="left" w:pos="864"/>
        </w:tabs>
        <w:spacing w:after="0" w:line="240" w:lineRule="auto"/>
        <w:rPr>
          <w:rFonts w:ascii="Arial" w:eastAsia="Times New Roman" w:hAnsi="Arial" w:cs="Arial"/>
          <w:b/>
        </w:rPr>
      </w:pPr>
    </w:p>
    <w:p w:rsidR="00487522" w:rsidRPr="0073713A" w:rsidRDefault="00487522" w:rsidP="00A75BAE">
      <w:pPr>
        <w:pStyle w:val="Default"/>
        <w:jc w:val="both"/>
        <w:rPr>
          <w:sz w:val="22"/>
          <w:szCs w:val="22"/>
        </w:rPr>
      </w:pPr>
      <w:r w:rsidRPr="0073713A">
        <w:rPr>
          <w:sz w:val="22"/>
          <w:szCs w:val="22"/>
        </w:rPr>
        <w:t xml:space="preserve">(b) The IRBA hereby declares that funding is done, to institutions of research and development. </w:t>
      </w:r>
    </w:p>
    <w:p w:rsidR="00487522" w:rsidRPr="0073713A" w:rsidRDefault="00487522" w:rsidP="00A75BAE">
      <w:pPr>
        <w:pStyle w:val="Default"/>
        <w:jc w:val="both"/>
        <w:rPr>
          <w:sz w:val="22"/>
          <w:szCs w:val="22"/>
        </w:rPr>
      </w:pPr>
    </w:p>
    <w:p w:rsidR="00487522" w:rsidRPr="0073713A" w:rsidRDefault="00487522" w:rsidP="00A75BAE">
      <w:pPr>
        <w:pStyle w:val="Default"/>
        <w:jc w:val="both"/>
        <w:rPr>
          <w:sz w:val="22"/>
          <w:szCs w:val="22"/>
        </w:rPr>
      </w:pPr>
      <w:r w:rsidRPr="0073713A">
        <w:rPr>
          <w:sz w:val="22"/>
          <w:szCs w:val="22"/>
        </w:rPr>
        <w:t xml:space="preserve">(i) Only domestically </w:t>
      </w:r>
    </w:p>
    <w:p w:rsidR="00487522" w:rsidRPr="0073713A" w:rsidRDefault="00487522" w:rsidP="00A75BAE">
      <w:pPr>
        <w:pStyle w:val="Default"/>
        <w:jc w:val="both"/>
        <w:rPr>
          <w:sz w:val="22"/>
          <w:szCs w:val="22"/>
        </w:rPr>
      </w:pPr>
    </w:p>
    <w:p w:rsidR="00487522" w:rsidRPr="0073713A" w:rsidRDefault="00487522" w:rsidP="00A75BAE">
      <w:pPr>
        <w:pStyle w:val="Default"/>
        <w:jc w:val="both"/>
        <w:rPr>
          <w:sz w:val="22"/>
          <w:szCs w:val="22"/>
        </w:rPr>
      </w:pPr>
      <w:r w:rsidRPr="0073713A">
        <w:rPr>
          <w:sz w:val="22"/>
          <w:szCs w:val="22"/>
        </w:rPr>
        <w:t>(</w:t>
      </w:r>
      <w:proofErr w:type="gramStart"/>
      <w:r w:rsidRPr="0073713A">
        <w:rPr>
          <w:sz w:val="22"/>
          <w:szCs w:val="22"/>
        </w:rPr>
        <w:t>aa</w:t>
      </w:r>
      <w:proofErr w:type="gramEnd"/>
      <w:r w:rsidRPr="0073713A">
        <w:rPr>
          <w:sz w:val="22"/>
          <w:szCs w:val="22"/>
        </w:rPr>
        <w:t>)` The IRBA encourages research and innovation in Education, Training and Professional        Development in South Africa.</w:t>
      </w:r>
    </w:p>
    <w:p w:rsidR="00487522" w:rsidRPr="0073713A" w:rsidRDefault="00487522" w:rsidP="00A75BAE">
      <w:pPr>
        <w:pStyle w:val="Default"/>
        <w:jc w:val="both"/>
        <w:rPr>
          <w:sz w:val="22"/>
          <w:szCs w:val="22"/>
        </w:rPr>
      </w:pPr>
    </w:p>
    <w:p w:rsidR="006917D9" w:rsidRPr="0073713A" w:rsidRDefault="00487522" w:rsidP="00A75BAE">
      <w:pPr>
        <w:pStyle w:val="Default"/>
        <w:jc w:val="both"/>
        <w:rPr>
          <w:sz w:val="22"/>
          <w:szCs w:val="22"/>
        </w:rPr>
      </w:pPr>
      <w:r w:rsidRPr="0073713A">
        <w:rPr>
          <w:sz w:val="22"/>
          <w:szCs w:val="22"/>
        </w:rPr>
        <w:t>(</w:t>
      </w:r>
      <w:proofErr w:type="gramStart"/>
      <w:r w:rsidRPr="0073713A">
        <w:rPr>
          <w:sz w:val="22"/>
          <w:szCs w:val="22"/>
        </w:rPr>
        <w:t>aa</w:t>
      </w:r>
      <w:proofErr w:type="gramEnd"/>
      <w:r w:rsidRPr="0073713A">
        <w:rPr>
          <w:sz w:val="22"/>
          <w:szCs w:val="22"/>
        </w:rPr>
        <w:t xml:space="preserve">) The IRBA has in the past financially contributed to the following: </w:t>
      </w:r>
    </w:p>
    <w:p w:rsidR="006917D9" w:rsidRPr="0073713A" w:rsidRDefault="006917D9" w:rsidP="00A75BAE">
      <w:pPr>
        <w:pStyle w:val="Default"/>
        <w:jc w:val="both"/>
        <w:rPr>
          <w:sz w:val="22"/>
          <w:szCs w:val="22"/>
        </w:rPr>
      </w:pPr>
    </w:p>
    <w:p w:rsidR="00487522" w:rsidRPr="0073713A" w:rsidRDefault="00487522" w:rsidP="00A75BAE">
      <w:pPr>
        <w:pStyle w:val="Default"/>
        <w:jc w:val="both"/>
        <w:rPr>
          <w:sz w:val="22"/>
          <w:szCs w:val="22"/>
        </w:rPr>
      </w:pPr>
      <w:r w:rsidRPr="0073713A">
        <w:rPr>
          <w:sz w:val="22"/>
          <w:szCs w:val="22"/>
        </w:rPr>
        <w:t>(</w:t>
      </w:r>
      <w:proofErr w:type="gramStart"/>
      <w:r w:rsidRPr="0073713A">
        <w:rPr>
          <w:sz w:val="22"/>
          <w:szCs w:val="22"/>
        </w:rPr>
        <w:t>aaa</w:t>
      </w:r>
      <w:proofErr w:type="gramEnd"/>
      <w:r w:rsidRPr="0073713A">
        <w:rPr>
          <w:sz w:val="22"/>
          <w:szCs w:val="22"/>
        </w:rPr>
        <w:t xml:space="preserve">) </w:t>
      </w:r>
      <w:proofErr w:type="gramStart"/>
      <w:r w:rsidRPr="0073713A">
        <w:rPr>
          <w:sz w:val="22"/>
          <w:szCs w:val="22"/>
        </w:rPr>
        <w:t>The South African Journal of Accounting Research (SAJAR).</w:t>
      </w:r>
      <w:proofErr w:type="gramEnd"/>
    </w:p>
    <w:p w:rsidR="00487522" w:rsidRPr="0073713A" w:rsidRDefault="006917D9" w:rsidP="00A75BAE">
      <w:pPr>
        <w:pStyle w:val="Default"/>
        <w:jc w:val="both"/>
        <w:rPr>
          <w:sz w:val="22"/>
          <w:szCs w:val="22"/>
        </w:rPr>
      </w:pPr>
      <w:r w:rsidRPr="0073713A">
        <w:rPr>
          <w:sz w:val="22"/>
          <w:szCs w:val="22"/>
        </w:rPr>
        <w:br/>
      </w:r>
      <w:r w:rsidR="00487522" w:rsidRPr="0073713A">
        <w:rPr>
          <w:sz w:val="22"/>
          <w:szCs w:val="22"/>
        </w:rPr>
        <w:t xml:space="preserve"> (</w:t>
      </w:r>
      <w:proofErr w:type="spellStart"/>
      <w:proofErr w:type="gramStart"/>
      <w:r w:rsidR="00487522" w:rsidRPr="0073713A">
        <w:rPr>
          <w:sz w:val="22"/>
          <w:szCs w:val="22"/>
        </w:rPr>
        <w:t>bbb</w:t>
      </w:r>
      <w:proofErr w:type="spellEnd"/>
      <w:proofErr w:type="gramEnd"/>
      <w:r w:rsidR="00487522" w:rsidRPr="0073713A">
        <w:rPr>
          <w:sz w:val="22"/>
          <w:szCs w:val="22"/>
        </w:rPr>
        <w:t>) The IRBA is a founding member of SAJAR. SAJAR publishes peer-reviewed original research papers, notes and commentaries that address issues relevant to accounting academics and professional accountants in Southern Africa.</w:t>
      </w:r>
    </w:p>
    <w:p w:rsidR="00487522" w:rsidRPr="0073713A" w:rsidRDefault="00487522" w:rsidP="00A75BAE">
      <w:pPr>
        <w:pStyle w:val="Default"/>
        <w:jc w:val="both"/>
        <w:rPr>
          <w:sz w:val="22"/>
          <w:szCs w:val="22"/>
        </w:rPr>
      </w:pPr>
    </w:p>
    <w:p w:rsidR="00487522" w:rsidRPr="0073713A" w:rsidRDefault="00487522" w:rsidP="00A75BAE">
      <w:pPr>
        <w:pStyle w:val="Default"/>
        <w:jc w:val="both"/>
        <w:rPr>
          <w:sz w:val="22"/>
          <w:szCs w:val="22"/>
        </w:rPr>
      </w:pPr>
      <w:r w:rsidRPr="0073713A">
        <w:rPr>
          <w:sz w:val="22"/>
          <w:szCs w:val="22"/>
        </w:rPr>
        <w:lastRenderedPageBreak/>
        <w:t>This includes areas of interest in the study and practice in financial accounting, auditing, taxation, financial management, management accounting, finance, ethics and information systems. The IRBA has demonstrated support for SAJAR through serving on the Editorial Board and providing funding.</w:t>
      </w:r>
    </w:p>
    <w:p w:rsidR="00487522" w:rsidRPr="0073713A" w:rsidRDefault="00487522" w:rsidP="00A75BAE">
      <w:pPr>
        <w:pStyle w:val="Default"/>
        <w:jc w:val="both"/>
        <w:rPr>
          <w:sz w:val="22"/>
          <w:szCs w:val="22"/>
        </w:rPr>
      </w:pPr>
    </w:p>
    <w:p w:rsidR="00487522" w:rsidRPr="0073713A" w:rsidRDefault="00487522" w:rsidP="00A75BAE">
      <w:pPr>
        <w:pStyle w:val="Default"/>
        <w:jc w:val="both"/>
        <w:rPr>
          <w:sz w:val="22"/>
          <w:szCs w:val="22"/>
        </w:rPr>
      </w:pPr>
      <w:r w:rsidRPr="0073713A">
        <w:rPr>
          <w:sz w:val="22"/>
          <w:szCs w:val="22"/>
        </w:rPr>
        <w:t xml:space="preserve"> (</w:t>
      </w:r>
      <w:proofErr w:type="gramStart"/>
      <w:r w:rsidRPr="0073713A">
        <w:rPr>
          <w:sz w:val="22"/>
          <w:szCs w:val="22"/>
        </w:rPr>
        <w:t>bb</w:t>
      </w:r>
      <w:proofErr w:type="gramEnd"/>
      <w:r w:rsidRPr="0073713A">
        <w:rPr>
          <w:sz w:val="22"/>
          <w:szCs w:val="22"/>
        </w:rPr>
        <w:t xml:space="preserve">) The funding is done for the last three years </w:t>
      </w:r>
    </w:p>
    <w:p w:rsidR="00487522" w:rsidRPr="0073713A" w:rsidRDefault="00487522" w:rsidP="00A75BAE">
      <w:pPr>
        <w:pStyle w:val="Default"/>
        <w:jc w:val="both"/>
        <w:rPr>
          <w:sz w:val="22"/>
          <w:szCs w:val="22"/>
        </w:rPr>
      </w:pPr>
    </w:p>
    <w:p w:rsidR="00AD1767" w:rsidRPr="0073713A" w:rsidRDefault="00487522" w:rsidP="00A75BAE">
      <w:pPr>
        <w:pBdr>
          <w:bottom w:val="single" w:sz="6" w:space="1" w:color="auto"/>
        </w:pBdr>
        <w:tabs>
          <w:tab w:val="left" w:pos="432"/>
          <w:tab w:val="left" w:pos="864"/>
        </w:tabs>
        <w:spacing w:after="0" w:line="240" w:lineRule="auto"/>
        <w:jc w:val="both"/>
        <w:rPr>
          <w:rFonts w:ascii="Arial" w:hAnsi="Arial" w:cs="Arial"/>
        </w:rPr>
      </w:pPr>
      <w:r w:rsidRPr="0073713A">
        <w:rPr>
          <w:rFonts w:ascii="Arial" w:hAnsi="Arial" w:cs="Arial"/>
        </w:rPr>
        <w:t xml:space="preserve">(cc) </w:t>
      </w:r>
      <w:proofErr w:type="gramStart"/>
      <w:r w:rsidRPr="0073713A">
        <w:rPr>
          <w:rFonts w:ascii="Arial" w:hAnsi="Arial" w:cs="Arial"/>
        </w:rPr>
        <w:t>An</w:t>
      </w:r>
      <w:proofErr w:type="gramEnd"/>
      <w:r w:rsidRPr="0073713A">
        <w:rPr>
          <w:rFonts w:ascii="Arial" w:hAnsi="Arial" w:cs="Arial"/>
        </w:rPr>
        <w:t xml:space="preserve"> amount of R70 000 per annum</w:t>
      </w:r>
    </w:p>
    <w:p w:rsidR="00487522" w:rsidRPr="0073713A" w:rsidRDefault="00487522" w:rsidP="00A75BAE">
      <w:pPr>
        <w:pBdr>
          <w:bottom w:val="single" w:sz="6" w:space="1" w:color="auto"/>
        </w:pBdr>
        <w:tabs>
          <w:tab w:val="left" w:pos="432"/>
          <w:tab w:val="left" w:pos="864"/>
        </w:tabs>
        <w:spacing w:after="0" w:line="240" w:lineRule="auto"/>
        <w:rPr>
          <w:rFonts w:ascii="Arial" w:hAnsi="Arial" w:cs="Arial"/>
        </w:rPr>
      </w:pPr>
    </w:p>
    <w:p w:rsidR="00487522" w:rsidRPr="0073713A" w:rsidRDefault="00487522"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97CFF" w:rsidRPr="0073713A" w:rsidRDefault="00A97CFF"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PFA</w:t>
      </w:r>
    </w:p>
    <w:p w:rsidR="0073713A" w:rsidRPr="0073713A" w:rsidRDefault="0073713A" w:rsidP="00A75BAE">
      <w:pPr>
        <w:pBdr>
          <w:top w:val="nil"/>
          <w:left w:val="nil"/>
          <w:bottom w:val="nil"/>
          <w:right w:val="nil"/>
          <w:between w:val="nil"/>
          <w:bar w:val="nil"/>
        </w:pBdr>
        <w:tabs>
          <w:tab w:val="left" w:pos="432"/>
          <w:tab w:val="left" w:pos="864"/>
        </w:tabs>
        <w:spacing w:after="0" w:line="240" w:lineRule="auto"/>
        <w:jc w:val="both"/>
        <w:rPr>
          <w:rFonts w:ascii="Arial" w:eastAsia="Arial Unicode MS" w:hAnsi="Arial" w:cs="Arial"/>
          <w:bdr w:val="nil"/>
        </w:rPr>
      </w:pPr>
      <w:r w:rsidRPr="0073713A">
        <w:rPr>
          <w:rFonts w:ascii="Arial" w:eastAsia="Arial Unicode MS" w:hAnsi="Arial" w:cs="Arial"/>
          <w:bdr w:val="nil"/>
        </w:rPr>
        <w:t>(b)(i) No</w:t>
      </w:r>
    </w:p>
    <w:p w:rsidR="0073713A" w:rsidRPr="0073713A" w:rsidRDefault="0073713A" w:rsidP="00A75BAE">
      <w:pPr>
        <w:pBdr>
          <w:top w:val="nil"/>
          <w:left w:val="nil"/>
          <w:bottom w:val="nil"/>
          <w:right w:val="nil"/>
          <w:between w:val="nil"/>
          <w:bar w:val="nil"/>
        </w:pBdr>
        <w:tabs>
          <w:tab w:val="left" w:pos="432"/>
          <w:tab w:val="left" w:pos="864"/>
        </w:tabs>
        <w:spacing w:after="0" w:line="240" w:lineRule="auto"/>
        <w:jc w:val="both"/>
        <w:rPr>
          <w:rFonts w:ascii="Arial" w:eastAsia="Arial Unicode MS" w:hAnsi="Arial" w:cs="Arial"/>
          <w:bdr w:val="nil"/>
        </w:rPr>
      </w:pPr>
      <w:r w:rsidRPr="0073713A">
        <w:rPr>
          <w:rFonts w:ascii="Arial" w:eastAsia="Arial Unicode MS" w:hAnsi="Arial" w:cs="Arial"/>
          <w:bdr w:val="nil"/>
        </w:rPr>
        <w:t xml:space="preserve">    (ii) No</w:t>
      </w:r>
    </w:p>
    <w:p w:rsidR="004324DD" w:rsidRPr="0073713A" w:rsidRDefault="004324DD" w:rsidP="00A75BAE">
      <w:pPr>
        <w:pBdr>
          <w:bottom w:val="single" w:sz="6" w:space="1" w:color="auto"/>
        </w:pBdr>
        <w:tabs>
          <w:tab w:val="left" w:pos="432"/>
          <w:tab w:val="left" w:pos="864"/>
        </w:tabs>
        <w:spacing w:after="0" w:line="240" w:lineRule="auto"/>
        <w:rPr>
          <w:rFonts w:ascii="Arial" w:eastAsia="Times New Roman" w:hAnsi="Arial" w:cs="Arial"/>
        </w:rPr>
      </w:pP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LAND BANK</w:t>
      </w:r>
    </w:p>
    <w:p w:rsidR="0024360C" w:rsidRPr="0073713A" w:rsidRDefault="0024360C" w:rsidP="00A75BAE">
      <w:pPr>
        <w:tabs>
          <w:tab w:val="left" w:pos="432"/>
          <w:tab w:val="left" w:pos="864"/>
        </w:tabs>
        <w:spacing w:after="0" w:line="240" w:lineRule="auto"/>
        <w:rPr>
          <w:rFonts w:ascii="Arial" w:eastAsia="Times New Roman" w:hAnsi="Arial" w:cs="Arial"/>
          <w:b/>
        </w:rPr>
      </w:pPr>
    </w:p>
    <w:p w:rsidR="0024360C" w:rsidRPr="0073713A" w:rsidRDefault="0024360C" w:rsidP="00A75BAE">
      <w:pPr>
        <w:pStyle w:val="NoSpacing"/>
        <w:ind w:left="720"/>
        <w:jc w:val="both"/>
        <w:rPr>
          <w:rFonts w:ascii="Arial" w:hAnsi="Arial" w:cs="Arial"/>
          <w:sz w:val="22"/>
          <w:szCs w:val="22"/>
        </w:rPr>
      </w:pPr>
      <w:r w:rsidRPr="0073713A">
        <w:rPr>
          <w:rFonts w:ascii="Arial" w:hAnsi="Arial" w:cs="Arial"/>
          <w:sz w:val="22"/>
          <w:szCs w:val="22"/>
        </w:rPr>
        <w:t xml:space="preserve">In South Africa, the Land Bank (under its Corporate Social Investment portfolio) developed a </w:t>
      </w:r>
      <w:proofErr w:type="spellStart"/>
      <w:r w:rsidRPr="0073713A">
        <w:rPr>
          <w:rFonts w:ascii="Arial" w:hAnsi="Arial" w:cs="Arial"/>
          <w:sz w:val="22"/>
          <w:szCs w:val="22"/>
        </w:rPr>
        <w:t>programme</w:t>
      </w:r>
      <w:proofErr w:type="spellEnd"/>
      <w:r w:rsidRPr="0073713A">
        <w:rPr>
          <w:rFonts w:ascii="Arial" w:hAnsi="Arial" w:cs="Arial"/>
          <w:sz w:val="22"/>
          <w:szCs w:val="22"/>
        </w:rPr>
        <w:t xml:space="preserve"> named The Land Bank University Agricultural Chairs (LBUAC) in order to support selected Historically Disadvantaged Universities. </w:t>
      </w:r>
    </w:p>
    <w:p w:rsidR="0024360C" w:rsidRPr="0073713A" w:rsidRDefault="0024360C" w:rsidP="00A75BAE">
      <w:pPr>
        <w:pStyle w:val="NoSpacing"/>
        <w:ind w:left="720"/>
        <w:jc w:val="both"/>
        <w:rPr>
          <w:rFonts w:ascii="Arial" w:hAnsi="Arial" w:cs="Arial"/>
          <w:sz w:val="22"/>
          <w:szCs w:val="22"/>
        </w:rPr>
      </w:pPr>
    </w:p>
    <w:p w:rsidR="0024360C" w:rsidRPr="0073713A" w:rsidRDefault="0024360C" w:rsidP="00A75BAE">
      <w:pPr>
        <w:pStyle w:val="NoSpacing"/>
        <w:ind w:left="720"/>
        <w:jc w:val="both"/>
        <w:rPr>
          <w:rFonts w:ascii="Arial" w:hAnsi="Arial" w:cs="Arial"/>
          <w:sz w:val="22"/>
          <w:szCs w:val="22"/>
        </w:rPr>
      </w:pPr>
      <w:r w:rsidRPr="0073713A">
        <w:rPr>
          <w:rFonts w:ascii="Arial" w:hAnsi="Arial" w:cs="Arial"/>
          <w:sz w:val="22"/>
          <w:szCs w:val="22"/>
        </w:rPr>
        <w:t xml:space="preserve">The aim of the </w:t>
      </w:r>
      <w:proofErr w:type="spellStart"/>
      <w:r w:rsidRPr="0073713A">
        <w:rPr>
          <w:rFonts w:ascii="Arial" w:hAnsi="Arial" w:cs="Arial"/>
          <w:sz w:val="22"/>
          <w:szCs w:val="22"/>
        </w:rPr>
        <w:t>programme</w:t>
      </w:r>
      <w:proofErr w:type="spellEnd"/>
      <w:r w:rsidRPr="0073713A">
        <w:rPr>
          <w:rFonts w:ascii="Arial" w:hAnsi="Arial" w:cs="Arial"/>
          <w:sz w:val="22"/>
          <w:szCs w:val="22"/>
        </w:rPr>
        <w:t xml:space="preserve"> is to:</w:t>
      </w:r>
    </w:p>
    <w:p w:rsidR="0024360C" w:rsidRPr="0073713A" w:rsidRDefault="0024360C" w:rsidP="00A75BAE">
      <w:pPr>
        <w:pStyle w:val="NoSpacing"/>
        <w:ind w:left="720"/>
        <w:jc w:val="both"/>
        <w:rPr>
          <w:rFonts w:ascii="Arial" w:hAnsi="Arial" w:cs="Arial"/>
          <w:sz w:val="22"/>
          <w:szCs w:val="22"/>
        </w:rPr>
      </w:pPr>
    </w:p>
    <w:p w:rsidR="0024360C" w:rsidRPr="0073713A" w:rsidRDefault="0024360C" w:rsidP="00A75BAE">
      <w:pPr>
        <w:pStyle w:val="NoSpacing"/>
        <w:numPr>
          <w:ilvl w:val="0"/>
          <w:numId w:val="8"/>
        </w:numPr>
        <w:jc w:val="both"/>
        <w:rPr>
          <w:rFonts w:ascii="Arial" w:hAnsi="Arial" w:cs="Arial"/>
          <w:sz w:val="22"/>
          <w:szCs w:val="22"/>
          <w:lang w:val="en-ZA"/>
        </w:rPr>
      </w:pPr>
      <w:r w:rsidRPr="0073713A">
        <w:rPr>
          <w:rFonts w:ascii="Arial" w:hAnsi="Arial" w:cs="Arial"/>
          <w:sz w:val="22"/>
          <w:szCs w:val="22"/>
        </w:rPr>
        <w:t>to p</w:t>
      </w:r>
      <w:proofErr w:type="spellStart"/>
      <w:r w:rsidRPr="0073713A">
        <w:rPr>
          <w:rFonts w:ascii="Arial" w:hAnsi="Arial" w:cs="Arial"/>
          <w:sz w:val="22"/>
          <w:szCs w:val="22"/>
          <w:lang w:val="en-ZA"/>
        </w:rPr>
        <w:t>romote</w:t>
      </w:r>
      <w:proofErr w:type="spellEnd"/>
      <w:r w:rsidRPr="0073713A">
        <w:rPr>
          <w:rFonts w:ascii="Arial" w:hAnsi="Arial" w:cs="Arial"/>
          <w:sz w:val="22"/>
          <w:szCs w:val="22"/>
          <w:lang w:val="en-ZA"/>
        </w:rPr>
        <w:t xml:space="preserve"> agricultural research for sustainable development </w:t>
      </w:r>
    </w:p>
    <w:p w:rsidR="0024360C" w:rsidRPr="0073713A" w:rsidRDefault="0024360C" w:rsidP="00A75BAE">
      <w:pPr>
        <w:pStyle w:val="NoSpacing"/>
        <w:numPr>
          <w:ilvl w:val="0"/>
          <w:numId w:val="8"/>
        </w:numPr>
        <w:jc w:val="both"/>
        <w:rPr>
          <w:rFonts w:ascii="Arial" w:hAnsi="Arial" w:cs="Arial"/>
          <w:sz w:val="22"/>
          <w:szCs w:val="22"/>
          <w:lang w:val="en-ZA"/>
        </w:rPr>
      </w:pPr>
      <w:r w:rsidRPr="0073713A">
        <w:rPr>
          <w:rFonts w:ascii="Arial" w:hAnsi="Arial" w:cs="Arial"/>
          <w:sz w:val="22"/>
          <w:szCs w:val="22"/>
          <w:lang w:val="en-ZA"/>
        </w:rPr>
        <w:t xml:space="preserve">to provide financial assistance to agricultural research </w:t>
      </w:r>
    </w:p>
    <w:p w:rsidR="0024360C" w:rsidRPr="0073713A" w:rsidRDefault="0024360C" w:rsidP="00A75BAE">
      <w:pPr>
        <w:pStyle w:val="NoSpacing"/>
        <w:numPr>
          <w:ilvl w:val="0"/>
          <w:numId w:val="8"/>
        </w:numPr>
        <w:jc w:val="both"/>
        <w:rPr>
          <w:rFonts w:ascii="Arial" w:hAnsi="Arial" w:cs="Arial"/>
          <w:sz w:val="22"/>
          <w:szCs w:val="22"/>
          <w:lang w:val="en-ZA"/>
        </w:rPr>
      </w:pPr>
      <w:r w:rsidRPr="0073713A">
        <w:rPr>
          <w:rFonts w:ascii="Arial" w:hAnsi="Arial" w:cs="Arial"/>
          <w:sz w:val="22"/>
          <w:szCs w:val="22"/>
          <w:lang w:val="en-ZA"/>
        </w:rPr>
        <w:t xml:space="preserve">to provide support to university community </w:t>
      </w:r>
      <w:proofErr w:type="spellStart"/>
      <w:r w:rsidRPr="0073713A">
        <w:rPr>
          <w:rFonts w:ascii="Arial" w:hAnsi="Arial" w:cs="Arial"/>
          <w:sz w:val="22"/>
          <w:szCs w:val="22"/>
          <w:lang w:val="en-ZA"/>
        </w:rPr>
        <w:t>upliftment</w:t>
      </w:r>
      <w:proofErr w:type="spellEnd"/>
      <w:r w:rsidRPr="0073713A">
        <w:rPr>
          <w:rFonts w:ascii="Arial" w:hAnsi="Arial" w:cs="Arial"/>
          <w:sz w:val="22"/>
          <w:szCs w:val="22"/>
          <w:lang w:val="en-ZA"/>
        </w:rPr>
        <w:t xml:space="preserve"> initiatives </w:t>
      </w:r>
    </w:p>
    <w:p w:rsidR="0024360C" w:rsidRPr="0073713A" w:rsidRDefault="0024360C" w:rsidP="00A75BAE">
      <w:pPr>
        <w:pStyle w:val="NoSpacing"/>
        <w:numPr>
          <w:ilvl w:val="0"/>
          <w:numId w:val="8"/>
        </w:numPr>
        <w:jc w:val="both"/>
        <w:rPr>
          <w:rFonts w:ascii="Arial" w:hAnsi="Arial" w:cs="Arial"/>
          <w:sz w:val="22"/>
          <w:szCs w:val="22"/>
          <w:lang w:val="en-ZA"/>
        </w:rPr>
      </w:pPr>
      <w:r w:rsidRPr="0073713A">
        <w:rPr>
          <w:rFonts w:ascii="Arial" w:hAnsi="Arial" w:cs="Arial"/>
          <w:sz w:val="22"/>
          <w:szCs w:val="22"/>
          <w:lang w:val="en-ZA"/>
        </w:rPr>
        <w:t xml:space="preserve">to expand graduates training &amp; strengthening research capacity in </w:t>
      </w:r>
    </w:p>
    <w:p w:rsidR="0024360C" w:rsidRPr="0073713A" w:rsidRDefault="0024360C" w:rsidP="00A75BAE">
      <w:pPr>
        <w:pStyle w:val="NoSpacing"/>
        <w:ind w:left="720" w:firstLine="720"/>
        <w:jc w:val="both"/>
        <w:rPr>
          <w:rFonts w:ascii="Arial" w:hAnsi="Arial" w:cs="Arial"/>
          <w:sz w:val="22"/>
          <w:szCs w:val="22"/>
          <w:lang w:val="en-ZA"/>
        </w:rPr>
      </w:pPr>
      <w:proofErr w:type="gramStart"/>
      <w:r w:rsidRPr="0073713A">
        <w:rPr>
          <w:rFonts w:ascii="Arial" w:hAnsi="Arial" w:cs="Arial"/>
          <w:sz w:val="22"/>
          <w:szCs w:val="22"/>
          <w:lang w:val="en-ZA"/>
        </w:rPr>
        <w:t>integrated</w:t>
      </w:r>
      <w:proofErr w:type="gramEnd"/>
      <w:r w:rsidRPr="0073713A">
        <w:rPr>
          <w:rFonts w:ascii="Arial" w:hAnsi="Arial" w:cs="Arial"/>
          <w:sz w:val="22"/>
          <w:szCs w:val="22"/>
          <w:lang w:val="en-ZA"/>
        </w:rPr>
        <w:t xml:space="preserve"> agricultural sciences </w:t>
      </w:r>
    </w:p>
    <w:p w:rsidR="0024360C" w:rsidRPr="0073713A" w:rsidRDefault="0024360C" w:rsidP="00A75BAE">
      <w:pPr>
        <w:pStyle w:val="NoSpacing"/>
        <w:numPr>
          <w:ilvl w:val="0"/>
          <w:numId w:val="8"/>
        </w:numPr>
        <w:jc w:val="both"/>
        <w:rPr>
          <w:rFonts w:ascii="Arial" w:hAnsi="Arial" w:cs="Arial"/>
          <w:sz w:val="22"/>
          <w:szCs w:val="22"/>
          <w:lang w:val="en-ZA"/>
        </w:rPr>
      </w:pPr>
      <w:r w:rsidRPr="0073713A">
        <w:rPr>
          <w:rFonts w:ascii="Arial" w:hAnsi="Arial" w:cs="Arial"/>
          <w:sz w:val="22"/>
          <w:szCs w:val="22"/>
          <w:lang w:val="en-ZA"/>
        </w:rPr>
        <w:t xml:space="preserve">to develop the agricultural sector and emerging farmers </w:t>
      </w:r>
    </w:p>
    <w:p w:rsidR="0024360C" w:rsidRPr="0073713A" w:rsidRDefault="0024360C" w:rsidP="00A75BAE">
      <w:pPr>
        <w:pStyle w:val="BodyTextIndent"/>
        <w:spacing w:line="240" w:lineRule="auto"/>
        <w:ind w:left="1080" w:hanging="229"/>
        <w:contextualSpacing/>
        <w:jc w:val="both"/>
        <w:rPr>
          <w:rFonts w:ascii="Arial" w:hAnsi="Arial" w:cs="Arial"/>
          <w:bCs/>
          <w:sz w:val="22"/>
          <w:szCs w:val="22"/>
        </w:rPr>
      </w:pPr>
    </w:p>
    <w:p w:rsidR="0024360C" w:rsidRPr="0073713A" w:rsidRDefault="0024360C" w:rsidP="00A75BAE">
      <w:pPr>
        <w:pStyle w:val="NoSpacing"/>
        <w:ind w:left="720"/>
        <w:jc w:val="both"/>
        <w:rPr>
          <w:rFonts w:ascii="Arial" w:hAnsi="Arial" w:cs="Arial"/>
          <w:sz w:val="22"/>
          <w:szCs w:val="22"/>
        </w:rPr>
      </w:pPr>
      <w:r w:rsidRPr="0073713A">
        <w:rPr>
          <w:rFonts w:ascii="Arial" w:hAnsi="Arial" w:cs="Arial"/>
          <w:sz w:val="22"/>
          <w:szCs w:val="22"/>
        </w:rPr>
        <w:t xml:space="preserve">The names of the universities that participate in the </w:t>
      </w:r>
      <w:proofErr w:type="spellStart"/>
      <w:r w:rsidRPr="0073713A">
        <w:rPr>
          <w:rFonts w:ascii="Arial" w:hAnsi="Arial" w:cs="Arial"/>
          <w:sz w:val="22"/>
          <w:szCs w:val="22"/>
        </w:rPr>
        <w:t>programme</w:t>
      </w:r>
      <w:proofErr w:type="spellEnd"/>
      <w:r w:rsidRPr="0073713A">
        <w:rPr>
          <w:rFonts w:ascii="Arial" w:hAnsi="Arial" w:cs="Arial"/>
          <w:sz w:val="22"/>
          <w:szCs w:val="22"/>
        </w:rPr>
        <w:t xml:space="preserve"> currently are:</w:t>
      </w:r>
    </w:p>
    <w:p w:rsidR="0024360C" w:rsidRPr="0073713A" w:rsidRDefault="0024360C" w:rsidP="00A75BAE">
      <w:pPr>
        <w:pStyle w:val="NoSpacing"/>
        <w:ind w:left="720"/>
        <w:jc w:val="both"/>
        <w:rPr>
          <w:rFonts w:ascii="Arial" w:hAnsi="Arial" w:cs="Arial"/>
          <w:sz w:val="22"/>
          <w:szCs w:val="22"/>
        </w:rPr>
      </w:pPr>
    </w:p>
    <w:p w:rsidR="0024360C" w:rsidRPr="0073713A" w:rsidRDefault="0024360C" w:rsidP="00A75BAE">
      <w:pPr>
        <w:pStyle w:val="NoSpacing"/>
        <w:numPr>
          <w:ilvl w:val="0"/>
          <w:numId w:val="9"/>
        </w:numPr>
        <w:jc w:val="both"/>
        <w:rPr>
          <w:rFonts w:ascii="Arial" w:hAnsi="Arial" w:cs="Arial"/>
          <w:sz w:val="22"/>
          <w:szCs w:val="22"/>
        </w:rPr>
      </w:pPr>
      <w:r w:rsidRPr="0073713A">
        <w:rPr>
          <w:rFonts w:ascii="Arial" w:hAnsi="Arial" w:cs="Arial"/>
          <w:sz w:val="22"/>
          <w:szCs w:val="22"/>
        </w:rPr>
        <w:t>University of Venda (Agricultural Economics and Agribusiness);</w:t>
      </w:r>
    </w:p>
    <w:p w:rsidR="0024360C" w:rsidRPr="0073713A" w:rsidRDefault="0024360C" w:rsidP="00A75BAE">
      <w:pPr>
        <w:pStyle w:val="NoSpacing"/>
        <w:numPr>
          <w:ilvl w:val="0"/>
          <w:numId w:val="9"/>
        </w:numPr>
        <w:jc w:val="both"/>
        <w:rPr>
          <w:rFonts w:ascii="Arial" w:hAnsi="Arial" w:cs="Arial"/>
          <w:sz w:val="22"/>
          <w:szCs w:val="22"/>
        </w:rPr>
      </w:pPr>
      <w:r w:rsidRPr="0073713A">
        <w:rPr>
          <w:rFonts w:ascii="Arial" w:hAnsi="Arial" w:cs="Arial"/>
          <w:sz w:val="22"/>
          <w:szCs w:val="22"/>
        </w:rPr>
        <w:t>University of Limpopo (Nematology and Horticulture);</w:t>
      </w:r>
    </w:p>
    <w:p w:rsidR="0024360C" w:rsidRPr="0073713A" w:rsidRDefault="0024360C" w:rsidP="00A75BAE">
      <w:pPr>
        <w:pStyle w:val="NoSpacing"/>
        <w:numPr>
          <w:ilvl w:val="0"/>
          <w:numId w:val="9"/>
        </w:numPr>
        <w:jc w:val="both"/>
        <w:rPr>
          <w:rFonts w:ascii="Arial" w:hAnsi="Arial" w:cs="Arial"/>
          <w:sz w:val="22"/>
          <w:szCs w:val="22"/>
        </w:rPr>
      </w:pPr>
      <w:r w:rsidRPr="0073713A">
        <w:rPr>
          <w:rFonts w:ascii="Arial" w:hAnsi="Arial" w:cs="Arial"/>
          <w:sz w:val="22"/>
          <w:szCs w:val="22"/>
        </w:rPr>
        <w:t xml:space="preserve">University of North West (Centre for Agribusiness and Entrepreneurial Skills Training); and </w:t>
      </w:r>
    </w:p>
    <w:p w:rsidR="0024360C" w:rsidRPr="0073713A" w:rsidRDefault="0024360C" w:rsidP="00A75BAE">
      <w:pPr>
        <w:pStyle w:val="NoSpacing"/>
        <w:numPr>
          <w:ilvl w:val="0"/>
          <w:numId w:val="9"/>
        </w:numPr>
        <w:jc w:val="both"/>
        <w:rPr>
          <w:rFonts w:ascii="Arial" w:hAnsi="Arial" w:cs="Arial"/>
          <w:sz w:val="22"/>
          <w:szCs w:val="22"/>
        </w:rPr>
      </w:pPr>
      <w:r w:rsidRPr="0073713A">
        <w:rPr>
          <w:rFonts w:ascii="Arial" w:hAnsi="Arial" w:cs="Arial"/>
          <w:sz w:val="22"/>
          <w:szCs w:val="22"/>
        </w:rPr>
        <w:t xml:space="preserve">University of Fort Hare (Faculty of Science &amp; Agriculture and Department of Agricultural Economics &amp; Extension). </w:t>
      </w:r>
    </w:p>
    <w:p w:rsidR="0024360C" w:rsidRPr="0073713A" w:rsidRDefault="0024360C" w:rsidP="00A75BAE">
      <w:pPr>
        <w:pStyle w:val="NoSpacing"/>
        <w:ind w:left="1080"/>
        <w:jc w:val="both"/>
        <w:rPr>
          <w:rFonts w:ascii="Arial" w:hAnsi="Arial" w:cs="Arial"/>
          <w:sz w:val="22"/>
          <w:szCs w:val="22"/>
        </w:rPr>
      </w:pPr>
    </w:p>
    <w:p w:rsidR="0024360C" w:rsidRPr="0073713A" w:rsidRDefault="0024360C" w:rsidP="00A75BAE">
      <w:pPr>
        <w:pStyle w:val="NoSpacing"/>
        <w:ind w:left="720"/>
        <w:jc w:val="both"/>
        <w:rPr>
          <w:rFonts w:ascii="Arial" w:hAnsi="Arial" w:cs="Arial"/>
          <w:sz w:val="22"/>
          <w:szCs w:val="22"/>
        </w:rPr>
      </w:pPr>
      <w:r w:rsidRPr="0073713A">
        <w:rPr>
          <w:rFonts w:ascii="Arial" w:hAnsi="Arial" w:cs="Arial"/>
          <w:sz w:val="22"/>
          <w:szCs w:val="22"/>
        </w:rPr>
        <w:t xml:space="preserve">These institutions are supported, over the past 6 years, intermittently depending on the availability of finances. </w:t>
      </w:r>
    </w:p>
    <w:p w:rsidR="0024360C" w:rsidRPr="0073713A" w:rsidRDefault="0024360C" w:rsidP="00A75BAE">
      <w:pPr>
        <w:pStyle w:val="BodyTextIndent"/>
        <w:spacing w:line="240" w:lineRule="auto"/>
        <w:ind w:left="1080" w:hanging="229"/>
        <w:contextualSpacing/>
        <w:jc w:val="both"/>
        <w:rPr>
          <w:rFonts w:ascii="Arial" w:hAnsi="Arial" w:cs="Arial"/>
          <w:bCs/>
          <w:sz w:val="22"/>
          <w:szCs w:val="22"/>
        </w:rPr>
      </w:pPr>
    </w:p>
    <w:p w:rsidR="0024360C" w:rsidRPr="0073713A" w:rsidRDefault="0024360C" w:rsidP="00A75BAE">
      <w:pPr>
        <w:pStyle w:val="NoSpacing"/>
        <w:ind w:left="720"/>
        <w:jc w:val="both"/>
        <w:rPr>
          <w:rFonts w:ascii="Arial" w:hAnsi="Arial" w:cs="Arial"/>
          <w:sz w:val="22"/>
          <w:szCs w:val="22"/>
        </w:rPr>
      </w:pPr>
      <w:r w:rsidRPr="0073713A">
        <w:rPr>
          <w:rFonts w:ascii="Arial" w:hAnsi="Arial" w:cs="Arial"/>
          <w:sz w:val="22"/>
          <w:szCs w:val="22"/>
        </w:rPr>
        <w:t xml:space="preserve">The LBUAC </w:t>
      </w:r>
      <w:proofErr w:type="spellStart"/>
      <w:r w:rsidRPr="0073713A">
        <w:rPr>
          <w:rFonts w:ascii="Arial" w:hAnsi="Arial" w:cs="Arial"/>
          <w:sz w:val="22"/>
          <w:szCs w:val="22"/>
        </w:rPr>
        <w:t>programme</w:t>
      </w:r>
      <w:proofErr w:type="spellEnd"/>
      <w:r w:rsidRPr="0073713A">
        <w:rPr>
          <w:rFonts w:ascii="Arial" w:hAnsi="Arial" w:cs="Arial"/>
          <w:sz w:val="22"/>
          <w:szCs w:val="22"/>
        </w:rPr>
        <w:t xml:space="preserve"> commenced in 2001, over the past 15 years, Land Bank spent a total R10.185m on the </w:t>
      </w:r>
      <w:proofErr w:type="spellStart"/>
      <w:r w:rsidRPr="0073713A">
        <w:rPr>
          <w:rFonts w:ascii="Arial" w:hAnsi="Arial" w:cs="Arial"/>
          <w:sz w:val="22"/>
          <w:szCs w:val="22"/>
        </w:rPr>
        <w:t>programme</w:t>
      </w:r>
      <w:proofErr w:type="spellEnd"/>
      <w:r w:rsidRPr="0073713A">
        <w:rPr>
          <w:rFonts w:ascii="Arial" w:hAnsi="Arial" w:cs="Arial"/>
          <w:sz w:val="22"/>
          <w:szCs w:val="22"/>
        </w:rPr>
        <w:t xml:space="preserve">.  Through the monitoring and evaluation processes of the </w:t>
      </w:r>
      <w:proofErr w:type="spellStart"/>
      <w:r w:rsidRPr="0073713A">
        <w:rPr>
          <w:rFonts w:ascii="Arial" w:hAnsi="Arial" w:cs="Arial"/>
          <w:sz w:val="22"/>
          <w:szCs w:val="22"/>
        </w:rPr>
        <w:t>programme</w:t>
      </w:r>
      <w:proofErr w:type="spellEnd"/>
      <w:r w:rsidRPr="0073713A">
        <w:rPr>
          <w:rFonts w:ascii="Arial" w:hAnsi="Arial" w:cs="Arial"/>
          <w:sz w:val="22"/>
          <w:szCs w:val="22"/>
        </w:rPr>
        <w:t>, achievements have been recorded in the areas of Research and Capacity Building, Farmer Support and Agricultural Innovation.</w:t>
      </w:r>
    </w:p>
    <w:p w:rsidR="0024360C" w:rsidRPr="0073713A" w:rsidRDefault="0024360C" w:rsidP="00A75BAE">
      <w:pPr>
        <w:pStyle w:val="BodyTextIndent"/>
        <w:spacing w:line="240" w:lineRule="auto"/>
        <w:ind w:left="1080"/>
        <w:contextualSpacing/>
        <w:rPr>
          <w:rFonts w:ascii="Arial" w:hAnsi="Arial" w:cs="Arial"/>
          <w:b/>
          <w:bCs/>
          <w:sz w:val="22"/>
          <w:szCs w:val="22"/>
        </w:rPr>
      </w:pPr>
    </w:p>
    <w:p w:rsidR="009114D6" w:rsidRPr="0073713A" w:rsidRDefault="009114D6"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FAIS OMBUD</w:t>
      </w:r>
    </w:p>
    <w:p w:rsidR="00943F20" w:rsidRPr="0073713A" w:rsidRDefault="00943F20" w:rsidP="00A75BAE">
      <w:pPr>
        <w:tabs>
          <w:tab w:val="left" w:pos="432"/>
          <w:tab w:val="left" w:pos="864"/>
        </w:tabs>
        <w:spacing w:after="0" w:line="240" w:lineRule="auto"/>
        <w:rPr>
          <w:rFonts w:ascii="Arial" w:eastAsia="Times New Roman" w:hAnsi="Arial" w:cs="Arial"/>
          <w:b/>
        </w:rPr>
      </w:pPr>
    </w:p>
    <w:p w:rsidR="00D14C96" w:rsidRPr="0073713A" w:rsidRDefault="00D14C96" w:rsidP="00A75BAE">
      <w:pPr>
        <w:pStyle w:val="Body"/>
        <w:numPr>
          <w:ilvl w:val="0"/>
          <w:numId w:val="7"/>
        </w:numPr>
        <w:tabs>
          <w:tab w:val="left" w:pos="432"/>
          <w:tab w:val="left" w:pos="864"/>
        </w:tabs>
        <w:contextualSpacing/>
        <w:rPr>
          <w:rFonts w:ascii="Arial" w:eastAsia="Arial" w:hAnsi="Arial" w:cs="Arial"/>
          <w:bCs/>
          <w:sz w:val="22"/>
          <w:szCs w:val="22"/>
        </w:rPr>
      </w:pPr>
      <w:r w:rsidRPr="0073713A">
        <w:rPr>
          <w:rFonts w:ascii="Arial" w:eastAsia="Arial" w:hAnsi="Arial" w:cs="Arial"/>
          <w:bCs/>
          <w:sz w:val="22"/>
          <w:szCs w:val="22"/>
        </w:rPr>
        <w:tab/>
      </w:r>
      <w:r w:rsidRPr="0073713A">
        <w:rPr>
          <w:rFonts w:ascii="Arial" w:eastAsia="Arial" w:hAnsi="Arial" w:cs="Arial"/>
          <w:bCs/>
          <w:sz w:val="22"/>
          <w:szCs w:val="22"/>
        </w:rPr>
        <w:tab/>
        <w:t>Not applicable</w:t>
      </w:r>
    </w:p>
    <w:p w:rsidR="00D14C96" w:rsidRPr="0073713A" w:rsidRDefault="00D14C96" w:rsidP="00A75BAE">
      <w:pPr>
        <w:pStyle w:val="Body"/>
        <w:numPr>
          <w:ilvl w:val="0"/>
          <w:numId w:val="7"/>
        </w:numPr>
        <w:tabs>
          <w:tab w:val="left" w:pos="432"/>
          <w:tab w:val="left" w:pos="864"/>
        </w:tabs>
        <w:contextualSpacing/>
        <w:rPr>
          <w:rFonts w:ascii="Arial" w:eastAsia="Arial" w:hAnsi="Arial" w:cs="Arial"/>
          <w:bCs/>
          <w:sz w:val="22"/>
          <w:szCs w:val="22"/>
        </w:rPr>
      </w:pPr>
      <w:r w:rsidRPr="0073713A">
        <w:rPr>
          <w:rFonts w:ascii="Arial" w:eastAsia="Arial" w:hAnsi="Arial" w:cs="Arial"/>
          <w:bCs/>
          <w:sz w:val="22"/>
          <w:szCs w:val="22"/>
        </w:rPr>
        <w:t>(i)</w:t>
      </w:r>
      <w:r w:rsidRPr="0073713A">
        <w:rPr>
          <w:rFonts w:ascii="Arial" w:eastAsia="Arial" w:hAnsi="Arial" w:cs="Arial"/>
          <w:bCs/>
          <w:sz w:val="22"/>
          <w:szCs w:val="22"/>
        </w:rPr>
        <w:tab/>
        <w:t>No funding provided</w:t>
      </w:r>
    </w:p>
    <w:p w:rsidR="00D14C96" w:rsidRPr="0073713A" w:rsidRDefault="00D14C96" w:rsidP="00A75BAE">
      <w:pPr>
        <w:pStyle w:val="Body"/>
        <w:tabs>
          <w:tab w:val="left" w:pos="432"/>
          <w:tab w:val="left" w:pos="864"/>
        </w:tabs>
        <w:ind w:left="720"/>
        <w:contextualSpacing/>
        <w:rPr>
          <w:rFonts w:ascii="Arial" w:eastAsia="Arial" w:hAnsi="Arial" w:cs="Arial"/>
          <w:bCs/>
          <w:sz w:val="22"/>
          <w:szCs w:val="22"/>
        </w:rPr>
      </w:pPr>
      <w:r w:rsidRPr="0073713A">
        <w:rPr>
          <w:rFonts w:ascii="Arial" w:eastAsia="Arial" w:hAnsi="Arial" w:cs="Arial"/>
          <w:bCs/>
          <w:sz w:val="22"/>
          <w:szCs w:val="22"/>
        </w:rPr>
        <w:t>(ii)</w:t>
      </w:r>
      <w:r w:rsidRPr="0073713A">
        <w:rPr>
          <w:rFonts w:ascii="Arial" w:eastAsia="Arial" w:hAnsi="Arial" w:cs="Arial"/>
          <w:bCs/>
          <w:sz w:val="22"/>
          <w:szCs w:val="22"/>
        </w:rPr>
        <w:tab/>
        <w:t>No funding provided</w:t>
      </w: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PIC</w:t>
      </w:r>
    </w:p>
    <w:p w:rsidR="00963350" w:rsidRPr="0073713A" w:rsidRDefault="00963350" w:rsidP="00A75BAE">
      <w:pPr>
        <w:pStyle w:val="BodyTextIndent"/>
        <w:spacing w:line="240" w:lineRule="auto"/>
        <w:ind w:left="1440" w:hanging="1440"/>
        <w:contextualSpacing/>
        <w:rPr>
          <w:rFonts w:ascii="Arial" w:hAnsi="Arial" w:cs="Arial"/>
          <w:sz w:val="22"/>
          <w:szCs w:val="22"/>
        </w:rPr>
      </w:pPr>
      <w:r w:rsidRPr="0073713A">
        <w:rPr>
          <w:rFonts w:ascii="Arial" w:hAnsi="Arial" w:cs="Arial"/>
          <w:bCs/>
          <w:sz w:val="22"/>
          <w:szCs w:val="22"/>
        </w:rPr>
        <w:t xml:space="preserve">(b)(i) </w:t>
      </w:r>
      <w:proofErr w:type="gramStart"/>
      <w:r w:rsidRPr="0073713A">
        <w:rPr>
          <w:rFonts w:ascii="Arial" w:hAnsi="Arial" w:cs="Arial"/>
          <w:bCs/>
          <w:sz w:val="22"/>
          <w:szCs w:val="22"/>
        </w:rPr>
        <w:t>and</w:t>
      </w:r>
      <w:proofErr w:type="gramEnd"/>
      <w:r w:rsidRPr="0073713A">
        <w:rPr>
          <w:rFonts w:ascii="Arial" w:hAnsi="Arial" w:cs="Arial"/>
          <w:bCs/>
          <w:sz w:val="22"/>
          <w:szCs w:val="22"/>
        </w:rPr>
        <w:t xml:space="preserve"> (ii)</w:t>
      </w:r>
      <w:r w:rsidRPr="0073713A">
        <w:rPr>
          <w:rFonts w:ascii="Arial" w:hAnsi="Arial" w:cs="Arial"/>
          <w:bCs/>
          <w:sz w:val="22"/>
          <w:szCs w:val="22"/>
        </w:rPr>
        <w:tab/>
        <w:t>The Public Investment Corporation (PIC) does not fund any</w:t>
      </w:r>
      <w:r w:rsidRPr="0073713A">
        <w:rPr>
          <w:rFonts w:ascii="Arial" w:hAnsi="Arial" w:cs="Arial"/>
          <w:sz w:val="22"/>
          <w:szCs w:val="22"/>
        </w:rPr>
        <w:t xml:space="preserve"> institution of research and development domestically and/or internationally.</w:t>
      </w:r>
    </w:p>
    <w:p w:rsidR="00963350" w:rsidRPr="0073713A" w:rsidRDefault="00963350" w:rsidP="00A75BAE">
      <w:pPr>
        <w:pStyle w:val="BodyTextIndent"/>
        <w:spacing w:line="240" w:lineRule="auto"/>
        <w:ind w:left="1440" w:hanging="1440"/>
        <w:contextualSpacing/>
        <w:rPr>
          <w:rFonts w:ascii="Arial" w:hAnsi="Arial" w:cs="Arial"/>
          <w:sz w:val="22"/>
          <w:szCs w:val="22"/>
        </w:rPr>
      </w:pPr>
    </w:p>
    <w:p w:rsidR="00963350" w:rsidRPr="0073713A" w:rsidRDefault="00963350" w:rsidP="00A75BAE">
      <w:pPr>
        <w:pStyle w:val="BodyTextIndent"/>
        <w:spacing w:line="240" w:lineRule="auto"/>
        <w:ind w:left="1440" w:hanging="1440"/>
        <w:contextualSpacing/>
        <w:rPr>
          <w:rFonts w:ascii="Arial" w:hAnsi="Arial" w:cs="Arial"/>
          <w:sz w:val="22"/>
          <w:szCs w:val="22"/>
        </w:rPr>
      </w:pPr>
      <w:r w:rsidRPr="0073713A">
        <w:rPr>
          <w:rFonts w:ascii="Arial" w:hAnsi="Arial" w:cs="Arial"/>
          <w:sz w:val="22"/>
          <w:szCs w:val="22"/>
        </w:rPr>
        <w:t>The rest of the question falls away.</w:t>
      </w: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rPr>
      </w:pP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SAA</w:t>
      </w:r>
    </w:p>
    <w:p w:rsidR="00AD1767" w:rsidRPr="0073713A" w:rsidRDefault="00AD1767" w:rsidP="00A75BAE">
      <w:pPr>
        <w:tabs>
          <w:tab w:val="left" w:pos="432"/>
          <w:tab w:val="left" w:pos="864"/>
        </w:tabs>
        <w:spacing w:after="0" w:line="240" w:lineRule="auto"/>
        <w:rPr>
          <w:rFonts w:ascii="Arial" w:eastAsia="Times New Roman" w:hAnsi="Arial" w:cs="Arial"/>
        </w:rPr>
      </w:pPr>
    </w:p>
    <w:p w:rsidR="00AD1767" w:rsidRPr="0073713A" w:rsidRDefault="006A423F" w:rsidP="00A75BAE">
      <w:pPr>
        <w:pBdr>
          <w:bottom w:val="single" w:sz="6" w:space="1" w:color="auto"/>
        </w:pBdr>
        <w:tabs>
          <w:tab w:val="left" w:pos="432"/>
          <w:tab w:val="left" w:pos="864"/>
        </w:tabs>
        <w:spacing w:after="0" w:line="240" w:lineRule="auto"/>
        <w:rPr>
          <w:rFonts w:ascii="Arial" w:hAnsi="Arial" w:cs="Arial"/>
        </w:rPr>
      </w:pPr>
      <w:r w:rsidRPr="0073713A">
        <w:rPr>
          <w:rFonts w:ascii="Arial" w:hAnsi="Arial" w:cs="Arial"/>
        </w:rPr>
        <w:t>SAA does not fund including by way of discretionary funding any institution of research and development domestically and internationally.</w:t>
      </w:r>
    </w:p>
    <w:p w:rsidR="006A423F" w:rsidRPr="0073713A" w:rsidRDefault="006A423F"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SARS</w:t>
      </w:r>
    </w:p>
    <w:p w:rsidR="00AD1767" w:rsidRPr="0073713A" w:rsidRDefault="00AD1767" w:rsidP="00A75BAE">
      <w:pPr>
        <w:tabs>
          <w:tab w:val="left" w:pos="432"/>
          <w:tab w:val="left" w:pos="864"/>
        </w:tabs>
        <w:spacing w:after="0" w:line="240" w:lineRule="auto"/>
        <w:rPr>
          <w:rFonts w:ascii="Arial" w:eastAsia="Times New Roman" w:hAnsi="Arial" w:cs="Arial"/>
          <w:b/>
        </w:rPr>
      </w:pPr>
    </w:p>
    <w:p w:rsidR="006A423F" w:rsidRPr="0073713A" w:rsidRDefault="006A423F" w:rsidP="00A75BAE">
      <w:pPr>
        <w:spacing w:line="240" w:lineRule="auto"/>
        <w:jc w:val="both"/>
        <w:rPr>
          <w:rFonts w:ascii="Arial" w:hAnsi="Arial" w:cs="Arial"/>
        </w:rPr>
      </w:pPr>
      <w:r w:rsidRPr="0073713A">
        <w:rPr>
          <w:rFonts w:ascii="Arial" w:hAnsi="Arial" w:cs="Arial"/>
        </w:rPr>
        <w:t>SARS doesn’t have funded arrangements for the purposes of research and development purposes, where SARS is in need of such services these services are procured through the stipulated procurement processes.</w:t>
      </w:r>
    </w:p>
    <w:p w:rsidR="007612BB" w:rsidRPr="0073713A" w:rsidRDefault="007612BB" w:rsidP="00A75BAE">
      <w:pPr>
        <w:tabs>
          <w:tab w:val="right" w:pos="284"/>
          <w:tab w:val="left" w:pos="2835"/>
          <w:tab w:val="left" w:pos="6096"/>
          <w:tab w:val="left" w:pos="9072"/>
        </w:tabs>
        <w:spacing w:line="240" w:lineRule="auto"/>
        <w:ind w:left="1440" w:hanging="1440"/>
        <w:jc w:val="both"/>
        <w:rPr>
          <w:rFonts w:ascii="Arial" w:eastAsia="Calibri" w:hAnsi="Arial" w:cs="Arial"/>
          <w:lang w:val="en-ZA"/>
        </w:rPr>
      </w:pPr>
      <w:r w:rsidRPr="0073713A">
        <w:rPr>
          <w:rFonts w:ascii="Arial" w:eastAsia="Times New Roman" w:hAnsi="Arial" w:cs="Arial"/>
          <w:b/>
        </w:rPr>
        <w:tab/>
      </w:r>
      <w:r w:rsidRPr="0073713A">
        <w:rPr>
          <w:rFonts w:ascii="Arial" w:eastAsia="Times New Roman" w:hAnsi="Arial" w:cs="Arial"/>
          <w:b/>
        </w:rPr>
        <w:tab/>
      </w: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SASRIA</w:t>
      </w:r>
    </w:p>
    <w:p w:rsidR="006A423F" w:rsidRPr="0073713A" w:rsidRDefault="006A423F" w:rsidP="00A75BAE">
      <w:pPr>
        <w:pStyle w:val="BodyTextIndent"/>
        <w:spacing w:line="240" w:lineRule="auto"/>
        <w:ind w:left="0" w:firstLine="0"/>
        <w:contextualSpacing/>
        <w:rPr>
          <w:rFonts w:ascii="Arial" w:eastAsia="Times New Roman" w:hAnsi="Arial" w:cs="Arial"/>
          <w:color w:val="auto"/>
          <w:sz w:val="22"/>
          <w:szCs w:val="22"/>
          <w:bdr w:val="none" w:sz="0" w:space="0" w:color="auto"/>
        </w:rPr>
      </w:pPr>
    </w:p>
    <w:p w:rsidR="006A423F" w:rsidRPr="0073713A" w:rsidRDefault="006A423F" w:rsidP="00A75BAE">
      <w:pPr>
        <w:pStyle w:val="BodyTextIndent"/>
        <w:spacing w:line="240" w:lineRule="auto"/>
        <w:ind w:left="0" w:firstLine="0"/>
        <w:contextualSpacing/>
        <w:rPr>
          <w:rFonts w:ascii="Arial" w:eastAsia="Arial" w:hAnsi="Arial" w:cs="Arial"/>
          <w:bCs/>
          <w:sz w:val="22"/>
          <w:szCs w:val="22"/>
        </w:rPr>
      </w:pPr>
      <w:proofErr w:type="spellStart"/>
      <w:r w:rsidRPr="0073713A">
        <w:rPr>
          <w:rFonts w:ascii="Arial" w:hAnsi="Arial" w:cs="Arial"/>
          <w:bCs/>
          <w:sz w:val="22"/>
          <w:szCs w:val="22"/>
        </w:rPr>
        <w:t>Sasria</w:t>
      </w:r>
      <w:proofErr w:type="spellEnd"/>
      <w:r w:rsidRPr="0073713A">
        <w:rPr>
          <w:rFonts w:ascii="Arial" w:hAnsi="Arial" w:cs="Arial"/>
          <w:bCs/>
          <w:sz w:val="22"/>
          <w:szCs w:val="22"/>
        </w:rPr>
        <w:t xml:space="preserve"> SOC Limited </w:t>
      </w:r>
      <w:r w:rsidRPr="00542AD8">
        <w:rPr>
          <w:rFonts w:ascii="Arial" w:hAnsi="Arial" w:cs="Arial"/>
          <w:bCs/>
          <w:color w:val="auto"/>
          <w:sz w:val="22"/>
          <w:szCs w:val="22"/>
        </w:rPr>
        <w:t>h</w:t>
      </w:r>
      <w:r w:rsidR="00542AD8" w:rsidRPr="00542AD8">
        <w:rPr>
          <w:rFonts w:ascii="Arial" w:hAnsi="Arial" w:cs="Arial"/>
          <w:bCs/>
          <w:color w:val="auto"/>
          <w:sz w:val="22"/>
          <w:szCs w:val="22"/>
        </w:rPr>
        <w:t>as</w:t>
      </w:r>
      <w:r w:rsidRPr="0073713A">
        <w:rPr>
          <w:rFonts w:ascii="Arial" w:hAnsi="Arial" w:cs="Arial"/>
          <w:bCs/>
          <w:sz w:val="22"/>
          <w:szCs w:val="22"/>
        </w:rPr>
        <w:t xml:space="preserve"> not funded any institution of research and development.</w:t>
      </w:r>
    </w:p>
    <w:p w:rsidR="00AD1767" w:rsidRPr="0073713A" w:rsidRDefault="00AD1767" w:rsidP="00A75BAE">
      <w:pPr>
        <w:tabs>
          <w:tab w:val="left" w:pos="432"/>
          <w:tab w:val="left" w:pos="864"/>
        </w:tabs>
        <w:spacing w:after="0" w:line="240" w:lineRule="auto"/>
        <w:rPr>
          <w:rFonts w:ascii="Arial" w:eastAsia="Times New Roman" w:hAnsi="Arial" w:cs="Arial"/>
        </w:rPr>
      </w:pPr>
    </w:p>
    <w:p w:rsidR="00AD1767" w:rsidRPr="0073713A" w:rsidRDefault="00AD1767" w:rsidP="00A75BAE">
      <w:pPr>
        <w:pBdr>
          <w:bottom w:val="single" w:sz="6" w:space="1" w:color="auto"/>
        </w:pBd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p>
    <w:p w:rsidR="00A75BAE" w:rsidRDefault="00A75BAE" w:rsidP="00A75BAE">
      <w:pPr>
        <w:tabs>
          <w:tab w:val="left" w:pos="432"/>
          <w:tab w:val="left" w:pos="864"/>
        </w:tabs>
        <w:spacing w:after="0" w:line="240" w:lineRule="auto"/>
        <w:rPr>
          <w:rFonts w:ascii="Arial" w:eastAsia="Times New Roman" w:hAnsi="Arial" w:cs="Arial"/>
          <w:b/>
        </w:rPr>
      </w:pPr>
    </w:p>
    <w:p w:rsidR="00A75BAE" w:rsidRDefault="00A75BAE" w:rsidP="00A75BAE">
      <w:pPr>
        <w:tabs>
          <w:tab w:val="left" w:pos="432"/>
          <w:tab w:val="left" w:pos="864"/>
        </w:tabs>
        <w:spacing w:after="0" w:line="240" w:lineRule="auto"/>
        <w:rPr>
          <w:rFonts w:ascii="Arial" w:eastAsia="Times New Roman" w:hAnsi="Arial" w:cs="Arial"/>
          <w:b/>
        </w:rPr>
      </w:pPr>
    </w:p>
    <w:p w:rsidR="00A75BAE" w:rsidRDefault="00A75BAE" w:rsidP="00A75BAE">
      <w:pPr>
        <w:tabs>
          <w:tab w:val="left" w:pos="432"/>
          <w:tab w:val="left" w:pos="864"/>
        </w:tabs>
        <w:spacing w:after="0" w:line="240" w:lineRule="auto"/>
        <w:rPr>
          <w:rFonts w:ascii="Arial" w:eastAsia="Times New Roman" w:hAnsi="Arial" w:cs="Arial"/>
          <w:b/>
        </w:rPr>
      </w:pPr>
    </w:p>
    <w:p w:rsidR="00AD1767" w:rsidRPr="0073713A" w:rsidRDefault="00AD1767" w:rsidP="00A75BAE">
      <w:pPr>
        <w:tabs>
          <w:tab w:val="left" w:pos="432"/>
          <w:tab w:val="left" w:pos="864"/>
        </w:tabs>
        <w:spacing w:after="0" w:line="240" w:lineRule="auto"/>
        <w:rPr>
          <w:rFonts w:ascii="Arial" w:eastAsia="Times New Roman" w:hAnsi="Arial" w:cs="Arial"/>
          <w:b/>
        </w:rPr>
      </w:pPr>
      <w:r w:rsidRPr="0073713A">
        <w:rPr>
          <w:rFonts w:ascii="Arial" w:eastAsia="Times New Roman" w:hAnsi="Arial" w:cs="Arial"/>
          <w:b/>
        </w:rPr>
        <w:t>TAX OMBUD</w:t>
      </w:r>
    </w:p>
    <w:p w:rsidR="003A118B" w:rsidRPr="0073713A" w:rsidRDefault="003A118B" w:rsidP="00A75BAE">
      <w:pPr>
        <w:tabs>
          <w:tab w:val="left" w:pos="432"/>
          <w:tab w:val="left" w:pos="864"/>
        </w:tabs>
        <w:spacing w:after="0" w:line="240" w:lineRule="auto"/>
        <w:rPr>
          <w:rFonts w:ascii="Arial" w:eastAsia="Times New Roman" w:hAnsi="Arial" w:cs="Arial"/>
          <w:b/>
        </w:rPr>
      </w:pPr>
    </w:p>
    <w:p w:rsidR="00AD1767" w:rsidRPr="0073713A" w:rsidRDefault="0095367B" w:rsidP="00A75BAE">
      <w:pPr>
        <w:tabs>
          <w:tab w:val="left" w:pos="432"/>
          <w:tab w:val="left" w:pos="864"/>
        </w:tabs>
        <w:spacing w:after="0" w:line="240" w:lineRule="auto"/>
        <w:rPr>
          <w:rFonts w:ascii="Arial" w:eastAsia="Times New Roman" w:hAnsi="Arial" w:cs="Arial"/>
        </w:rPr>
      </w:pPr>
      <w:r w:rsidRPr="0073713A">
        <w:rPr>
          <w:rFonts w:ascii="Arial" w:eastAsia="Times New Roman" w:hAnsi="Arial" w:cs="Arial"/>
        </w:rPr>
        <w:t xml:space="preserve"> </w:t>
      </w:r>
      <w:r w:rsidR="003A118B" w:rsidRPr="0073713A">
        <w:rPr>
          <w:rFonts w:ascii="Arial" w:eastAsia="Times New Roman" w:hAnsi="Arial" w:cs="Arial"/>
        </w:rPr>
        <w:t xml:space="preserve">(a) The Office of the Tax </w:t>
      </w:r>
      <w:proofErr w:type="spellStart"/>
      <w:r w:rsidR="003A118B" w:rsidRPr="0073713A">
        <w:rPr>
          <w:rFonts w:ascii="Arial" w:eastAsia="Times New Roman" w:hAnsi="Arial" w:cs="Arial"/>
        </w:rPr>
        <w:t>Ombud</w:t>
      </w:r>
      <w:proofErr w:type="spellEnd"/>
      <w:r w:rsidR="003A118B" w:rsidRPr="0073713A">
        <w:rPr>
          <w:rFonts w:ascii="Arial" w:eastAsia="Times New Roman" w:hAnsi="Arial" w:cs="Arial"/>
        </w:rPr>
        <w:t xml:space="preserve"> is not funding any institution of research and</w:t>
      </w:r>
      <w:r w:rsidR="00A75BAE">
        <w:rPr>
          <w:rFonts w:ascii="Arial" w:eastAsia="Times New Roman" w:hAnsi="Arial" w:cs="Arial"/>
        </w:rPr>
        <w:t xml:space="preserve"> </w:t>
      </w:r>
      <w:r w:rsidR="003A118B" w:rsidRPr="0073713A">
        <w:rPr>
          <w:rFonts w:ascii="Arial" w:eastAsia="Times New Roman" w:hAnsi="Arial" w:cs="Arial"/>
        </w:rPr>
        <w:t>development (i) domestically and (ii) internationally.</w:t>
      </w:r>
    </w:p>
    <w:p w:rsidR="00AD1767" w:rsidRDefault="00AD1767" w:rsidP="00A75BAE">
      <w:pPr>
        <w:pBdr>
          <w:bottom w:val="single" w:sz="6" w:space="1" w:color="auto"/>
        </w:pBdr>
        <w:tabs>
          <w:tab w:val="left" w:pos="432"/>
          <w:tab w:val="left" w:pos="864"/>
        </w:tabs>
        <w:spacing w:after="0" w:line="240" w:lineRule="auto"/>
        <w:rPr>
          <w:rFonts w:ascii="Arial" w:eastAsia="Times New Roman" w:hAnsi="Arial" w:cs="Arial"/>
          <w:b/>
          <w:sz w:val="24"/>
          <w:szCs w:val="24"/>
        </w:rPr>
      </w:pPr>
    </w:p>
    <w:p w:rsidR="00AD1767" w:rsidRDefault="00AD1767" w:rsidP="00A75BAE">
      <w:pPr>
        <w:tabs>
          <w:tab w:val="left" w:pos="432"/>
          <w:tab w:val="left" w:pos="864"/>
        </w:tabs>
        <w:spacing w:after="0" w:line="240" w:lineRule="auto"/>
        <w:rPr>
          <w:rFonts w:ascii="Arial" w:eastAsia="Times New Roman" w:hAnsi="Arial" w:cs="Arial"/>
          <w:b/>
          <w:sz w:val="24"/>
          <w:szCs w:val="24"/>
          <w:lang w:val="en-GB"/>
        </w:rPr>
      </w:pPr>
    </w:p>
    <w:p w:rsidR="0085346A" w:rsidRPr="0085346A" w:rsidRDefault="0085346A" w:rsidP="00A97CFF">
      <w:pPr>
        <w:tabs>
          <w:tab w:val="left" w:pos="432"/>
          <w:tab w:val="left" w:pos="864"/>
        </w:tabs>
        <w:spacing w:after="0"/>
        <w:rPr>
          <w:rFonts w:ascii="Arial" w:eastAsia="Times New Roman" w:hAnsi="Arial" w:cs="Arial"/>
          <w:b/>
          <w:sz w:val="24"/>
          <w:szCs w:val="24"/>
        </w:rPr>
      </w:pPr>
      <w:bookmarkStart w:id="0" w:name="_GoBack"/>
      <w:bookmarkEnd w:id="0"/>
    </w:p>
    <w:p w:rsidR="004355E5" w:rsidRPr="002416B5" w:rsidRDefault="004355E5" w:rsidP="004355E5">
      <w:pPr>
        <w:spacing w:after="0"/>
        <w:jc w:val="both"/>
        <w:rPr>
          <w:rFonts w:ascii="Arial" w:eastAsia="Times New Roman" w:hAnsi="Arial" w:cs="Arial"/>
          <w:sz w:val="24"/>
          <w:szCs w:val="24"/>
        </w:rPr>
      </w:pPr>
    </w:p>
    <w:sectPr w:rsidR="004355E5" w:rsidRPr="002416B5" w:rsidSect="0091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EB553"/>
    <w:multiLevelType w:val="hybridMultilevel"/>
    <w:tmpl w:val="2096B27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9D6993"/>
    <w:multiLevelType w:val="hybridMultilevel"/>
    <w:tmpl w:val="3B7C60D0"/>
    <w:lvl w:ilvl="0" w:tplc="C2221642">
      <w:start w:val="1"/>
      <w:numFmt w:val="decimal"/>
      <w:lvlText w:val="%1."/>
      <w:lvlJc w:val="left"/>
      <w:pPr>
        <w:ind w:left="720" w:hanging="360"/>
      </w:pPr>
      <w:rPr>
        <w:rFonts w:eastAsia="Arial Unicode MS" w:cs="Arial Unicode M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A5C5414"/>
    <w:multiLevelType w:val="hybridMultilevel"/>
    <w:tmpl w:val="EB6C0FBC"/>
    <w:lvl w:ilvl="0" w:tplc="223EFA24">
      <w:start w:val="2"/>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52C1A32"/>
    <w:multiLevelType w:val="hybridMultilevel"/>
    <w:tmpl w:val="80F849C4"/>
    <w:lvl w:ilvl="0" w:tplc="B9020C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0C5882"/>
    <w:multiLevelType w:val="hybridMultilevel"/>
    <w:tmpl w:val="83CA3C42"/>
    <w:lvl w:ilvl="0" w:tplc="FCACF866">
      <w:start w:val="1"/>
      <w:numFmt w:val="decimal"/>
      <w:lvlText w:val="%1."/>
      <w:lvlJc w:val="left"/>
      <w:pPr>
        <w:ind w:left="1440" w:hanging="360"/>
      </w:pPr>
      <w:rPr>
        <w:rFonts w:ascii="Arial"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8AA758A"/>
    <w:multiLevelType w:val="hybridMultilevel"/>
    <w:tmpl w:val="1798A7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683805B2"/>
    <w:multiLevelType w:val="hybridMultilevel"/>
    <w:tmpl w:val="B7A85F3C"/>
    <w:lvl w:ilvl="0" w:tplc="415A6D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F2110A4"/>
    <w:multiLevelType w:val="hybridMultilevel"/>
    <w:tmpl w:val="69AC4A16"/>
    <w:lvl w:ilvl="0" w:tplc="35D8F062">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77B23417"/>
    <w:multiLevelType w:val="hybridMultilevel"/>
    <w:tmpl w:val="3B00EBE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FBB0D06"/>
    <w:multiLevelType w:val="hybridMultilevel"/>
    <w:tmpl w:val="6506F15E"/>
    <w:lvl w:ilvl="0" w:tplc="042A36BE">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8"/>
  </w:num>
  <w:num w:numId="5">
    <w:abstractNumId w:val="3"/>
  </w:num>
  <w:num w:numId="6">
    <w:abstractNumId w:val="9"/>
  </w:num>
  <w:num w:numId="7">
    <w:abstractNumId w:val="6"/>
  </w:num>
  <w:num w:numId="8">
    <w:abstractNumId w:val="5"/>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184620"/>
    <w:rsid w:val="001B0CC2"/>
    <w:rsid w:val="002416B5"/>
    <w:rsid w:val="0024360C"/>
    <w:rsid w:val="002A4D23"/>
    <w:rsid w:val="002E20DF"/>
    <w:rsid w:val="002F1B6A"/>
    <w:rsid w:val="00354837"/>
    <w:rsid w:val="003A118B"/>
    <w:rsid w:val="004324DD"/>
    <w:rsid w:val="004355E5"/>
    <w:rsid w:val="0045530B"/>
    <w:rsid w:val="00487522"/>
    <w:rsid w:val="004C20CD"/>
    <w:rsid w:val="004D1544"/>
    <w:rsid w:val="00531E8A"/>
    <w:rsid w:val="00542AD8"/>
    <w:rsid w:val="00591B0A"/>
    <w:rsid w:val="005E3C2B"/>
    <w:rsid w:val="005F445B"/>
    <w:rsid w:val="006715AB"/>
    <w:rsid w:val="006917D9"/>
    <w:rsid w:val="006A423F"/>
    <w:rsid w:val="006F70D8"/>
    <w:rsid w:val="0072116E"/>
    <w:rsid w:val="0073713A"/>
    <w:rsid w:val="00750D3D"/>
    <w:rsid w:val="007612BB"/>
    <w:rsid w:val="007940F9"/>
    <w:rsid w:val="007B66A7"/>
    <w:rsid w:val="0085346A"/>
    <w:rsid w:val="009114D6"/>
    <w:rsid w:val="00917BC4"/>
    <w:rsid w:val="00942D61"/>
    <w:rsid w:val="00943F20"/>
    <w:rsid w:val="0095367B"/>
    <w:rsid w:val="00955E5D"/>
    <w:rsid w:val="00963350"/>
    <w:rsid w:val="009A6FEC"/>
    <w:rsid w:val="00A75BAE"/>
    <w:rsid w:val="00A97663"/>
    <w:rsid w:val="00A97CFF"/>
    <w:rsid w:val="00AD1767"/>
    <w:rsid w:val="00B0595E"/>
    <w:rsid w:val="00B5456A"/>
    <w:rsid w:val="00C16401"/>
    <w:rsid w:val="00C56C84"/>
    <w:rsid w:val="00C96914"/>
    <w:rsid w:val="00D14C96"/>
    <w:rsid w:val="00D37316"/>
    <w:rsid w:val="00D5204D"/>
    <w:rsid w:val="00D76558"/>
    <w:rsid w:val="00E021CD"/>
    <w:rsid w:val="00E305B5"/>
    <w:rsid w:val="00EA3B9E"/>
    <w:rsid w:val="00EB5338"/>
    <w:rsid w:val="00EE110F"/>
    <w:rsid w:val="00F06CE6"/>
    <w:rsid w:val="00F16DB9"/>
    <w:rsid w:val="00F9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0595E"/>
    <w:pPr>
      <w:ind w:left="720"/>
      <w:contextualSpacing/>
    </w:pPr>
  </w:style>
  <w:style w:type="table" w:styleId="TableGrid">
    <w:name w:val="Table Grid"/>
    <w:basedOn w:val="TableNormal"/>
    <w:uiPriority w:val="59"/>
    <w:rsid w:val="00761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link w:val="BodyTextIndentChar"/>
    <w:rsid w:val="006A423F"/>
    <w:pPr>
      <w:pBdr>
        <w:top w:val="nil"/>
        <w:left w:val="nil"/>
        <w:bottom w:val="nil"/>
        <w:right w:val="nil"/>
        <w:between w:val="nil"/>
        <w:bar w:val="nil"/>
      </w:pBdr>
      <w:tabs>
        <w:tab w:val="left" w:pos="432"/>
        <w:tab w:val="left" w:pos="864"/>
      </w:tabs>
      <w:spacing w:after="0" w:line="480" w:lineRule="auto"/>
      <w:ind w:left="1094" w:hanging="547"/>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6A423F"/>
    <w:rPr>
      <w:rFonts w:ascii="Times New Roman" w:eastAsia="Arial Unicode MS" w:hAnsi="Times New Roman" w:cs="Arial Unicode MS"/>
      <w:color w:val="000000"/>
      <w:sz w:val="24"/>
      <w:szCs w:val="24"/>
      <w:u w:color="000000"/>
      <w:bdr w:val="nil"/>
    </w:rPr>
  </w:style>
  <w:style w:type="paragraph" w:customStyle="1" w:styleId="Body">
    <w:name w:val="Body"/>
    <w:rsid w:val="00D14C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Spacing">
    <w:name w:val="No Spacing"/>
    <w:uiPriority w:val="1"/>
    <w:qFormat/>
    <w:rsid w:val="0024360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Default">
    <w:name w:val="Default"/>
    <w:rsid w:val="00487522"/>
    <w:pPr>
      <w:autoSpaceDE w:val="0"/>
      <w:autoSpaceDN w:val="0"/>
      <w:adjustRightInd w:val="0"/>
      <w:spacing w:after="0" w:line="240" w:lineRule="auto"/>
    </w:pPr>
    <w:rPr>
      <w:rFonts w:ascii="Arial" w:hAnsi="Arial" w:cs="Arial"/>
      <w:color w:val="000000"/>
      <w:sz w:val="24"/>
      <w:szCs w:val="24"/>
      <w:lang w:val="en-ZA"/>
    </w:rPr>
  </w:style>
  <w:style w:type="table" w:customStyle="1" w:styleId="TableGrid1">
    <w:name w:val="Table Grid1"/>
    <w:basedOn w:val="TableNormal"/>
    <w:next w:val="TableGrid"/>
    <w:uiPriority w:val="59"/>
    <w:rsid w:val="004C20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0595E"/>
    <w:pPr>
      <w:ind w:left="720"/>
      <w:contextualSpacing/>
    </w:pPr>
  </w:style>
  <w:style w:type="table" w:styleId="TableGrid">
    <w:name w:val="Table Grid"/>
    <w:basedOn w:val="TableNormal"/>
    <w:uiPriority w:val="59"/>
    <w:rsid w:val="00761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link w:val="BodyTextIndentChar"/>
    <w:rsid w:val="006A423F"/>
    <w:pPr>
      <w:pBdr>
        <w:top w:val="nil"/>
        <w:left w:val="nil"/>
        <w:bottom w:val="nil"/>
        <w:right w:val="nil"/>
        <w:between w:val="nil"/>
        <w:bar w:val="nil"/>
      </w:pBdr>
      <w:tabs>
        <w:tab w:val="left" w:pos="432"/>
        <w:tab w:val="left" w:pos="864"/>
      </w:tabs>
      <w:spacing w:after="0" w:line="480" w:lineRule="auto"/>
      <w:ind w:left="1094" w:hanging="547"/>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6A423F"/>
    <w:rPr>
      <w:rFonts w:ascii="Times New Roman" w:eastAsia="Arial Unicode MS" w:hAnsi="Times New Roman" w:cs="Arial Unicode MS"/>
      <w:color w:val="000000"/>
      <w:sz w:val="24"/>
      <w:szCs w:val="24"/>
      <w:u w:color="000000"/>
      <w:bdr w:val="nil"/>
    </w:rPr>
  </w:style>
  <w:style w:type="paragraph" w:customStyle="1" w:styleId="Body">
    <w:name w:val="Body"/>
    <w:rsid w:val="00D14C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Spacing">
    <w:name w:val="No Spacing"/>
    <w:uiPriority w:val="1"/>
    <w:qFormat/>
    <w:rsid w:val="0024360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Default">
    <w:name w:val="Default"/>
    <w:rsid w:val="00487522"/>
    <w:pPr>
      <w:autoSpaceDE w:val="0"/>
      <w:autoSpaceDN w:val="0"/>
      <w:adjustRightInd w:val="0"/>
      <w:spacing w:after="0" w:line="240" w:lineRule="auto"/>
    </w:pPr>
    <w:rPr>
      <w:rFonts w:ascii="Arial" w:hAnsi="Arial" w:cs="Arial"/>
      <w:color w:val="000000"/>
      <w:sz w:val="24"/>
      <w:szCs w:val="24"/>
      <w:lang w:val="en-ZA"/>
    </w:rPr>
  </w:style>
  <w:style w:type="table" w:customStyle="1" w:styleId="TableGrid1">
    <w:name w:val="Table Grid1"/>
    <w:basedOn w:val="TableNormal"/>
    <w:next w:val="TableGrid"/>
    <w:uiPriority w:val="59"/>
    <w:rsid w:val="004C20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59426">
      <w:bodyDiv w:val="1"/>
      <w:marLeft w:val="0"/>
      <w:marRight w:val="0"/>
      <w:marTop w:val="0"/>
      <w:marBottom w:val="0"/>
      <w:divBdr>
        <w:top w:val="none" w:sz="0" w:space="0" w:color="auto"/>
        <w:left w:val="none" w:sz="0" w:space="0" w:color="auto"/>
        <w:bottom w:val="none" w:sz="0" w:space="0" w:color="auto"/>
        <w:right w:val="none" w:sz="0" w:space="0" w:color="auto"/>
      </w:divBdr>
    </w:div>
    <w:div w:id="569114640">
      <w:bodyDiv w:val="1"/>
      <w:marLeft w:val="0"/>
      <w:marRight w:val="0"/>
      <w:marTop w:val="0"/>
      <w:marBottom w:val="0"/>
      <w:divBdr>
        <w:top w:val="none" w:sz="0" w:space="0" w:color="auto"/>
        <w:left w:val="none" w:sz="0" w:space="0" w:color="auto"/>
        <w:bottom w:val="none" w:sz="0" w:space="0" w:color="auto"/>
        <w:right w:val="none" w:sz="0" w:space="0" w:color="auto"/>
      </w:divBdr>
    </w:div>
    <w:div w:id="636569548">
      <w:bodyDiv w:val="1"/>
      <w:marLeft w:val="0"/>
      <w:marRight w:val="0"/>
      <w:marTop w:val="0"/>
      <w:marBottom w:val="0"/>
      <w:divBdr>
        <w:top w:val="none" w:sz="0" w:space="0" w:color="auto"/>
        <w:left w:val="none" w:sz="0" w:space="0" w:color="auto"/>
        <w:bottom w:val="none" w:sz="0" w:space="0" w:color="auto"/>
        <w:right w:val="none" w:sz="0" w:space="0" w:color="auto"/>
      </w:divBdr>
    </w:div>
    <w:div w:id="693114069">
      <w:bodyDiv w:val="1"/>
      <w:marLeft w:val="0"/>
      <w:marRight w:val="0"/>
      <w:marTop w:val="0"/>
      <w:marBottom w:val="0"/>
      <w:divBdr>
        <w:top w:val="none" w:sz="0" w:space="0" w:color="auto"/>
        <w:left w:val="none" w:sz="0" w:space="0" w:color="auto"/>
        <w:bottom w:val="none" w:sz="0" w:space="0" w:color="auto"/>
        <w:right w:val="none" w:sz="0" w:space="0" w:color="auto"/>
      </w:divBdr>
    </w:div>
    <w:div w:id="926234482">
      <w:bodyDiv w:val="1"/>
      <w:marLeft w:val="0"/>
      <w:marRight w:val="0"/>
      <w:marTop w:val="0"/>
      <w:marBottom w:val="0"/>
      <w:divBdr>
        <w:top w:val="none" w:sz="0" w:space="0" w:color="auto"/>
        <w:left w:val="none" w:sz="0" w:space="0" w:color="auto"/>
        <w:bottom w:val="none" w:sz="0" w:space="0" w:color="auto"/>
        <w:right w:val="none" w:sz="0" w:space="0" w:color="auto"/>
      </w:divBdr>
    </w:div>
    <w:div w:id="1166822843">
      <w:bodyDiv w:val="1"/>
      <w:marLeft w:val="0"/>
      <w:marRight w:val="0"/>
      <w:marTop w:val="0"/>
      <w:marBottom w:val="0"/>
      <w:divBdr>
        <w:top w:val="none" w:sz="0" w:space="0" w:color="auto"/>
        <w:left w:val="none" w:sz="0" w:space="0" w:color="auto"/>
        <w:bottom w:val="none" w:sz="0" w:space="0" w:color="auto"/>
        <w:right w:val="none" w:sz="0" w:space="0" w:color="auto"/>
      </w:divBdr>
    </w:div>
    <w:div w:id="1382486475">
      <w:bodyDiv w:val="1"/>
      <w:marLeft w:val="0"/>
      <w:marRight w:val="0"/>
      <w:marTop w:val="0"/>
      <w:marBottom w:val="0"/>
      <w:divBdr>
        <w:top w:val="none" w:sz="0" w:space="0" w:color="auto"/>
        <w:left w:val="none" w:sz="0" w:space="0" w:color="auto"/>
        <w:bottom w:val="none" w:sz="0" w:space="0" w:color="auto"/>
        <w:right w:val="none" w:sz="0" w:space="0" w:color="auto"/>
      </w:divBdr>
    </w:div>
    <w:div w:id="1432748596">
      <w:bodyDiv w:val="1"/>
      <w:marLeft w:val="0"/>
      <w:marRight w:val="0"/>
      <w:marTop w:val="0"/>
      <w:marBottom w:val="0"/>
      <w:divBdr>
        <w:top w:val="none" w:sz="0" w:space="0" w:color="auto"/>
        <w:left w:val="none" w:sz="0" w:space="0" w:color="auto"/>
        <w:bottom w:val="none" w:sz="0" w:space="0" w:color="auto"/>
        <w:right w:val="none" w:sz="0" w:space="0" w:color="auto"/>
      </w:divBdr>
    </w:div>
    <w:div w:id="1758474436">
      <w:bodyDiv w:val="1"/>
      <w:marLeft w:val="0"/>
      <w:marRight w:val="0"/>
      <w:marTop w:val="0"/>
      <w:marBottom w:val="0"/>
      <w:divBdr>
        <w:top w:val="none" w:sz="0" w:space="0" w:color="auto"/>
        <w:left w:val="none" w:sz="0" w:space="0" w:color="auto"/>
        <w:bottom w:val="none" w:sz="0" w:space="0" w:color="auto"/>
        <w:right w:val="none" w:sz="0" w:space="0" w:color="auto"/>
      </w:divBdr>
    </w:div>
    <w:div w:id="1868447802">
      <w:bodyDiv w:val="1"/>
      <w:marLeft w:val="0"/>
      <w:marRight w:val="0"/>
      <w:marTop w:val="0"/>
      <w:marBottom w:val="0"/>
      <w:divBdr>
        <w:top w:val="none" w:sz="0" w:space="0" w:color="auto"/>
        <w:left w:val="none" w:sz="0" w:space="0" w:color="auto"/>
        <w:bottom w:val="none" w:sz="0" w:space="0" w:color="auto"/>
        <w:right w:val="none" w:sz="0" w:space="0" w:color="auto"/>
      </w:divBdr>
    </w:div>
    <w:div w:id="18712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4</cp:revision>
  <cp:lastPrinted>2017-12-06T12:51:00Z</cp:lastPrinted>
  <dcterms:created xsi:type="dcterms:W3CDTF">2017-12-08T14:26:00Z</dcterms:created>
  <dcterms:modified xsi:type="dcterms:W3CDTF">2017-12-13T14:24:00Z</dcterms:modified>
</cp:coreProperties>
</file>