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20</w:t>
      </w:r>
      <w:r w:rsidR="009B19AD">
        <w:rPr>
          <w:b/>
          <w:bCs/>
          <w:sz w:val="24"/>
          <w:u w:val="single"/>
        </w:rPr>
        <w:t>89</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8C6E9A">
        <w:rPr>
          <w:b/>
          <w:bCs/>
          <w:sz w:val="24"/>
          <w:u w:val="single"/>
        </w:rPr>
        <w:t>2</w:t>
      </w:r>
      <w:r w:rsidR="0091092C">
        <w:rPr>
          <w:b/>
          <w:bCs/>
          <w:sz w:val="24"/>
          <w:u w:val="single"/>
        </w:rPr>
        <w:t>7</w:t>
      </w:r>
      <w:r w:rsidR="0011298E" w:rsidRPr="00E9479A">
        <w:rPr>
          <w:b/>
          <w:bCs/>
          <w:sz w:val="24"/>
          <w:u w:val="single"/>
        </w:rPr>
        <w:t xml:space="preserve"> MAY</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20</w:t>
      </w:r>
      <w:r w:rsidRPr="00E9479A">
        <w:rPr>
          <w:b/>
          <w:bCs/>
          <w:sz w:val="24"/>
          <w:u w:val="single"/>
        </w:rPr>
        <w:t>)</w:t>
      </w:r>
    </w:p>
    <w:p w:rsidR="009B19AD" w:rsidRPr="009B19AD" w:rsidRDefault="009B19AD" w:rsidP="009B19AD">
      <w:pPr>
        <w:spacing w:before="100" w:beforeAutospacing="1" w:after="100" w:afterAutospacing="1"/>
        <w:ind w:right="-144"/>
        <w:jc w:val="both"/>
        <w:outlineLvl w:val="0"/>
        <w:rPr>
          <w:b/>
          <w:bCs/>
          <w:sz w:val="24"/>
          <w:u w:val="single"/>
        </w:rPr>
      </w:pPr>
      <w:r w:rsidRPr="009B19AD">
        <w:rPr>
          <w:b/>
          <w:bCs/>
          <w:sz w:val="24"/>
          <w:u w:val="single"/>
        </w:rPr>
        <w:t>Mrs M O Clarke (DA) to ask the Minister of Health</w:t>
      </w:r>
      <w:r w:rsidR="007B00EC" w:rsidRPr="009B19AD">
        <w:rPr>
          <w:b/>
          <w:bCs/>
          <w:sz w:val="24"/>
          <w:u w:val="single"/>
        </w:rPr>
        <w:fldChar w:fldCharType="begin"/>
      </w:r>
      <w:r w:rsidRPr="009B19AD">
        <w:rPr>
          <w:u w:val="single"/>
        </w:rPr>
        <w:instrText xml:space="preserve"> XE "</w:instrText>
      </w:r>
      <w:r w:rsidRPr="009B19AD">
        <w:rPr>
          <w:b/>
          <w:sz w:val="24"/>
          <w:u w:val="single"/>
        </w:rPr>
        <w:instrText>Health</w:instrText>
      </w:r>
      <w:r w:rsidRPr="009B19AD">
        <w:rPr>
          <w:u w:val="single"/>
        </w:rPr>
        <w:instrText xml:space="preserve">" </w:instrText>
      </w:r>
      <w:r w:rsidR="007B00EC" w:rsidRPr="009B19AD">
        <w:rPr>
          <w:b/>
          <w:bCs/>
          <w:sz w:val="24"/>
          <w:u w:val="single"/>
        </w:rPr>
        <w:fldChar w:fldCharType="end"/>
      </w:r>
      <w:r w:rsidRPr="009B19AD">
        <w:rPr>
          <w:b/>
          <w:bCs/>
          <w:sz w:val="24"/>
          <w:u w:val="single"/>
        </w:rPr>
        <w:t xml:space="preserve">: </w:t>
      </w:r>
      <w:r w:rsidRPr="009B19AD">
        <w:rPr>
          <w:b/>
          <w:bCs/>
          <w:sz w:val="24"/>
          <w:u w:val="single"/>
        </w:rPr>
        <w:tab/>
      </w:r>
    </w:p>
    <w:p w:rsidR="00413FCE" w:rsidRPr="00EB60D9" w:rsidRDefault="009B19AD" w:rsidP="009B19AD">
      <w:pPr>
        <w:spacing w:before="100" w:beforeAutospacing="1" w:after="100" w:afterAutospacing="1"/>
        <w:jc w:val="both"/>
        <w:outlineLvl w:val="0"/>
        <w:rPr>
          <w:rFonts w:ascii="Times New Roman" w:hAnsi="Times New Roman" w:cs="Times New Roman"/>
          <w:color w:val="000000"/>
          <w:sz w:val="20"/>
          <w:szCs w:val="20"/>
          <w:lang w:eastAsia="en-GB"/>
        </w:rPr>
      </w:pPr>
      <w:r w:rsidRPr="009B19AD">
        <w:rPr>
          <w:sz w:val="24"/>
        </w:rPr>
        <w:t>(a) What is the budget allocation for the Termination of Pregnancy (TOP) services in the Republic, (b) how is the budget calculated for the specified services, (c) on what basis does a clinic turn away TOP patients, (d) what is the current backlog of TOPs, (e) what training is provided to staff to properly handle and support TOP patients, (f) what is the staff vacancy rate for those who conduct TOP services, (g) what is the breakdown of staff vacancies in this regard in each province, (h) what is his department doing to address the unwillingness of medical practitioners to perform TOP services thus creating a barrier to the services, (i) what total number of TOPs have been performed in the past five years and (j) what is the breakdown of the TOPs that were performed in each province?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9B19AD">
        <w:rPr>
          <w:color w:val="000000"/>
        </w:rPr>
        <w:t>492</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B84547" w:rsidRDefault="00B84547" w:rsidP="00B84547">
      <w:pPr>
        <w:pStyle w:val="NormalWeb"/>
        <w:spacing w:before="0" w:beforeAutospacing="0" w:after="0" w:afterAutospacing="0"/>
        <w:ind w:left="567" w:hanging="567"/>
        <w:jc w:val="both"/>
        <w:rPr>
          <w:rFonts w:ascii="Arial" w:hAnsi="Arial" w:cs="Arial"/>
          <w:color w:val="000000"/>
        </w:rPr>
      </w:pPr>
    </w:p>
    <w:p w:rsidR="00B84547" w:rsidRPr="00880898" w:rsidRDefault="00B84547" w:rsidP="00B84547">
      <w:pPr>
        <w:pStyle w:val="NormalWeb"/>
        <w:spacing w:before="0" w:beforeAutospacing="0" w:after="240" w:afterAutospacing="0"/>
        <w:ind w:left="567" w:hanging="567"/>
        <w:jc w:val="both"/>
        <w:rPr>
          <w:rFonts w:ascii="Arial" w:hAnsi="Arial" w:cs="Arial"/>
        </w:rPr>
      </w:pPr>
      <w:r>
        <w:rPr>
          <w:rFonts w:ascii="Arial" w:hAnsi="Arial" w:cs="Arial"/>
          <w:color w:val="000000"/>
        </w:rPr>
        <w:t>(a)</w:t>
      </w:r>
      <w:r>
        <w:rPr>
          <w:rFonts w:ascii="Arial" w:hAnsi="Arial" w:cs="Arial"/>
          <w:color w:val="000000"/>
        </w:rPr>
        <w:tab/>
        <w:t>There is no</w:t>
      </w:r>
      <w:r w:rsidRPr="007D6A5B">
        <w:rPr>
          <w:rFonts w:ascii="Arial" w:hAnsi="Arial" w:cs="Arial"/>
          <w:color w:val="000000"/>
        </w:rPr>
        <w:t xml:space="preserve"> specific budget allocated for termination of pregnancy services</w:t>
      </w:r>
      <w:r>
        <w:rPr>
          <w:rFonts w:ascii="Arial" w:hAnsi="Arial" w:cs="Arial"/>
          <w:color w:val="000000"/>
        </w:rPr>
        <w:t>,</w:t>
      </w:r>
      <w:r w:rsidRPr="007D6A5B">
        <w:rPr>
          <w:rFonts w:ascii="Arial" w:hAnsi="Arial" w:cs="Arial"/>
          <w:color w:val="000000"/>
        </w:rPr>
        <w:t xml:space="preserve"> however the </w:t>
      </w:r>
      <w:r w:rsidRPr="00880898">
        <w:rPr>
          <w:rFonts w:ascii="Arial" w:hAnsi="Arial" w:cs="Arial"/>
        </w:rPr>
        <w:t xml:space="preserve">services are covered under Equitable Share </w:t>
      </w:r>
    </w:p>
    <w:p w:rsidR="00B84547" w:rsidRDefault="00B84547" w:rsidP="00B84547">
      <w:pPr>
        <w:pStyle w:val="NormalWeb"/>
        <w:spacing w:before="0" w:beforeAutospacing="0" w:after="240" w:afterAutospacing="0"/>
        <w:ind w:left="567" w:hanging="567"/>
        <w:jc w:val="both"/>
        <w:rPr>
          <w:rFonts w:ascii="Arial" w:hAnsi="Arial" w:cs="Arial"/>
          <w:color w:val="000000"/>
        </w:rPr>
      </w:pPr>
      <w:r w:rsidRPr="00880898">
        <w:rPr>
          <w:rFonts w:ascii="Arial" w:hAnsi="Arial" w:cs="Arial"/>
        </w:rPr>
        <w:t>(b)</w:t>
      </w:r>
      <w:r w:rsidRPr="00880898">
        <w:rPr>
          <w:rFonts w:ascii="Arial" w:hAnsi="Arial" w:cs="Arial"/>
        </w:rPr>
        <w:tab/>
        <w:t xml:space="preserve">There is no specific budget calculation for termination of pregnancy, the service/program is not a stand-alone programme it falls </w:t>
      </w:r>
      <w:r>
        <w:rPr>
          <w:rFonts w:ascii="Arial" w:hAnsi="Arial" w:cs="Arial"/>
          <w:color w:val="000000"/>
        </w:rPr>
        <w:t xml:space="preserve">within the Women, Maternal and Reproductive Health at all level of care, therefore the calculation is done under Equitable share budget. </w:t>
      </w:r>
    </w:p>
    <w:p w:rsidR="00B84547" w:rsidRPr="007D6A5B" w:rsidRDefault="00B84547" w:rsidP="00B84547">
      <w:pPr>
        <w:pStyle w:val="NormalWeb"/>
        <w:spacing w:before="0" w:beforeAutospacing="0" w:after="240" w:afterAutospacing="0"/>
        <w:ind w:left="567" w:hanging="567"/>
        <w:jc w:val="both"/>
        <w:rPr>
          <w:rFonts w:ascii="Arial" w:hAnsi="Arial" w:cs="Arial"/>
          <w:color w:val="000000"/>
        </w:rPr>
      </w:pPr>
      <w:r>
        <w:rPr>
          <w:rFonts w:ascii="Arial" w:hAnsi="Arial" w:cs="Arial"/>
          <w:color w:val="000000"/>
        </w:rPr>
        <w:t>(c)</w:t>
      </w:r>
      <w:r>
        <w:rPr>
          <w:rFonts w:ascii="Arial" w:hAnsi="Arial" w:cs="Arial"/>
          <w:color w:val="000000"/>
        </w:rPr>
        <w:tab/>
      </w:r>
      <w:r w:rsidRPr="007D6A5B">
        <w:rPr>
          <w:rFonts w:ascii="Arial" w:hAnsi="Arial" w:cs="Arial"/>
          <w:color w:val="000000"/>
        </w:rPr>
        <w:t>The clinic can</w:t>
      </w:r>
      <w:r>
        <w:rPr>
          <w:rFonts w:ascii="Arial" w:hAnsi="Arial" w:cs="Arial"/>
          <w:color w:val="000000"/>
        </w:rPr>
        <w:t>not</w:t>
      </w:r>
      <w:r w:rsidRPr="007D6A5B">
        <w:rPr>
          <w:rFonts w:ascii="Arial" w:hAnsi="Arial" w:cs="Arial"/>
          <w:color w:val="000000"/>
        </w:rPr>
        <w:t xml:space="preserve"> turn away the clients </w:t>
      </w:r>
      <w:r>
        <w:rPr>
          <w:rFonts w:ascii="Arial" w:hAnsi="Arial" w:cs="Arial"/>
          <w:color w:val="000000"/>
        </w:rPr>
        <w:t xml:space="preserve">however; clinic can only refer clients </w:t>
      </w:r>
      <w:r w:rsidRPr="007D6A5B">
        <w:rPr>
          <w:rFonts w:ascii="Arial" w:hAnsi="Arial" w:cs="Arial"/>
          <w:color w:val="000000"/>
        </w:rPr>
        <w:t xml:space="preserve">on the following basis: </w:t>
      </w:r>
    </w:p>
    <w:p w:rsidR="00B84547" w:rsidRDefault="00B84547" w:rsidP="00B84547">
      <w:pPr>
        <w:pStyle w:val="NormalWeb"/>
        <w:numPr>
          <w:ilvl w:val="1"/>
          <w:numId w:val="7"/>
        </w:numPr>
        <w:spacing w:before="0" w:beforeAutospacing="0" w:after="240" w:afterAutospacing="0"/>
        <w:ind w:left="992" w:hanging="425"/>
        <w:jc w:val="both"/>
        <w:rPr>
          <w:rFonts w:ascii="Arial" w:hAnsi="Arial" w:cs="Arial"/>
          <w:color w:val="000000"/>
        </w:rPr>
      </w:pPr>
      <w:r w:rsidRPr="007D6A5B">
        <w:rPr>
          <w:rFonts w:ascii="Arial" w:hAnsi="Arial" w:cs="Arial"/>
          <w:color w:val="000000"/>
        </w:rPr>
        <w:t>If there is no one trained and providing the</w:t>
      </w:r>
      <w:r>
        <w:rPr>
          <w:rFonts w:ascii="Arial" w:hAnsi="Arial" w:cs="Arial"/>
          <w:color w:val="000000"/>
        </w:rPr>
        <w:t xml:space="preserve"> termination of pregnancy services in a</w:t>
      </w:r>
      <w:r w:rsidRPr="007D6A5B">
        <w:rPr>
          <w:rFonts w:ascii="Arial" w:hAnsi="Arial" w:cs="Arial"/>
          <w:color w:val="000000"/>
        </w:rPr>
        <w:t xml:space="preserve"> facility</w:t>
      </w:r>
      <w:r>
        <w:rPr>
          <w:rFonts w:ascii="Arial" w:hAnsi="Arial" w:cs="Arial"/>
          <w:color w:val="000000"/>
        </w:rPr>
        <w:t>; the health care workers, don’t turn them away BUT refer clients where services are rendered</w:t>
      </w:r>
    </w:p>
    <w:p w:rsidR="00B84547" w:rsidRDefault="00B84547" w:rsidP="00B84547">
      <w:pPr>
        <w:pStyle w:val="NormalWeb"/>
        <w:numPr>
          <w:ilvl w:val="1"/>
          <w:numId w:val="7"/>
        </w:numPr>
        <w:spacing w:before="0" w:beforeAutospacing="0" w:after="240" w:afterAutospacing="0"/>
        <w:ind w:left="992" w:hanging="425"/>
        <w:jc w:val="both"/>
        <w:rPr>
          <w:rFonts w:ascii="Arial" w:hAnsi="Arial" w:cs="Arial"/>
          <w:color w:val="000000"/>
        </w:rPr>
      </w:pPr>
      <w:r w:rsidRPr="00970036">
        <w:rPr>
          <w:rFonts w:ascii="Arial" w:hAnsi="Arial" w:cs="Arial"/>
          <w:color w:val="000000"/>
        </w:rPr>
        <w:t>If the client is above 12 weeks, and there is no Doctor who can provide the above 12 weeks’ cases in a facility as stipulated in the Choice on Termination of Pregnancy Act, 92 of 1996, then the client can be referred to next level of care where second trimester termination of pregnancy is offered</w:t>
      </w:r>
      <w:r>
        <w:rPr>
          <w:rFonts w:ascii="Arial" w:hAnsi="Arial" w:cs="Arial"/>
          <w:color w:val="000000"/>
        </w:rPr>
        <w:t>;</w:t>
      </w:r>
    </w:p>
    <w:p w:rsidR="00B84547" w:rsidRPr="00970036" w:rsidRDefault="00B84547" w:rsidP="00B84547">
      <w:pPr>
        <w:pStyle w:val="NormalWeb"/>
        <w:numPr>
          <w:ilvl w:val="1"/>
          <w:numId w:val="7"/>
        </w:numPr>
        <w:spacing w:before="0" w:beforeAutospacing="0" w:after="240" w:afterAutospacing="0"/>
        <w:ind w:left="992" w:hanging="425"/>
        <w:jc w:val="both"/>
        <w:rPr>
          <w:rFonts w:ascii="Arial" w:hAnsi="Arial" w:cs="Arial"/>
          <w:color w:val="000000"/>
        </w:rPr>
      </w:pPr>
      <w:r w:rsidRPr="00970036">
        <w:rPr>
          <w:rFonts w:ascii="Arial" w:hAnsi="Arial" w:cs="Arial"/>
          <w:color w:val="000000"/>
        </w:rPr>
        <w:t>If the client is above 20 weeks, however the client can be counselled on pregnancy resolutions e.g. adoption etc.</w:t>
      </w:r>
    </w:p>
    <w:p w:rsidR="00B84547" w:rsidRDefault="00B84547" w:rsidP="00B84547">
      <w:pPr>
        <w:pStyle w:val="NormalWeb"/>
        <w:spacing w:before="0" w:beforeAutospacing="0" w:after="240" w:afterAutospacing="0"/>
        <w:ind w:left="567" w:hanging="567"/>
        <w:jc w:val="both"/>
        <w:rPr>
          <w:rFonts w:ascii="Arial" w:hAnsi="Arial" w:cs="Arial"/>
          <w:color w:val="000000"/>
        </w:rPr>
        <w:sectPr w:rsidR="00B84547" w:rsidSect="00C525FB">
          <w:footerReference w:type="default" r:id="rId7"/>
          <w:pgSz w:w="11906" w:h="16838" w:code="9"/>
          <w:pgMar w:top="1440" w:right="1418" w:bottom="1418" w:left="1418" w:header="709" w:footer="709" w:gutter="0"/>
          <w:cols w:space="708"/>
          <w:docGrid w:linePitch="360"/>
        </w:sectPr>
      </w:pPr>
      <w:r>
        <w:rPr>
          <w:rFonts w:ascii="Arial" w:hAnsi="Arial" w:cs="Arial"/>
          <w:color w:val="000000"/>
        </w:rPr>
        <w:lastRenderedPageBreak/>
        <w:t>(d)</w:t>
      </w:r>
      <w:r>
        <w:rPr>
          <w:rFonts w:ascii="Arial" w:hAnsi="Arial" w:cs="Arial"/>
          <w:color w:val="000000"/>
        </w:rPr>
        <w:tab/>
        <w:t xml:space="preserve">The National Department of Health did not receive reports from provinces indicating challenges related to backlog on termination of pregnancy </w:t>
      </w:r>
    </w:p>
    <w:p w:rsidR="00B84547" w:rsidRDefault="00B84547" w:rsidP="00B84547">
      <w:pPr>
        <w:pStyle w:val="NormalWeb"/>
        <w:spacing w:before="240" w:beforeAutospacing="0" w:after="0" w:afterAutospacing="0" w:line="276" w:lineRule="auto"/>
        <w:ind w:left="567" w:hanging="567"/>
        <w:jc w:val="both"/>
        <w:rPr>
          <w:rFonts w:ascii="Arial" w:hAnsi="Arial" w:cs="Arial"/>
          <w:color w:val="000000"/>
        </w:rPr>
      </w:pPr>
      <w:r>
        <w:rPr>
          <w:rFonts w:ascii="Arial" w:hAnsi="Arial" w:cs="Arial"/>
          <w:color w:val="000000"/>
        </w:rPr>
        <w:t>(e)</w:t>
      </w:r>
      <w:r>
        <w:rPr>
          <w:rFonts w:ascii="Arial" w:hAnsi="Arial" w:cs="Arial"/>
          <w:color w:val="000000"/>
        </w:rPr>
        <w:tab/>
      </w:r>
      <w:r w:rsidRPr="007D6A5B">
        <w:rPr>
          <w:rFonts w:ascii="Arial" w:hAnsi="Arial" w:cs="Arial"/>
          <w:color w:val="000000"/>
        </w:rPr>
        <w:t xml:space="preserve">The National Department of Health has developed the Sexual and Reproductive Health </w:t>
      </w:r>
      <w:r>
        <w:rPr>
          <w:rFonts w:ascii="Arial" w:hAnsi="Arial" w:cs="Arial"/>
          <w:color w:val="000000"/>
        </w:rPr>
        <w:t xml:space="preserve">and </w:t>
      </w:r>
      <w:r w:rsidRPr="007D6A5B">
        <w:rPr>
          <w:rFonts w:ascii="Arial" w:hAnsi="Arial" w:cs="Arial"/>
          <w:color w:val="000000"/>
        </w:rPr>
        <w:t>Rights Training Package/Curriculum</w:t>
      </w:r>
      <w:r>
        <w:rPr>
          <w:rFonts w:ascii="Arial" w:hAnsi="Arial" w:cs="Arial"/>
          <w:color w:val="000000"/>
        </w:rPr>
        <w:t xml:space="preserve"> consisting of 14 modules.</w:t>
      </w:r>
    </w:p>
    <w:p w:rsidR="00B84547" w:rsidRDefault="00B84547" w:rsidP="00B84547">
      <w:pPr>
        <w:pStyle w:val="NormalWeb"/>
        <w:spacing w:before="120" w:beforeAutospacing="0" w:after="0" w:afterAutospacing="0" w:line="276" w:lineRule="auto"/>
        <w:ind w:left="1134" w:hanging="567"/>
        <w:jc w:val="both"/>
        <w:rPr>
          <w:rFonts w:ascii="Arial" w:hAnsi="Arial" w:cs="Arial"/>
          <w:color w:val="000000"/>
        </w:rPr>
      </w:pPr>
      <w:r>
        <w:rPr>
          <w:rFonts w:ascii="Arial" w:hAnsi="Arial" w:cs="Arial"/>
          <w:color w:val="000000"/>
        </w:rPr>
        <w:t>1.</w:t>
      </w:r>
      <w:r>
        <w:rPr>
          <w:rFonts w:ascii="Arial" w:hAnsi="Arial" w:cs="Arial"/>
          <w:color w:val="000000"/>
        </w:rPr>
        <w:tab/>
        <w:t>M</w:t>
      </w:r>
      <w:r w:rsidRPr="007D6A5B">
        <w:rPr>
          <w:rFonts w:ascii="Arial" w:hAnsi="Arial" w:cs="Arial"/>
          <w:color w:val="000000"/>
        </w:rPr>
        <w:t>odule</w:t>
      </w:r>
      <w:r>
        <w:rPr>
          <w:rFonts w:ascii="Arial" w:hAnsi="Arial" w:cs="Arial"/>
          <w:color w:val="000000"/>
        </w:rPr>
        <w:t xml:space="preserve"> one is compulsory and covers value clarification and mind transformation and </w:t>
      </w:r>
      <w:r w:rsidRPr="007D6A5B">
        <w:rPr>
          <w:rFonts w:ascii="Arial" w:hAnsi="Arial" w:cs="Arial"/>
          <w:color w:val="000000"/>
        </w:rPr>
        <w:t xml:space="preserve"> </w:t>
      </w:r>
    </w:p>
    <w:p w:rsidR="00B84547" w:rsidRDefault="00B84547" w:rsidP="00B84547">
      <w:pPr>
        <w:pStyle w:val="NormalWeb"/>
        <w:spacing w:before="120" w:beforeAutospacing="0" w:after="0" w:afterAutospacing="0" w:line="276" w:lineRule="auto"/>
        <w:ind w:left="1134" w:hanging="567"/>
        <w:jc w:val="both"/>
        <w:rPr>
          <w:rFonts w:ascii="Arial" w:hAnsi="Arial" w:cs="Arial"/>
          <w:color w:val="000000"/>
        </w:rPr>
      </w:pPr>
      <w:r>
        <w:rPr>
          <w:rFonts w:ascii="Arial" w:hAnsi="Arial" w:cs="Arial"/>
          <w:color w:val="000000"/>
        </w:rPr>
        <w:t>2.</w:t>
      </w:r>
      <w:r>
        <w:rPr>
          <w:rFonts w:ascii="Arial" w:hAnsi="Arial" w:cs="Arial"/>
          <w:color w:val="000000"/>
        </w:rPr>
        <w:tab/>
      </w:r>
      <w:r w:rsidRPr="007D6A5B">
        <w:rPr>
          <w:rFonts w:ascii="Arial" w:hAnsi="Arial" w:cs="Arial"/>
          <w:color w:val="000000"/>
        </w:rPr>
        <w:t xml:space="preserve">Module 7 is </w:t>
      </w:r>
      <w:r>
        <w:rPr>
          <w:rFonts w:ascii="Arial" w:hAnsi="Arial" w:cs="Arial"/>
          <w:color w:val="000000"/>
        </w:rPr>
        <w:t xml:space="preserve">a </w:t>
      </w:r>
      <w:r w:rsidRPr="007D6A5B">
        <w:rPr>
          <w:rFonts w:ascii="Arial" w:hAnsi="Arial" w:cs="Arial"/>
          <w:color w:val="000000"/>
        </w:rPr>
        <w:t xml:space="preserve">specific </w:t>
      </w:r>
      <w:r>
        <w:rPr>
          <w:rFonts w:ascii="Arial" w:hAnsi="Arial" w:cs="Arial"/>
          <w:color w:val="000000"/>
        </w:rPr>
        <w:t xml:space="preserve">module </w:t>
      </w:r>
      <w:r w:rsidRPr="007D6A5B">
        <w:rPr>
          <w:rFonts w:ascii="Arial" w:hAnsi="Arial" w:cs="Arial"/>
          <w:color w:val="000000"/>
        </w:rPr>
        <w:t xml:space="preserve">for </w:t>
      </w:r>
      <w:r>
        <w:rPr>
          <w:rFonts w:ascii="Arial" w:hAnsi="Arial" w:cs="Arial"/>
          <w:color w:val="000000"/>
        </w:rPr>
        <w:t>termination of pregnancy (</w:t>
      </w:r>
      <w:r w:rsidRPr="007D6A5B">
        <w:rPr>
          <w:rFonts w:ascii="Arial" w:hAnsi="Arial" w:cs="Arial"/>
          <w:color w:val="000000"/>
        </w:rPr>
        <w:t>theory and practical session</w:t>
      </w:r>
      <w:r>
        <w:rPr>
          <w:rFonts w:ascii="Arial" w:hAnsi="Arial" w:cs="Arial"/>
          <w:color w:val="000000"/>
        </w:rPr>
        <w:t>).</w:t>
      </w:r>
    </w:p>
    <w:p w:rsidR="00B84547" w:rsidRDefault="00B84547" w:rsidP="00B84547">
      <w:pPr>
        <w:pStyle w:val="NormalWeb"/>
        <w:spacing w:before="240" w:beforeAutospacing="0" w:after="0" w:afterAutospacing="0" w:line="276" w:lineRule="auto"/>
        <w:ind w:left="851" w:hanging="851"/>
        <w:jc w:val="both"/>
        <w:rPr>
          <w:rFonts w:ascii="Arial" w:hAnsi="Arial" w:cs="Arial"/>
          <w:color w:val="000000"/>
        </w:rPr>
      </w:pPr>
      <w:r>
        <w:rPr>
          <w:rFonts w:ascii="Arial" w:hAnsi="Arial" w:cs="Arial"/>
          <w:color w:val="000000"/>
        </w:rPr>
        <w:t>(f)-(g)</w:t>
      </w:r>
      <w:r>
        <w:rPr>
          <w:rFonts w:ascii="Arial" w:hAnsi="Arial" w:cs="Arial"/>
          <w:color w:val="000000"/>
        </w:rPr>
        <w:tab/>
      </w:r>
      <w:r w:rsidRPr="006429BC">
        <w:rPr>
          <w:rFonts w:ascii="Arial" w:hAnsi="Arial" w:cs="Arial"/>
          <w:i/>
          <w:iCs/>
          <w:color w:val="000000"/>
        </w:rPr>
        <w:t>Staff vacancy rate</w:t>
      </w:r>
      <w:r w:rsidRPr="006429BC">
        <w:rPr>
          <w:rFonts w:ascii="Arial" w:hAnsi="Arial" w:cs="Arial"/>
          <w:color w:val="000000"/>
        </w:rPr>
        <w:t>.</w:t>
      </w:r>
      <w:r>
        <w:rPr>
          <w:rFonts w:ascii="Arial" w:hAnsi="Arial" w:cs="Arial"/>
          <w:color w:val="000000"/>
        </w:rPr>
        <w:t xml:space="preserve">  </w:t>
      </w:r>
      <w:r w:rsidRPr="007D6A5B">
        <w:rPr>
          <w:rFonts w:ascii="Arial" w:hAnsi="Arial" w:cs="Arial"/>
          <w:color w:val="000000"/>
        </w:rPr>
        <w:t xml:space="preserve">The Department do not have the vacancy rate specific for </w:t>
      </w:r>
      <w:r>
        <w:rPr>
          <w:rFonts w:ascii="Arial" w:hAnsi="Arial" w:cs="Arial"/>
          <w:color w:val="000000"/>
        </w:rPr>
        <w:t>termination of pregnancy</w:t>
      </w:r>
      <w:r w:rsidRPr="007D6A5B">
        <w:rPr>
          <w:rFonts w:ascii="Arial" w:hAnsi="Arial" w:cs="Arial"/>
          <w:color w:val="000000"/>
        </w:rPr>
        <w:t xml:space="preserve"> however the service is being rendered under Women, Maternal and Reproductive Health</w:t>
      </w:r>
      <w:r>
        <w:rPr>
          <w:rFonts w:ascii="Arial" w:hAnsi="Arial" w:cs="Arial"/>
          <w:color w:val="000000"/>
        </w:rPr>
        <w:t xml:space="preserve"> programme.  </w:t>
      </w:r>
      <w:r w:rsidRPr="007D6A5B">
        <w:rPr>
          <w:rFonts w:ascii="Arial" w:hAnsi="Arial" w:cs="Arial"/>
          <w:color w:val="000000"/>
        </w:rPr>
        <w:t xml:space="preserve">There is no breakdown of vacancies because </w:t>
      </w:r>
      <w:r>
        <w:rPr>
          <w:rFonts w:ascii="Arial" w:hAnsi="Arial" w:cs="Arial"/>
          <w:color w:val="000000"/>
        </w:rPr>
        <w:t>termination of pregnancy</w:t>
      </w:r>
      <w:r w:rsidRPr="007D6A5B">
        <w:rPr>
          <w:rFonts w:ascii="Arial" w:hAnsi="Arial" w:cs="Arial"/>
          <w:color w:val="000000"/>
        </w:rPr>
        <w:t xml:space="preserve"> is not a standalone programme it is offered under the Women, Maternal and Reproductive Health</w:t>
      </w:r>
      <w:r>
        <w:rPr>
          <w:rFonts w:ascii="Arial" w:hAnsi="Arial" w:cs="Arial"/>
          <w:color w:val="000000"/>
        </w:rPr>
        <w:t xml:space="preserve"> programme.</w:t>
      </w:r>
    </w:p>
    <w:p w:rsidR="00B84547" w:rsidRDefault="00B84547" w:rsidP="00B84547">
      <w:pPr>
        <w:pStyle w:val="NormalWeb"/>
        <w:spacing w:before="240" w:beforeAutospacing="0" w:after="240" w:afterAutospacing="0" w:line="276" w:lineRule="auto"/>
        <w:ind w:left="567" w:hanging="567"/>
        <w:jc w:val="both"/>
        <w:rPr>
          <w:rFonts w:ascii="Arial" w:hAnsi="Arial" w:cs="Arial"/>
        </w:rPr>
      </w:pPr>
      <w:r>
        <w:rPr>
          <w:rFonts w:ascii="Arial" w:hAnsi="Arial" w:cs="Arial"/>
          <w:color w:val="000000"/>
        </w:rPr>
        <w:t>(h)</w:t>
      </w:r>
      <w:r>
        <w:rPr>
          <w:rFonts w:ascii="Arial" w:hAnsi="Arial" w:cs="Arial"/>
          <w:color w:val="000000"/>
        </w:rPr>
        <w:tab/>
        <w:t xml:space="preserve">The Department Conduct Value Clarification and mind transformation workshop to address unwillingness and negative attitude of the health care workers at all levels of care.  </w:t>
      </w:r>
      <w:r w:rsidRPr="006429BC">
        <w:rPr>
          <w:rFonts w:ascii="Arial" w:hAnsi="Arial" w:cs="Arial"/>
          <w:lang w:val="en-GB"/>
        </w:rPr>
        <w:t>Choice on termination of pregnancy guidelines</w:t>
      </w:r>
      <w:r>
        <w:rPr>
          <w:rFonts w:ascii="Arial" w:hAnsi="Arial" w:cs="Arial"/>
          <w:lang w:val="en-GB"/>
        </w:rPr>
        <w:t xml:space="preserve"> </w:t>
      </w:r>
      <w:r w:rsidRPr="006429BC">
        <w:rPr>
          <w:rFonts w:ascii="Arial" w:hAnsi="Arial" w:cs="Arial"/>
          <w:lang w:val="en-GB"/>
        </w:rPr>
        <w:t>(2019) provides guidance to managers, frontline workers and service users to respond to issues on conscientious objection which is described as blocking access to care</w:t>
      </w:r>
      <w:r w:rsidRPr="006429BC">
        <w:rPr>
          <w:rFonts w:ascii="Arial" w:hAnsi="Arial" w:cs="Arial"/>
        </w:rPr>
        <w:t xml:space="preserve"> . </w:t>
      </w:r>
    </w:p>
    <w:p w:rsidR="00B84547" w:rsidRPr="006429BC" w:rsidRDefault="00B84547" w:rsidP="00B84547">
      <w:pPr>
        <w:pStyle w:val="NormalWeb"/>
        <w:spacing w:before="240" w:beforeAutospacing="0" w:after="240" w:afterAutospacing="0" w:line="276" w:lineRule="auto"/>
        <w:ind w:left="567" w:hanging="567"/>
        <w:jc w:val="both"/>
        <w:rPr>
          <w:rFonts w:ascii="Arial" w:hAnsi="Arial" w:cs="Arial"/>
        </w:rPr>
      </w:pPr>
      <w:r>
        <w:rPr>
          <w:rFonts w:ascii="Arial" w:hAnsi="Arial" w:cs="Arial"/>
        </w:rPr>
        <w:t>(i)-(j)</w:t>
      </w:r>
      <w:r>
        <w:rPr>
          <w:rFonts w:ascii="Arial" w:hAnsi="Arial" w:cs="Arial"/>
        </w:rPr>
        <w:tab/>
        <w:t>The following table reflects the details in this regard.</w:t>
      </w:r>
    </w:p>
    <w:tbl>
      <w:tblPr>
        <w:tblStyle w:val="TableGrid"/>
        <w:tblW w:w="11199" w:type="dxa"/>
        <w:tblInd w:w="-426" w:type="dxa"/>
        <w:tblLook w:val="04A0"/>
      </w:tblPr>
      <w:tblGrid>
        <w:gridCol w:w="223"/>
        <w:gridCol w:w="661"/>
        <w:gridCol w:w="950"/>
        <w:gridCol w:w="717"/>
        <w:gridCol w:w="1028"/>
        <w:gridCol w:w="1116"/>
        <w:gridCol w:w="1061"/>
        <w:gridCol w:w="983"/>
        <w:gridCol w:w="1061"/>
        <w:gridCol w:w="750"/>
        <w:gridCol w:w="1006"/>
        <w:gridCol w:w="1643"/>
      </w:tblGrid>
      <w:tr w:rsidR="00B84547" w:rsidRPr="00B84547" w:rsidTr="00B84547">
        <w:tc>
          <w:tcPr>
            <w:tcW w:w="223" w:type="dxa"/>
            <w:vMerge w:val="restart"/>
            <w:tcBorders>
              <w:top w:val="nil"/>
              <w:left w:val="nil"/>
            </w:tcBorders>
          </w:tcPr>
          <w:p w:rsidR="00B84547" w:rsidRPr="00B84547" w:rsidRDefault="00B84547" w:rsidP="00A03C46">
            <w:pPr>
              <w:pStyle w:val="NormalWeb"/>
              <w:spacing w:before="0" w:after="0" w:line="276" w:lineRule="auto"/>
              <w:jc w:val="both"/>
              <w:rPr>
                <w:rFonts w:ascii="Arial" w:hAnsi="Arial" w:cs="Arial"/>
                <w:color w:val="000000"/>
                <w:sz w:val="20"/>
                <w:szCs w:val="20"/>
              </w:rPr>
            </w:pPr>
          </w:p>
        </w:tc>
        <w:tc>
          <w:tcPr>
            <w:tcW w:w="657" w:type="dxa"/>
            <w:vMerge w:val="restart"/>
          </w:tcPr>
          <w:p w:rsidR="00B84547" w:rsidRPr="00B84547" w:rsidRDefault="00B84547" w:rsidP="00A03C46">
            <w:pPr>
              <w:pStyle w:val="NormalWeb"/>
              <w:spacing w:before="0" w:after="0" w:line="276" w:lineRule="auto"/>
              <w:jc w:val="both"/>
              <w:rPr>
                <w:rFonts w:ascii="Arial" w:hAnsi="Arial" w:cs="Arial"/>
                <w:b/>
                <w:color w:val="000000"/>
                <w:sz w:val="20"/>
                <w:szCs w:val="20"/>
              </w:rPr>
            </w:pPr>
            <w:r w:rsidRPr="00B84547">
              <w:rPr>
                <w:rFonts w:ascii="Arial" w:hAnsi="Arial" w:cs="Arial"/>
                <w:b/>
                <w:color w:val="000000"/>
                <w:sz w:val="20"/>
                <w:szCs w:val="20"/>
              </w:rPr>
              <w:t>Year</w:t>
            </w:r>
          </w:p>
        </w:tc>
        <w:tc>
          <w:tcPr>
            <w:tcW w:w="8614" w:type="dxa"/>
            <w:gridSpan w:val="9"/>
          </w:tcPr>
          <w:p w:rsidR="00B84547" w:rsidRPr="00B84547" w:rsidRDefault="00B84547" w:rsidP="00A03C46">
            <w:pPr>
              <w:pStyle w:val="NormalWeb"/>
              <w:spacing w:before="0" w:beforeAutospacing="0" w:after="0" w:afterAutospacing="0" w:line="276" w:lineRule="auto"/>
              <w:jc w:val="center"/>
              <w:rPr>
                <w:rFonts w:ascii="Arial" w:hAnsi="Arial" w:cs="Arial"/>
                <w:b/>
                <w:color w:val="000000"/>
                <w:sz w:val="20"/>
                <w:szCs w:val="20"/>
              </w:rPr>
            </w:pPr>
            <w:r w:rsidRPr="00B84547">
              <w:rPr>
                <w:rFonts w:ascii="Arial" w:hAnsi="Arial" w:cs="Arial"/>
                <w:b/>
                <w:color w:val="000000"/>
                <w:sz w:val="20"/>
                <w:szCs w:val="20"/>
              </w:rPr>
              <w:t>Total number of TOP’s performed in the last five years per province and National</w:t>
            </w:r>
          </w:p>
        </w:tc>
        <w:tc>
          <w:tcPr>
            <w:tcW w:w="1705" w:type="dxa"/>
          </w:tcPr>
          <w:p w:rsidR="00B84547" w:rsidRPr="00B84547" w:rsidRDefault="00B84547" w:rsidP="00A03C46">
            <w:pPr>
              <w:pStyle w:val="NormalWeb"/>
              <w:spacing w:before="0" w:beforeAutospacing="0" w:after="0" w:afterAutospacing="0" w:line="276" w:lineRule="auto"/>
              <w:jc w:val="center"/>
              <w:rPr>
                <w:rFonts w:ascii="Arial" w:hAnsi="Arial" w:cs="Arial"/>
                <w:b/>
                <w:color w:val="000000"/>
                <w:sz w:val="20"/>
                <w:szCs w:val="20"/>
              </w:rPr>
            </w:pPr>
          </w:p>
        </w:tc>
      </w:tr>
      <w:tr w:rsidR="00B84547" w:rsidRPr="00B84547" w:rsidTr="00B84547">
        <w:tc>
          <w:tcPr>
            <w:tcW w:w="223" w:type="dxa"/>
            <w:vMerge/>
            <w:tcBorders>
              <w:left w:val="nil"/>
            </w:tcBorders>
          </w:tcPr>
          <w:p w:rsidR="00B84547" w:rsidRPr="00B84547" w:rsidRDefault="00B84547" w:rsidP="00A03C46">
            <w:pPr>
              <w:pStyle w:val="NormalWeb"/>
              <w:spacing w:before="0" w:beforeAutospacing="0" w:after="0" w:afterAutospacing="0" w:line="276" w:lineRule="auto"/>
              <w:jc w:val="both"/>
              <w:rPr>
                <w:rFonts w:ascii="Arial" w:hAnsi="Arial" w:cs="Arial"/>
                <w:color w:val="000000"/>
                <w:sz w:val="20"/>
                <w:szCs w:val="20"/>
              </w:rPr>
            </w:pPr>
          </w:p>
        </w:tc>
        <w:tc>
          <w:tcPr>
            <w:tcW w:w="657" w:type="dxa"/>
            <w:vMerge/>
          </w:tcPr>
          <w:p w:rsidR="00B84547" w:rsidRPr="00B84547" w:rsidRDefault="00B84547" w:rsidP="00A03C46">
            <w:pPr>
              <w:pStyle w:val="NormalWeb"/>
              <w:spacing w:before="0" w:beforeAutospacing="0" w:after="0" w:afterAutospacing="0" w:line="276" w:lineRule="auto"/>
              <w:jc w:val="both"/>
              <w:rPr>
                <w:rFonts w:ascii="Arial" w:hAnsi="Arial" w:cs="Arial"/>
                <w:b/>
                <w:color w:val="000000"/>
                <w:sz w:val="20"/>
                <w:szCs w:val="20"/>
              </w:rPr>
            </w:pPr>
          </w:p>
        </w:tc>
        <w:tc>
          <w:tcPr>
            <w:tcW w:w="8614" w:type="dxa"/>
            <w:gridSpan w:val="9"/>
          </w:tcPr>
          <w:p w:rsidR="00B84547" w:rsidRPr="00B84547" w:rsidRDefault="00B84547" w:rsidP="00A03C46">
            <w:pPr>
              <w:pStyle w:val="NormalWeb"/>
              <w:spacing w:before="0" w:beforeAutospacing="0" w:after="0" w:afterAutospacing="0" w:line="276" w:lineRule="auto"/>
              <w:jc w:val="center"/>
              <w:rPr>
                <w:rFonts w:ascii="Arial" w:hAnsi="Arial" w:cs="Arial"/>
                <w:b/>
                <w:color w:val="000000"/>
                <w:sz w:val="20"/>
                <w:szCs w:val="20"/>
              </w:rPr>
            </w:pPr>
            <w:r w:rsidRPr="00B84547">
              <w:rPr>
                <w:rFonts w:ascii="Arial" w:hAnsi="Arial" w:cs="Arial"/>
                <w:b/>
                <w:color w:val="000000"/>
                <w:sz w:val="20"/>
                <w:szCs w:val="20"/>
              </w:rPr>
              <w:t>Province</w:t>
            </w:r>
          </w:p>
          <w:p w:rsidR="00B84547" w:rsidRPr="00B84547" w:rsidRDefault="00B84547" w:rsidP="00A03C46">
            <w:pPr>
              <w:pStyle w:val="NormalWeb"/>
              <w:spacing w:before="0" w:beforeAutospacing="0" w:after="0" w:afterAutospacing="0" w:line="276" w:lineRule="auto"/>
              <w:jc w:val="center"/>
              <w:rPr>
                <w:rFonts w:ascii="Arial" w:hAnsi="Arial" w:cs="Arial"/>
                <w:b/>
                <w:color w:val="000000"/>
                <w:sz w:val="20"/>
                <w:szCs w:val="20"/>
              </w:rPr>
            </w:pPr>
            <w:r w:rsidRPr="00B84547">
              <w:rPr>
                <w:rFonts w:ascii="Arial" w:hAnsi="Arial" w:cs="Arial"/>
                <w:b/>
                <w:color w:val="000000"/>
                <w:sz w:val="20"/>
                <w:szCs w:val="20"/>
              </w:rPr>
              <w:t>(i)</w:t>
            </w:r>
          </w:p>
        </w:tc>
        <w:tc>
          <w:tcPr>
            <w:tcW w:w="1705" w:type="dxa"/>
            <w:vMerge w:val="restart"/>
          </w:tcPr>
          <w:p w:rsidR="00B84547" w:rsidRPr="00B84547" w:rsidRDefault="00B84547" w:rsidP="00A03C46">
            <w:pPr>
              <w:pStyle w:val="NormalWeb"/>
              <w:spacing w:before="0" w:beforeAutospacing="0" w:after="0" w:afterAutospacing="0" w:line="276" w:lineRule="auto"/>
              <w:jc w:val="center"/>
              <w:rPr>
                <w:rFonts w:ascii="Arial" w:hAnsi="Arial" w:cs="Arial"/>
                <w:b/>
                <w:color w:val="000000"/>
                <w:sz w:val="20"/>
                <w:szCs w:val="20"/>
              </w:rPr>
            </w:pPr>
            <w:r w:rsidRPr="00B84547">
              <w:rPr>
                <w:rFonts w:ascii="Arial" w:hAnsi="Arial" w:cs="Arial"/>
                <w:b/>
                <w:color w:val="000000"/>
                <w:sz w:val="20"/>
                <w:szCs w:val="20"/>
              </w:rPr>
              <w:t>South Africa (National)</w:t>
            </w:r>
          </w:p>
          <w:p w:rsidR="00B84547" w:rsidRPr="00B84547" w:rsidRDefault="00B84547" w:rsidP="00A03C46">
            <w:pPr>
              <w:pStyle w:val="NormalWeb"/>
              <w:spacing w:before="0" w:beforeAutospacing="0" w:after="0" w:afterAutospacing="0" w:line="276" w:lineRule="auto"/>
              <w:jc w:val="center"/>
              <w:rPr>
                <w:rFonts w:ascii="Arial" w:hAnsi="Arial" w:cs="Arial"/>
                <w:b/>
                <w:color w:val="000000"/>
                <w:sz w:val="20"/>
                <w:szCs w:val="20"/>
              </w:rPr>
            </w:pPr>
            <w:r w:rsidRPr="00B84547">
              <w:rPr>
                <w:rFonts w:ascii="Arial" w:hAnsi="Arial" w:cs="Arial"/>
                <w:b/>
                <w:color w:val="000000"/>
                <w:sz w:val="20"/>
                <w:szCs w:val="20"/>
              </w:rPr>
              <w:t>(j)</w:t>
            </w:r>
          </w:p>
        </w:tc>
      </w:tr>
      <w:tr w:rsidR="00B84547" w:rsidRPr="00B84547" w:rsidTr="00B84547">
        <w:tc>
          <w:tcPr>
            <w:tcW w:w="223" w:type="dxa"/>
            <w:vMerge/>
            <w:tcBorders>
              <w:left w:val="nil"/>
            </w:tcBorders>
          </w:tcPr>
          <w:p w:rsidR="00B84547" w:rsidRPr="00B84547" w:rsidRDefault="00B84547" w:rsidP="00A03C46">
            <w:pPr>
              <w:pStyle w:val="NormalWeb"/>
              <w:spacing w:before="0" w:beforeAutospacing="0" w:after="0" w:afterAutospacing="0" w:line="276" w:lineRule="auto"/>
              <w:jc w:val="both"/>
              <w:rPr>
                <w:rFonts w:ascii="Arial" w:hAnsi="Arial" w:cs="Arial"/>
                <w:color w:val="000000"/>
                <w:sz w:val="20"/>
                <w:szCs w:val="20"/>
              </w:rPr>
            </w:pPr>
          </w:p>
        </w:tc>
        <w:tc>
          <w:tcPr>
            <w:tcW w:w="657" w:type="dxa"/>
            <w:vMerge/>
          </w:tcPr>
          <w:p w:rsidR="00B84547" w:rsidRPr="00B84547" w:rsidRDefault="00B84547" w:rsidP="00A03C46">
            <w:pPr>
              <w:pStyle w:val="NormalWeb"/>
              <w:spacing w:before="0" w:beforeAutospacing="0" w:after="0" w:afterAutospacing="0" w:line="276" w:lineRule="auto"/>
              <w:jc w:val="both"/>
              <w:rPr>
                <w:rFonts w:ascii="Arial" w:hAnsi="Arial" w:cs="Arial"/>
                <w:color w:val="000000"/>
                <w:sz w:val="20"/>
                <w:szCs w:val="20"/>
              </w:rPr>
            </w:pPr>
          </w:p>
        </w:tc>
        <w:tc>
          <w:tcPr>
            <w:tcW w:w="944" w:type="dxa"/>
          </w:tcPr>
          <w:p w:rsidR="00B84547" w:rsidRPr="00B84547" w:rsidRDefault="00B84547" w:rsidP="00A03C46">
            <w:pPr>
              <w:pStyle w:val="NormalWeb"/>
              <w:spacing w:before="0" w:beforeAutospacing="0" w:after="0" w:afterAutospacing="0" w:line="276" w:lineRule="auto"/>
              <w:jc w:val="center"/>
              <w:rPr>
                <w:rFonts w:ascii="Arial" w:hAnsi="Arial" w:cs="Arial"/>
                <w:b/>
                <w:color w:val="000000"/>
                <w:sz w:val="20"/>
                <w:szCs w:val="20"/>
              </w:rPr>
            </w:pPr>
            <w:r w:rsidRPr="00B84547">
              <w:rPr>
                <w:rFonts w:ascii="Arial" w:hAnsi="Arial" w:cs="Arial"/>
                <w:b/>
                <w:color w:val="000000"/>
                <w:sz w:val="20"/>
                <w:szCs w:val="20"/>
              </w:rPr>
              <w:t>Eastern Cape</w:t>
            </w:r>
          </w:p>
        </w:tc>
        <w:tc>
          <w:tcPr>
            <w:tcW w:w="713" w:type="dxa"/>
          </w:tcPr>
          <w:p w:rsidR="00B84547" w:rsidRPr="00B84547" w:rsidRDefault="00B84547" w:rsidP="00A03C46">
            <w:pPr>
              <w:pStyle w:val="NormalWeb"/>
              <w:spacing w:before="0" w:beforeAutospacing="0" w:after="0" w:afterAutospacing="0" w:line="276" w:lineRule="auto"/>
              <w:jc w:val="center"/>
              <w:rPr>
                <w:rFonts w:ascii="Arial" w:hAnsi="Arial" w:cs="Arial"/>
                <w:b/>
                <w:color w:val="000000"/>
                <w:sz w:val="20"/>
                <w:szCs w:val="20"/>
              </w:rPr>
            </w:pPr>
            <w:r w:rsidRPr="00B84547">
              <w:rPr>
                <w:rFonts w:ascii="Arial" w:hAnsi="Arial" w:cs="Arial"/>
                <w:b/>
                <w:color w:val="000000"/>
                <w:sz w:val="20"/>
                <w:szCs w:val="20"/>
              </w:rPr>
              <w:t>Free State</w:t>
            </w:r>
          </w:p>
        </w:tc>
        <w:tc>
          <w:tcPr>
            <w:tcW w:w="1021" w:type="dxa"/>
          </w:tcPr>
          <w:p w:rsidR="00B84547" w:rsidRPr="00B84547" w:rsidRDefault="00B84547" w:rsidP="00A03C46">
            <w:pPr>
              <w:pStyle w:val="NormalWeb"/>
              <w:spacing w:before="0" w:beforeAutospacing="0" w:after="0" w:afterAutospacing="0" w:line="276" w:lineRule="auto"/>
              <w:jc w:val="center"/>
              <w:rPr>
                <w:rFonts w:ascii="Arial" w:hAnsi="Arial" w:cs="Arial"/>
                <w:b/>
                <w:color w:val="000000"/>
                <w:sz w:val="20"/>
                <w:szCs w:val="20"/>
              </w:rPr>
            </w:pPr>
            <w:r w:rsidRPr="00B84547">
              <w:rPr>
                <w:rFonts w:ascii="Arial" w:hAnsi="Arial" w:cs="Arial"/>
                <w:b/>
                <w:color w:val="000000"/>
                <w:sz w:val="20"/>
                <w:szCs w:val="20"/>
              </w:rPr>
              <w:t>Gauteng</w:t>
            </w:r>
          </w:p>
        </w:tc>
        <w:tc>
          <w:tcPr>
            <w:tcW w:w="1108" w:type="dxa"/>
          </w:tcPr>
          <w:p w:rsidR="00B84547" w:rsidRPr="00B84547" w:rsidRDefault="00B84547" w:rsidP="00A03C46">
            <w:pPr>
              <w:pStyle w:val="NormalWeb"/>
              <w:spacing w:before="0" w:beforeAutospacing="0" w:after="0" w:afterAutospacing="0" w:line="276" w:lineRule="auto"/>
              <w:jc w:val="center"/>
              <w:rPr>
                <w:rFonts w:ascii="Arial" w:hAnsi="Arial" w:cs="Arial"/>
                <w:b/>
                <w:color w:val="000000"/>
                <w:sz w:val="20"/>
                <w:szCs w:val="20"/>
              </w:rPr>
            </w:pPr>
            <w:r w:rsidRPr="00B84547">
              <w:rPr>
                <w:rFonts w:ascii="Arial" w:hAnsi="Arial" w:cs="Arial"/>
                <w:b/>
                <w:color w:val="000000"/>
                <w:sz w:val="20"/>
                <w:szCs w:val="20"/>
              </w:rPr>
              <w:t>KwaZulu-Natal</w:t>
            </w:r>
          </w:p>
        </w:tc>
        <w:tc>
          <w:tcPr>
            <w:tcW w:w="1054" w:type="dxa"/>
          </w:tcPr>
          <w:p w:rsidR="00B84547" w:rsidRPr="00B84547" w:rsidRDefault="00B84547" w:rsidP="00A03C46">
            <w:pPr>
              <w:pStyle w:val="NormalWeb"/>
              <w:spacing w:before="0" w:beforeAutospacing="0" w:after="0" w:afterAutospacing="0" w:line="276" w:lineRule="auto"/>
              <w:jc w:val="center"/>
              <w:rPr>
                <w:rFonts w:ascii="Arial" w:hAnsi="Arial" w:cs="Arial"/>
                <w:b/>
                <w:color w:val="000000"/>
                <w:sz w:val="20"/>
                <w:szCs w:val="20"/>
              </w:rPr>
            </w:pPr>
            <w:r w:rsidRPr="00B84547">
              <w:rPr>
                <w:rFonts w:ascii="Arial" w:hAnsi="Arial" w:cs="Arial"/>
                <w:b/>
                <w:color w:val="000000"/>
                <w:sz w:val="20"/>
                <w:szCs w:val="20"/>
              </w:rPr>
              <w:t>Limpopo</w:t>
            </w:r>
          </w:p>
        </w:tc>
        <w:tc>
          <w:tcPr>
            <w:tcW w:w="976" w:type="dxa"/>
          </w:tcPr>
          <w:p w:rsidR="00B84547" w:rsidRPr="00B84547" w:rsidRDefault="00B84547" w:rsidP="00A03C46">
            <w:pPr>
              <w:pStyle w:val="NormalWeb"/>
              <w:spacing w:before="0" w:beforeAutospacing="0" w:after="0" w:afterAutospacing="0" w:line="276" w:lineRule="auto"/>
              <w:jc w:val="center"/>
              <w:rPr>
                <w:rFonts w:ascii="Arial" w:hAnsi="Arial" w:cs="Arial"/>
                <w:b/>
                <w:color w:val="000000"/>
                <w:sz w:val="20"/>
                <w:szCs w:val="20"/>
              </w:rPr>
            </w:pPr>
            <w:r w:rsidRPr="00B84547">
              <w:rPr>
                <w:rFonts w:ascii="Arial" w:hAnsi="Arial" w:cs="Arial"/>
                <w:b/>
                <w:color w:val="000000"/>
                <w:sz w:val="20"/>
                <w:szCs w:val="20"/>
              </w:rPr>
              <w:t>Mpuma-langa</w:t>
            </w:r>
          </w:p>
        </w:tc>
        <w:tc>
          <w:tcPr>
            <w:tcW w:w="1054" w:type="dxa"/>
          </w:tcPr>
          <w:p w:rsidR="00B84547" w:rsidRPr="00B84547" w:rsidRDefault="00B84547" w:rsidP="00A03C46">
            <w:pPr>
              <w:pStyle w:val="NormalWeb"/>
              <w:spacing w:before="0" w:beforeAutospacing="0" w:after="0" w:afterAutospacing="0" w:line="276" w:lineRule="auto"/>
              <w:jc w:val="center"/>
              <w:rPr>
                <w:rFonts w:ascii="Arial" w:hAnsi="Arial" w:cs="Arial"/>
                <w:b/>
                <w:color w:val="000000"/>
                <w:sz w:val="20"/>
                <w:szCs w:val="20"/>
              </w:rPr>
            </w:pPr>
            <w:r w:rsidRPr="00B84547">
              <w:rPr>
                <w:rFonts w:ascii="Arial" w:hAnsi="Arial" w:cs="Arial"/>
                <w:b/>
                <w:color w:val="000000"/>
                <w:sz w:val="20"/>
                <w:szCs w:val="20"/>
              </w:rPr>
              <w:t>Northern Cape</w:t>
            </w:r>
          </w:p>
        </w:tc>
        <w:tc>
          <w:tcPr>
            <w:tcW w:w="745" w:type="dxa"/>
          </w:tcPr>
          <w:p w:rsidR="00B84547" w:rsidRPr="00B84547" w:rsidRDefault="00B84547" w:rsidP="00A03C46">
            <w:pPr>
              <w:pStyle w:val="NormalWeb"/>
              <w:spacing w:before="0" w:beforeAutospacing="0" w:after="0" w:afterAutospacing="0" w:line="276" w:lineRule="auto"/>
              <w:jc w:val="center"/>
              <w:rPr>
                <w:rFonts w:ascii="Arial" w:hAnsi="Arial" w:cs="Arial"/>
                <w:b/>
                <w:color w:val="000000"/>
                <w:sz w:val="20"/>
                <w:szCs w:val="20"/>
              </w:rPr>
            </w:pPr>
            <w:r w:rsidRPr="00B84547">
              <w:rPr>
                <w:rFonts w:ascii="Arial" w:hAnsi="Arial" w:cs="Arial"/>
                <w:b/>
                <w:color w:val="000000"/>
                <w:sz w:val="20"/>
                <w:szCs w:val="20"/>
              </w:rPr>
              <w:t>North West</w:t>
            </w:r>
          </w:p>
        </w:tc>
        <w:tc>
          <w:tcPr>
            <w:tcW w:w="999" w:type="dxa"/>
          </w:tcPr>
          <w:p w:rsidR="00B84547" w:rsidRPr="00B84547" w:rsidRDefault="00B84547" w:rsidP="00A03C46">
            <w:pPr>
              <w:pStyle w:val="NormalWeb"/>
              <w:spacing w:before="0" w:beforeAutospacing="0" w:after="0" w:afterAutospacing="0" w:line="276" w:lineRule="auto"/>
              <w:jc w:val="center"/>
              <w:rPr>
                <w:rFonts w:ascii="Arial" w:hAnsi="Arial" w:cs="Arial"/>
                <w:b/>
                <w:color w:val="000000"/>
                <w:sz w:val="20"/>
                <w:szCs w:val="20"/>
              </w:rPr>
            </w:pPr>
            <w:r w:rsidRPr="00B84547">
              <w:rPr>
                <w:rFonts w:ascii="Arial" w:hAnsi="Arial" w:cs="Arial"/>
                <w:b/>
                <w:color w:val="000000"/>
                <w:sz w:val="20"/>
                <w:szCs w:val="20"/>
              </w:rPr>
              <w:t>Western Cape</w:t>
            </w:r>
          </w:p>
        </w:tc>
        <w:tc>
          <w:tcPr>
            <w:tcW w:w="1705" w:type="dxa"/>
            <w:vMerge/>
          </w:tcPr>
          <w:p w:rsidR="00B84547" w:rsidRPr="00B84547" w:rsidRDefault="00B84547" w:rsidP="00A03C46">
            <w:pPr>
              <w:pStyle w:val="NormalWeb"/>
              <w:spacing w:before="0" w:beforeAutospacing="0" w:after="0" w:afterAutospacing="0" w:line="276" w:lineRule="auto"/>
              <w:jc w:val="center"/>
              <w:rPr>
                <w:rFonts w:ascii="Arial" w:hAnsi="Arial" w:cs="Arial"/>
                <w:color w:val="000000"/>
                <w:sz w:val="20"/>
                <w:szCs w:val="20"/>
              </w:rPr>
            </w:pPr>
          </w:p>
        </w:tc>
      </w:tr>
      <w:tr w:rsidR="00B84547" w:rsidRPr="00B84547" w:rsidTr="00B84547">
        <w:trPr>
          <w:trHeight w:val="48"/>
        </w:trPr>
        <w:tc>
          <w:tcPr>
            <w:tcW w:w="223" w:type="dxa"/>
            <w:vMerge/>
            <w:tcBorders>
              <w:left w:val="nil"/>
            </w:tcBorders>
          </w:tcPr>
          <w:p w:rsidR="00B84547" w:rsidRPr="00B84547" w:rsidRDefault="00B84547" w:rsidP="00A03C46">
            <w:pPr>
              <w:pStyle w:val="NormalWeb"/>
              <w:spacing w:before="0" w:beforeAutospacing="0" w:after="0" w:afterAutospacing="0" w:line="276" w:lineRule="auto"/>
              <w:jc w:val="both"/>
              <w:rPr>
                <w:rFonts w:ascii="Arial" w:hAnsi="Arial" w:cs="Arial"/>
                <w:color w:val="000000"/>
                <w:sz w:val="20"/>
                <w:szCs w:val="20"/>
              </w:rPr>
            </w:pPr>
          </w:p>
        </w:tc>
        <w:tc>
          <w:tcPr>
            <w:tcW w:w="657" w:type="dxa"/>
          </w:tcPr>
          <w:p w:rsidR="00B84547" w:rsidRPr="00B84547" w:rsidRDefault="00B84547" w:rsidP="00A03C46">
            <w:pPr>
              <w:pStyle w:val="NormalWeb"/>
              <w:spacing w:before="0" w:beforeAutospacing="0" w:after="0" w:afterAutospacing="0" w:line="276" w:lineRule="auto"/>
              <w:jc w:val="both"/>
              <w:rPr>
                <w:rFonts w:ascii="Arial" w:hAnsi="Arial" w:cs="Arial"/>
                <w:color w:val="000000"/>
                <w:sz w:val="20"/>
                <w:szCs w:val="20"/>
              </w:rPr>
            </w:pPr>
            <w:r w:rsidRPr="00B84547">
              <w:rPr>
                <w:rFonts w:ascii="Arial" w:hAnsi="Arial" w:cs="Arial"/>
                <w:color w:val="000000"/>
                <w:sz w:val="20"/>
                <w:szCs w:val="20"/>
              </w:rPr>
              <w:t>2017</w:t>
            </w:r>
          </w:p>
        </w:tc>
        <w:tc>
          <w:tcPr>
            <w:tcW w:w="944"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9,905</w:t>
            </w:r>
          </w:p>
        </w:tc>
        <w:tc>
          <w:tcPr>
            <w:tcW w:w="713"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5,397</w:t>
            </w:r>
          </w:p>
        </w:tc>
        <w:tc>
          <w:tcPr>
            <w:tcW w:w="1021"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11,929</w:t>
            </w:r>
          </w:p>
        </w:tc>
        <w:tc>
          <w:tcPr>
            <w:tcW w:w="1108"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17,700</w:t>
            </w:r>
          </w:p>
        </w:tc>
        <w:tc>
          <w:tcPr>
            <w:tcW w:w="1054"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6,703</w:t>
            </w:r>
          </w:p>
        </w:tc>
        <w:tc>
          <w:tcPr>
            <w:tcW w:w="976"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3,080</w:t>
            </w:r>
          </w:p>
        </w:tc>
        <w:tc>
          <w:tcPr>
            <w:tcW w:w="1054"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1,149</w:t>
            </w:r>
          </w:p>
        </w:tc>
        <w:tc>
          <w:tcPr>
            <w:tcW w:w="745"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4,859</w:t>
            </w:r>
          </w:p>
        </w:tc>
        <w:tc>
          <w:tcPr>
            <w:tcW w:w="999"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15,415</w:t>
            </w:r>
          </w:p>
        </w:tc>
        <w:tc>
          <w:tcPr>
            <w:tcW w:w="1705"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76,137</w:t>
            </w:r>
          </w:p>
        </w:tc>
      </w:tr>
      <w:tr w:rsidR="00B84547" w:rsidRPr="00B84547" w:rsidTr="00B84547">
        <w:trPr>
          <w:trHeight w:val="48"/>
        </w:trPr>
        <w:tc>
          <w:tcPr>
            <w:tcW w:w="223" w:type="dxa"/>
            <w:vMerge/>
            <w:tcBorders>
              <w:left w:val="nil"/>
            </w:tcBorders>
          </w:tcPr>
          <w:p w:rsidR="00B84547" w:rsidRPr="00B84547" w:rsidRDefault="00B84547" w:rsidP="00A03C46">
            <w:pPr>
              <w:pStyle w:val="NormalWeb"/>
              <w:spacing w:before="0" w:beforeAutospacing="0" w:after="0" w:afterAutospacing="0" w:line="276" w:lineRule="auto"/>
              <w:jc w:val="both"/>
              <w:rPr>
                <w:rFonts w:ascii="Arial" w:hAnsi="Arial" w:cs="Arial"/>
                <w:color w:val="000000"/>
                <w:sz w:val="20"/>
                <w:szCs w:val="20"/>
              </w:rPr>
            </w:pPr>
          </w:p>
        </w:tc>
        <w:tc>
          <w:tcPr>
            <w:tcW w:w="657" w:type="dxa"/>
          </w:tcPr>
          <w:p w:rsidR="00B84547" w:rsidRPr="00B84547" w:rsidRDefault="00B84547" w:rsidP="00A03C46">
            <w:pPr>
              <w:pStyle w:val="NormalWeb"/>
              <w:spacing w:before="0" w:beforeAutospacing="0" w:after="0" w:afterAutospacing="0" w:line="276" w:lineRule="auto"/>
              <w:jc w:val="both"/>
              <w:rPr>
                <w:rFonts w:ascii="Arial" w:hAnsi="Arial" w:cs="Arial"/>
                <w:color w:val="000000"/>
                <w:sz w:val="20"/>
                <w:szCs w:val="20"/>
              </w:rPr>
            </w:pPr>
            <w:r w:rsidRPr="00B84547">
              <w:rPr>
                <w:rFonts w:ascii="Arial" w:hAnsi="Arial" w:cs="Arial"/>
                <w:color w:val="000000"/>
                <w:sz w:val="20"/>
                <w:szCs w:val="20"/>
              </w:rPr>
              <w:t>2018</w:t>
            </w:r>
          </w:p>
        </w:tc>
        <w:tc>
          <w:tcPr>
            <w:tcW w:w="944"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14,130</w:t>
            </w:r>
          </w:p>
        </w:tc>
        <w:tc>
          <w:tcPr>
            <w:tcW w:w="713"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7,404</w:t>
            </w:r>
          </w:p>
        </w:tc>
        <w:tc>
          <w:tcPr>
            <w:tcW w:w="1021"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18,827</w:t>
            </w:r>
          </w:p>
        </w:tc>
        <w:tc>
          <w:tcPr>
            <w:tcW w:w="1108"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27,032</w:t>
            </w:r>
          </w:p>
        </w:tc>
        <w:tc>
          <w:tcPr>
            <w:tcW w:w="1054"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11,297</w:t>
            </w:r>
          </w:p>
        </w:tc>
        <w:tc>
          <w:tcPr>
            <w:tcW w:w="976"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5,738</w:t>
            </w:r>
          </w:p>
        </w:tc>
        <w:tc>
          <w:tcPr>
            <w:tcW w:w="1054"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1,671</w:t>
            </w:r>
          </w:p>
        </w:tc>
        <w:tc>
          <w:tcPr>
            <w:tcW w:w="745"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7,840</w:t>
            </w:r>
          </w:p>
        </w:tc>
        <w:tc>
          <w:tcPr>
            <w:tcW w:w="999"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18,785</w:t>
            </w:r>
          </w:p>
        </w:tc>
        <w:tc>
          <w:tcPr>
            <w:tcW w:w="1705"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112,724</w:t>
            </w:r>
          </w:p>
        </w:tc>
      </w:tr>
      <w:tr w:rsidR="00B84547" w:rsidRPr="00B84547" w:rsidTr="00B84547">
        <w:trPr>
          <w:trHeight w:val="48"/>
        </w:trPr>
        <w:tc>
          <w:tcPr>
            <w:tcW w:w="223" w:type="dxa"/>
            <w:vMerge/>
            <w:tcBorders>
              <w:left w:val="nil"/>
            </w:tcBorders>
          </w:tcPr>
          <w:p w:rsidR="00B84547" w:rsidRPr="00B84547" w:rsidRDefault="00B84547" w:rsidP="00A03C46">
            <w:pPr>
              <w:pStyle w:val="NormalWeb"/>
              <w:spacing w:before="0" w:beforeAutospacing="0" w:after="0" w:afterAutospacing="0" w:line="276" w:lineRule="auto"/>
              <w:jc w:val="both"/>
              <w:rPr>
                <w:rFonts w:ascii="Arial" w:hAnsi="Arial" w:cs="Arial"/>
                <w:color w:val="000000"/>
                <w:sz w:val="20"/>
                <w:szCs w:val="20"/>
              </w:rPr>
            </w:pPr>
          </w:p>
        </w:tc>
        <w:tc>
          <w:tcPr>
            <w:tcW w:w="657" w:type="dxa"/>
          </w:tcPr>
          <w:p w:rsidR="00B84547" w:rsidRPr="00B84547" w:rsidRDefault="00B84547" w:rsidP="00A03C46">
            <w:pPr>
              <w:pStyle w:val="NormalWeb"/>
              <w:spacing w:before="0" w:beforeAutospacing="0" w:after="0" w:afterAutospacing="0" w:line="276" w:lineRule="auto"/>
              <w:jc w:val="both"/>
              <w:rPr>
                <w:rFonts w:ascii="Arial" w:hAnsi="Arial" w:cs="Arial"/>
                <w:color w:val="000000"/>
                <w:sz w:val="20"/>
                <w:szCs w:val="20"/>
              </w:rPr>
            </w:pPr>
            <w:r w:rsidRPr="00B84547">
              <w:rPr>
                <w:rFonts w:ascii="Arial" w:hAnsi="Arial" w:cs="Arial"/>
                <w:color w:val="000000"/>
                <w:sz w:val="20"/>
                <w:szCs w:val="20"/>
              </w:rPr>
              <w:t>2019</w:t>
            </w:r>
          </w:p>
        </w:tc>
        <w:tc>
          <w:tcPr>
            <w:tcW w:w="944"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13,342</w:t>
            </w:r>
          </w:p>
        </w:tc>
        <w:tc>
          <w:tcPr>
            <w:tcW w:w="713"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7,666</w:t>
            </w:r>
          </w:p>
        </w:tc>
        <w:tc>
          <w:tcPr>
            <w:tcW w:w="1021"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19,881</w:t>
            </w:r>
          </w:p>
        </w:tc>
        <w:tc>
          <w:tcPr>
            <w:tcW w:w="1108"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28,344</w:t>
            </w:r>
          </w:p>
        </w:tc>
        <w:tc>
          <w:tcPr>
            <w:tcW w:w="1054"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14,323</w:t>
            </w:r>
          </w:p>
        </w:tc>
        <w:tc>
          <w:tcPr>
            <w:tcW w:w="976"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7,584</w:t>
            </w:r>
          </w:p>
        </w:tc>
        <w:tc>
          <w:tcPr>
            <w:tcW w:w="1054"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1,533</w:t>
            </w:r>
          </w:p>
        </w:tc>
        <w:tc>
          <w:tcPr>
            <w:tcW w:w="745"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9,557</w:t>
            </w:r>
          </w:p>
        </w:tc>
        <w:tc>
          <w:tcPr>
            <w:tcW w:w="999"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18,831</w:t>
            </w:r>
          </w:p>
        </w:tc>
        <w:tc>
          <w:tcPr>
            <w:tcW w:w="1705"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121,061</w:t>
            </w:r>
          </w:p>
        </w:tc>
      </w:tr>
      <w:tr w:rsidR="00B84547" w:rsidRPr="00B84547" w:rsidTr="00B84547">
        <w:trPr>
          <w:trHeight w:val="48"/>
        </w:trPr>
        <w:tc>
          <w:tcPr>
            <w:tcW w:w="223" w:type="dxa"/>
            <w:vMerge/>
            <w:tcBorders>
              <w:left w:val="nil"/>
            </w:tcBorders>
          </w:tcPr>
          <w:p w:rsidR="00B84547" w:rsidRPr="00B84547" w:rsidRDefault="00B84547" w:rsidP="00A03C46">
            <w:pPr>
              <w:pStyle w:val="NormalWeb"/>
              <w:spacing w:before="0" w:beforeAutospacing="0" w:after="0" w:afterAutospacing="0" w:line="276" w:lineRule="auto"/>
              <w:jc w:val="both"/>
              <w:rPr>
                <w:rFonts w:ascii="Arial" w:hAnsi="Arial" w:cs="Arial"/>
                <w:color w:val="000000"/>
                <w:sz w:val="20"/>
                <w:szCs w:val="20"/>
              </w:rPr>
            </w:pPr>
          </w:p>
        </w:tc>
        <w:tc>
          <w:tcPr>
            <w:tcW w:w="657" w:type="dxa"/>
          </w:tcPr>
          <w:p w:rsidR="00B84547" w:rsidRPr="00B84547" w:rsidRDefault="00B84547" w:rsidP="00A03C46">
            <w:pPr>
              <w:pStyle w:val="NormalWeb"/>
              <w:spacing w:before="0" w:beforeAutospacing="0" w:after="0" w:afterAutospacing="0" w:line="276" w:lineRule="auto"/>
              <w:jc w:val="both"/>
              <w:rPr>
                <w:rFonts w:ascii="Arial" w:hAnsi="Arial" w:cs="Arial"/>
                <w:color w:val="000000"/>
                <w:sz w:val="20"/>
                <w:szCs w:val="20"/>
              </w:rPr>
            </w:pPr>
            <w:r w:rsidRPr="00B84547">
              <w:rPr>
                <w:rFonts w:ascii="Arial" w:hAnsi="Arial" w:cs="Arial"/>
                <w:color w:val="000000"/>
                <w:sz w:val="20"/>
                <w:szCs w:val="20"/>
              </w:rPr>
              <w:t>2020</w:t>
            </w:r>
          </w:p>
        </w:tc>
        <w:tc>
          <w:tcPr>
            <w:tcW w:w="944"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10,922</w:t>
            </w:r>
          </w:p>
        </w:tc>
        <w:tc>
          <w:tcPr>
            <w:tcW w:w="713"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7,242</w:t>
            </w:r>
          </w:p>
        </w:tc>
        <w:tc>
          <w:tcPr>
            <w:tcW w:w="1021"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23,338</w:t>
            </w:r>
          </w:p>
        </w:tc>
        <w:tc>
          <w:tcPr>
            <w:tcW w:w="1108"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22,399</w:t>
            </w:r>
          </w:p>
        </w:tc>
        <w:tc>
          <w:tcPr>
            <w:tcW w:w="1054"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14,494</w:t>
            </w:r>
          </w:p>
        </w:tc>
        <w:tc>
          <w:tcPr>
            <w:tcW w:w="976"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4,449</w:t>
            </w:r>
          </w:p>
        </w:tc>
        <w:tc>
          <w:tcPr>
            <w:tcW w:w="1054"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1,337</w:t>
            </w:r>
          </w:p>
        </w:tc>
        <w:tc>
          <w:tcPr>
            <w:tcW w:w="745"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8,325</w:t>
            </w:r>
          </w:p>
        </w:tc>
        <w:tc>
          <w:tcPr>
            <w:tcW w:w="999"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17,209</w:t>
            </w:r>
          </w:p>
        </w:tc>
        <w:tc>
          <w:tcPr>
            <w:tcW w:w="1705"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109,715</w:t>
            </w:r>
          </w:p>
        </w:tc>
      </w:tr>
      <w:tr w:rsidR="00B84547" w:rsidRPr="00B84547" w:rsidTr="00B84547">
        <w:trPr>
          <w:trHeight w:val="48"/>
        </w:trPr>
        <w:tc>
          <w:tcPr>
            <w:tcW w:w="223" w:type="dxa"/>
            <w:vMerge/>
            <w:tcBorders>
              <w:left w:val="nil"/>
              <w:bottom w:val="nil"/>
            </w:tcBorders>
          </w:tcPr>
          <w:p w:rsidR="00B84547" w:rsidRPr="00B84547" w:rsidRDefault="00B84547" w:rsidP="00A03C46">
            <w:pPr>
              <w:pStyle w:val="NormalWeb"/>
              <w:spacing w:before="0" w:beforeAutospacing="0" w:after="0" w:afterAutospacing="0" w:line="276" w:lineRule="auto"/>
              <w:jc w:val="both"/>
              <w:rPr>
                <w:rFonts w:ascii="Arial" w:hAnsi="Arial" w:cs="Arial"/>
                <w:color w:val="000000"/>
                <w:sz w:val="20"/>
                <w:szCs w:val="20"/>
              </w:rPr>
            </w:pPr>
          </w:p>
        </w:tc>
        <w:tc>
          <w:tcPr>
            <w:tcW w:w="657" w:type="dxa"/>
          </w:tcPr>
          <w:p w:rsidR="00B84547" w:rsidRPr="00B84547" w:rsidRDefault="00B84547" w:rsidP="00A03C46">
            <w:pPr>
              <w:pStyle w:val="NormalWeb"/>
              <w:spacing w:before="0" w:beforeAutospacing="0" w:after="0" w:afterAutospacing="0" w:line="276" w:lineRule="auto"/>
              <w:jc w:val="both"/>
              <w:rPr>
                <w:rFonts w:ascii="Arial" w:hAnsi="Arial" w:cs="Arial"/>
                <w:color w:val="000000"/>
                <w:sz w:val="20"/>
                <w:szCs w:val="20"/>
              </w:rPr>
            </w:pPr>
            <w:r w:rsidRPr="00B84547">
              <w:rPr>
                <w:rFonts w:ascii="Arial" w:hAnsi="Arial" w:cs="Arial"/>
                <w:color w:val="000000"/>
                <w:sz w:val="20"/>
                <w:szCs w:val="20"/>
              </w:rPr>
              <w:t>2021</w:t>
            </w:r>
          </w:p>
        </w:tc>
        <w:tc>
          <w:tcPr>
            <w:tcW w:w="944"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12,118</w:t>
            </w:r>
          </w:p>
        </w:tc>
        <w:tc>
          <w:tcPr>
            <w:tcW w:w="713"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7,617</w:t>
            </w:r>
          </w:p>
        </w:tc>
        <w:tc>
          <w:tcPr>
            <w:tcW w:w="1021"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25,827</w:t>
            </w:r>
          </w:p>
        </w:tc>
        <w:tc>
          <w:tcPr>
            <w:tcW w:w="1108"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23,688</w:t>
            </w:r>
          </w:p>
        </w:tc>
        <w:tc>
          <w:tcPr>
            <w:tcW w:w="1054"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13,828</w:t>
            </w:r>
          </w:p>
        </w:tc>
        <w:tc>
          <w:tcPr>
            <w:tcW w:w="976"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5,014</w:t>
            </w:r>
          </w:p>
        </w:tc>
        <w:tc>
          <w:tcPr>
            <w:tcW w:w="1054"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1,705</w:t>
            </w:r>
          </w:p>
        </w:tc>
        <w:tc>
          <w:tcPr>
            <w:tcW w:w="745"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9,002</w:t>
            </w:r>
          </w:p>
        </w:tc>
        <w:tc>
          <w:tcPr>
            <w:tcW w:w="999"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16,129</w:t>
            </w:r>
          </w:p>
        </w:tc>
        <w:tc>
          <w:tcPr>
            <w:tcW w:w="1705" w:type="dxa"/>
          </w:tcPr>
          <w:p w:rsidR="00B84547" w:rsidRPr="00B84547" w:rsidRDefault="00B84547" w:rsidP="00A03C46">
            <w:pPr>
              <w:pStyle w:val="NormalWeb"/>
              <w:spacing w:before="0" w:beforeAutospacing="0" w:after="0" w:afterAutospacing="0" w:line="276" w:lineRule="auto"/>
              <w:jc w:val="right"/>
              <w:rPr>
                <w:rFonts w:ascii="Arial" w:hAnsi="Arial" w:cs="Arial"/>
                <w:color w:val="000000"/>
                <w:sz w:val="20"/>
                <w:szCs w:val="20"/>
              </w:rPr>
            </w:pPr>
            <w:r w:rsidRPr="00B84547">
              <w:rPr>
                <w:rFonts w:ascii="Arial" w:hAnsi="Arial" w:cs="Arial"/>
                <w:color w:val="000000"/>
                <w:sz w:val="20"/>
                <w:szCs w:val="20"/>
              </w:rPr>
              <w:t>114,928</w:t>
            </w:r>
          </w:p>
        </w:tc>
      </w:tr>
      <w:tr w:rsidR="00B84547" w:rsidRPr="00B84547" w:rsidTr="00B84547">
        <w:trPr>
          <w:trHeight w:val="48"/>
        </w:trPr>
        <w:tc>
          <w:tcPr>
            <w:tcW w:w="11199" w:type="dxa"/>
            <w:gridSpan w:val="12"/>
            <w:tcBorders>
              <w:left w:val="nil"/>
              <w:bottom w:val="nil"/>
            </w:tcBorders>
          </w:tcPr>
          <w:p w:rsidR="00B84547" w:rsidRPr="00B84547" w:rsidRDefault="00B84547" w:rsidP="00A03C46">
            <w:pPr>
              <w:pStyle w:val="NormalWeb"/>
              <w:spacing w:before="0" w:beforeAutospacing="0" w:after="0" w:afterAutospacing="0" w:line="276" w:lineRule="auto"/>
              <w:rPr>
                <w:rFonts w:ascii="Arial" w:hAnsi="Arial" w:cs="Arial"/>
                <w:color w:val="000000"/>
                <w:sz w:val="20"/>
                <w:szCs w:val="20"/>
              </w:rPr>
            </w:pPr>
            <w:r w:rsidRPr="00B84547">
              <w:rPr>
                <w:rFonts w:ascii="Arial" w:hAnsi="Arial" w:cs="Arial"/>
                <w:color w:val="000000"/>
                <w:sz w:val="20"/>
                <w:szCs w:val="20"/>
              </w:rPr>
              <w:t xml:space="preserve">Source DHIS </w:t>
            </w:r>
          </w:p>
        </w:tc>
      </w:tr>
    </w:tbl>
    <w:p w:rsidR="00B84547" w:rsidRDefault="00B84547" w:rsidP="006174EE">
      <w:pPr>
        <w:rPr>
          <w:sz w:val="24"/>
          <w:lang w:val="en-US"/>
        </w:rPr>
      </w:pPr>
    </w:p>
    <w:p w:rsidR="006174EE" w:rsidRPr="00E9479A" w:rsidRDefault="006174EE" w:rsidP="006174EE">
      <w:pPr>
        <w:rPr>
          <w:b/>
          <w:bCs/>
          <w:sz w:val="24"/>
          <w:u w:val="single"/>
          <w:lang w:val="en-US"/>
        </w:rPr>
      </w:pPr>
      <w:r>
        <w:rPr>
          <w:sz w:val="24"/>
          <w:lang w:val="en-US"/>
        </w:rPr>
        <w:t>END.</w:t>
      </w:r>
      <w:bookmarkStart w:id="0" w:name="_GoBack"/>
      <w:bookmarkEnd w:id="0"/>
    </w:p>
    <w:sectPr w:rsidR="006174EE" w:rsidRPr="00E9479A" w:rsidSect="00EB6D6D">
      <w:footerReference w:type="even" r:id="rId8"/>
      <w:footerReference w:type="default" r:id="rId9"/>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7EE" w:rsidRDefault="005F67EE">
      <w:r>
        <w:separator/>
      </w:r>
    </w:p>
  </w:endnote>
  <w:endnote w:type="continuationSeparator" w:id="0">
    <w:p w:rsidR="005F67EE" w:rsidRDefault="005F6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6665"/>
      <w:docPartObj>
        <w:docPartGallery w:val="Page Numbers (Bottom of Page)"/>
        <w:docPartUnique/>
      </w:docPartObj>
    </w:sdtPr>
    <w:sdtContent>
      <w:p w:rsidR="00B84547" w:rsidRDefault="007B00EC">
        <w:pPr>
          <w:pStyle w:val="Footer"/>
          <w:jc w:val="right"/>
        </w:pPr>
        <w:r>
          <w:fldChar w:fldCharType="begin"/>
        </w:r>
        <w:r w:rsidR="00B84547">
          <w:instrText xml:space="preserve"> PAGE   \* MERGEFORMAT </w:instrText>
        </w:r>
        <w:r>
          <w:fldChar w:fldCharType="separate"/>
        </w:r>
        <w:r w:rsidR="005F67EE">
          <w:rPr>
            <w:noProof/>
          </w:rPr>
          <w:t>1</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B00E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B00E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F0C0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7EE" w:rsidRDefault="005F67EE">
      <w:r>
        <w:separator/>
      </w:r>
    </w:p>
  </w:footnote>
  <w:footnote w:type="continuationSeparator" w:id="0">
    <w:p w:rsidR="005F67EE" w:rsidRDefault="005F6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5A1D"/>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5F67EE"/>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00EC"/>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547"/>
    <w:rsid w:val="00B84CFA"/>
    <w:rsid w:val="00B85B77"/>
    <w:rsid w:val="00B87D92"/>
    <w:rsid w:val="00B9163D"/>
    <w:rsid w:val="00BA0BA9"/>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4C2F"/>
    <w:rsid w:val="00E85240"/>
    <w:rsid w:val="00E9479A"/>
    <w:rsid w:val="00E975CB"/>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2022-06-21T09:16:00Z</dcterms:created>
  <dcterms:modified xsi:type="dcterms:W3CDTF">2022-06-21T09:16:00Z</dcterms:modified>
</cp:coreProperties>
</file>