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1D3C87" w:rsidRDefault="00C80EF5" w:rsidP="00FB4659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hyperlink r:id="rId8" w:history="1">
        <w:r w:rsidR="00DA4793" w:rsidRPr="00C641E3">
          <w:rPr>
            <w:rStyle w:val="Hyperlink"/>
            <w:rFonts w:ascii="Arial" w:eastAsia="Times New Roman" w:hAnsi="Arial" w:cs="Arial"/>
            <w:snapToGrid w:val="0"/>
            <w:sz w:val="36"/>
            <w:szCs w:val="36"/>
            <w:lang w:val="en-GB"/>
          </w:rPr>
          <w:t>JessicaL@dsd.gov.za</w:t>
        </w:r>
      </w:hyperlink>
    </w:p>
    <w:p w:rsidR="00F067DA" w:rsidRPr="001D3C87" w:rsidRDefault="00CC0DE5" w:rsidP="00FB4659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 xml:space="preserve">Cell </w:t>
      </w:r>
      <w:r w:rsidR="00DA4793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>082 657 3825</w:t>
      </w:r>
    </w:p>
    <w:p w:rsidR="00D33C41" w:rsidRPr="001D3C87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D33C41" w:rsidRPr="001D3C87" w:rsidRDefault="00D33C41" w:rsidP="00FB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ab/>
        <w:t>Memorandum from the Parliamentary Office</w:t>
      </w:r>
    </w:p>
    <w:p w:rsidR="00D33C41" w:rsidRPr="001D3C87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Minister </w:t>
      </w:r>
    </w:p>
    <w:p w:rsidR="00DA4793" w:rsidRPr="0099694C" w:rsidRDefault="00DA4793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5E496D" w:rsidRPr="0099694C" w:rsidRDefault="005E496D" w:rsidP="005E496D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</w:t>
      </w:r>
      <w:r w:rsidR="000157B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20</w:t>
      </w:r>
      <w:r w:rsidR="00011FB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88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04 SEPTEMBER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3</w:t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OF 2020</w:t>
      </w:r>
    </w:p>
    <w:p w:rsidR="00193B0E" w:rsidRPr="0099694C" w:rsidRDefault="005E496D" w:rsidP="005E496D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0157B8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20</w:t>
      </w:r>
      <w:r w:rsidR="00011FBE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88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F21478" w:rsidRDefault="0080284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DDG Community Development </w:t>
      </w:r>
    </w:p>
    <w:p w:rsidR="004410C7" w:rsidRDefault="004410C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410C7" w:rsidRDefault="004410C7" w:rsidP="004410C7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4410C7" w:rsidRDefault="004410C7" w:rsidP="004410C7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BB0CE2" w:rsidRPr="0099694C" w:rsidRDefault="00BB0CE2" w:rsidP="00BB0CE2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</w:t>
      </w:r>
      <w:r w:rsidR="00011FB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2088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04 SEPTEMBER 2020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35 OF 2020</w:t>
      </w:r>
    </w:p>
    <w:p w:rsidR="00DB32F0" w:rsidRPr="0099694C" w:rsidRDefault="00BB0CE2" w:rsidP="00BB0CE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: 20</w:t>
      </w:r>
      <w:r w:rsidR="00011FBE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88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BD3C49" w:rsidRDefault="00BD3C49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DB32F0" w:rsidRPr="0099694C" w:rsidRDefault="00DB32F0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4410C7" w:rsidRDefault="004410C7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A11A40" w:rsidRDefault="00A11A40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410C7" w:rsidRPr="0099694C" w:rsidRDefault="004410C7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5E496D" w:rsidRPr="0099694C" w:rsidRDefault="005E496D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DB32F0" w:rsidRPr="0099694C" w:rsidRDefault="00DB32F0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DB32F0" w:rsidRPr="0099694C" w:rsidRDefault="00F21478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Mr L Mchunu</w:t>
      </w:r>
    </w:p>
    <w:p w:rsidR="00F21478" w:rsidRDefault="00F21478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Acting Director-General</w:t>
      </w:r>
    </w:p>
    <w:p w:rsidR="00F21478" w:rsidRPr="0099694C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F21478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F21478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F21478" w:rsidRPr="0099694C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F21478" w:rsidRPr="0099694C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F21478" w:rsidRPr="0099694C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F21478" w:rsidRPr="0099694C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Ms H Bogopane- Zulu </w:t>
      </w:r>
    </w:p>
    <w:p w:rsidR="00CC32BE" w:rsidRPr="0099694C" w:rsidRDefault="00F21478" w:rsidP="00F21478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Deputy Minister</w:t>
      </w:r>
      <w:r w:rsidR="00DB32F0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br w:type="page"/>
      </w:r>
      <w:r w:rsidR="00CC32BE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20</w:t>
      </w:r>
      <w:r w:rsidR="00011FB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88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04 SEPTEMBER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BD3C4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3C4B11" w:rsidRDefault="003C4B11" w:rsidP="00011FB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</w:p>
    <w:p w:rsidR="00011FBE" w:rsidRPr="00011FBE" w:rsidRDefault="00011FBE" w:rsidP="00011FB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011FBE">
        <w:rPr>
          <w:rFonts w:ascii="Arial" w:hAnsi="Arial" w:cs="Arial"/>
          <w:b/>
          <w:sz w:val="40"/>
          <w:szCs w:val="40"/>
        </w:rPr>
        <w:t>2088.</w:t>
      </w:r>
      <w:r w:rsidRPr="00011FBE">
        <w:rPr>
          <w:rFonts w:ascii="Arial" w:hAnsi="Arial" w:cs="Arial"/>
          <w:b/>
          <w:sz w:val="40"/>
          <w:szCs w:val="40"/>
        </w:rPr>
        <w:tab/>
        <w:t>Ms B S Masango (DA) to ask the Minister of Social Development</w:t>
      </w:r>
      <w:r w:rsidR="00C80EF5" w:rsidRPr="00011FBE">
        <w:rPr>
          <w:rFonts w:ascii="Arial" w:hAnsi="Arial" w:cs="Arial"/>
          <w:b/>
          <w:sz w:val="40"/>
          <w:szCs w:val="40"/>
        </w:rPr>
        <w:fldChar w:fldCharType="begin"/>
      </w:r>
      <w:r w:rsidRPr="00011FBE">
        <w:rPr>
          <w:rFonts w:ascii="Arial" w:hAnsi="Arial" w:cs="Arial"/>
          <w:sz w:val="40"/>
          <w:szCs w:val="40"/>
        </w:rPr>
        <w:instrText xml:space="preserve"> XE "</w:instrText>
      </w:r>
      <w:r w:rsidRPr="00011FBE">
        <w:rPr>
          <w:rFonts w:ascii="Arial" w:hAnsi="Arial" w:cs="Arial"/>
          <w:b/>
          <w:sz w:val="40"/>
          <w:szCs w:val="40"/>
        </w:rPr>
        <w:instrText>Social Development</w:instrText>
      </w:r>
      <w:r w:rsidRPr="00011FBE">
        <w:rPr>
          <w:rFonts w:ascii="Arial" w:hAnsi="Arial" w:cs="Arial"/>
          <w:sz w:val="40"/>
          <w:szCs w:val="40"/>
        </w:rPr>
        <w:instrText xml:space="preserve">" </w:instrText>
      </w:r>
      <w:r w:rsidR="00C80EF5" w:rsidRPr="00011FBE">
        <w:rPr>
          <w:rFonts w:ascii="Arial" w:hAnsi="Arial" w:cs="Arial"/>
          <w:b/>
          <w:sz w:val="40"/>
          <w:szCs w:val="40"/>
        </w:rPr>
        <w:fldChar w:fldCharType="end"/>
      </w:r>
      <w:r w:rsidRPr="00011FBE">
        <w:rPr>
          <w:rFonts w:ascii="Arial" w:hAnsi="Arial" w:cs="Arial"/>
          <w:b/>
          <w:sz w:val="40"/>
          <w:szCs w:val="40"/>
        </w:rPr>
        <w:t>:</w:t>
      </w:r>
    </w:p>
    <w:p w:rsidR="00011FBE" w:rsidRPr="00011FBE" w:rsidRDefault="00011FBE" w:rsidP="00011FBE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0"/>
          <w:szCs w:val="40"/>
        </w:rPr>
      </w:pPr>
      <w:r w:rsidRPr="00011FBE">
        <w:rPr>
          <w:rFonts w:ascii="Arial" w:hAnsi="Arial" w:cs="Arial"/>
          <w:sz w:val="40"/>
          <w:szCs w:val="40"/>
        </w:rPr>
        <w:t>Whether she has been informed of reports regarding (a) nonpayments, (b) budget cuts and/or (c) payment delays to (i) old age and (ii) children’s homes of over three months before and/or during the lockdown to curb the spread of the coronavirus; if not, what is the current status of the specified payments nationally; if so,</w:t>
      </w:r>
      <w:r>
        <w:rPr>
          <w:rFonts w:ascii="Arial" w:hAnsi="Arial" w:cs="Arial"/>
          <w:sz w:val="40"/>
          <w:szCs w:val="40"/>
        </w:rPr>
        <w:t xml:space="preserve"> what are the reasons?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011FBE">
        <w:rPr>
          <w:rFonts w:ascii="Arial" w:hAnsi="Arial" w:cs="Arial"/>
          <w:sz w:val="40"/>
          <w:szCs w:val="40"/>
        </w:rPr>
        <w:t>NW2648E</w:t>
      </w:r>
    </w:p>
    <w:p w:rsidR="003C4B11" w:rsidRDefault="003C4B11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3C4B11" w:rsidRDefault="003C4B11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Pr="0099694C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>REPLY:</w:t>
      </w:r>
    </w:p>
    <w:p w:rsidR="003E069B" w:rsidRDefault="003E069B" w:rsidP="00D750AE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Yes, upon </w:t>
      </w:r>
      <w:r w:rsidR="004A749C">
        <w:rPr>
          <w:rFonts w:ascii="Arial" w:hAnsi="Arial" w:cs="Arial"/>
          <w:sz w:val="40"/>
          <w:szCs w:val="40"/>
        </w:rPr>
        <w:t xml:space="preserve">learning of the </w:t>
      </w:r>
      <w:r>
        <w:rPr>
          <w:rFonts w:ascii="Arial" w:hAnsi="Arial" w:cs="Arial"/>
          <w:sz w:val="40"/>
          <w:szCs w:val="40"/>
        </w:rPr>
        <w:t xml:space="preserve">non-payments. I requested all MEC’s furnish me with </w:t>
      </w:r>
      <w:r w:rsidR="002821BB">
        <w:rPr>
          <w:rFonts w:ascii="Arial" w:hAnsi="Arial" w:cs="Arial"/>
          <w:sz w:val="40"/>
          <w:szCs w:val="40"/>
        </w:rPr>
        <w:t xml:space="preserve">the </w:t>
      </w:r>
      <w:r>
        <w:rPr>
          <w:rFonts w:ascii="Arial" w:hAnsi="Arial" w:cs="Arial"/>
          <w:sz w:val="40"/>
          <w:szCs w:val="40"/>
        </w:rPr>
        <w:t>update</w:t>
      </w:r>
      <w:r w:rsidR="002821BB">
        <w:rPr>
          <w:rFonts w:ascii="Arial" w:hAnsi="Arial" w:cs="Arial"/>
          <w:sz w:val="40"/>
          <w:szCs w:val="40"/>
        </w:rPr>
        <w:t>d report from all provinces</w:t>
      </w:r>
      <w:r>
        <w:rPr>
          <w:rFonts w:ascii="Arial" w:hAnsi="Arial" w:cs="Arial"/>
          <w:sz w:val="40"/>
          <w:szCs w:val="40"/>
        </w:rPr>
        <w:t>.</w:t>
      </w:r>
    </w:p>
    <w:p w:rsidR="002821BB" w:rsidRDefault="008D58E6" w:rsidP="00D750AE">
      <w:pPr>
        <w:spacing w:before="100" w:beforeAutospacing="1" w:after="100" w:afterAutospacing="1"/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802842">
        <w:rPr>
          <w:rFonts w:ascii="Arial" w:hAnsi="Arial" w:cs="Arial"/>
          <w:sz w:val="40"/>
          <w:szCs w:val="40"/>
        </w:rPr>
        <w:t xml:space="preserve">The non-payments were experienced in the </w:t>
      </w:r>
      <w:r w:rsidR="0088069C" w:rsidRPr="00802842">
        <w:rPr>
          <w:rFonts w:ascii="Arial" w:hAnsi="Arial" w:cs="Arial"/>
          <w:sz w:val="40"/>
          <w:szCs w:val="40"/>
        </w:rPr>
        <w:t>Eastern Capeand North West Provinces.</w:t>
      </w:r>
    </w:p>
    <w:p w:rsidR="00D750AE" w:rsidRDefault="002821BB" w:rsidP="00D750AE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Reasons given are as follows</w:t>
      </w:r>
      <w:r w:rsidR="00D750AE">
        <w:rPr>
          <w:rFonts w:ascii="Arial" w:hAnsi="Arial" w:cs="Arial"/>
          <w:sz w:val="40"/>
          <w:szCs w:val="40"/>
        </w:rPr>
        <w:t xml:space="preserve">: </w:t>
      </w:r>
    </w:p>
    <w:p w:rsidR="00D750AE" w:rsidRDefault="00E81DA4" w:rsidP="00D750AE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D750AE">
        <w:rPr>
          <w:rFonts w:ascii="Arial" w:hAnsi="Arial" w:cs="Arial"/>
          <w:sz w:val="40"/>
          <w:szCs w:val="40"/>
        </w:rPr>
        <w:t xml:space="preserve">Eastern Cape Province </w:t>
      </w:r>
      <w:r w:rsidR="00D750AE">
        <w:rPr>
          <w:rFonts w:ascii="Arial" w:hAnsi="Arial" w:cs="Arial"/>
          <w:sz w:val="40"/>
          <w:szCs w:val="40"/>
        </w:rPr>
        <w:t xml:space="preserve">non-payments </w:t>
      </w:r>
      <w:r w:rsidR="0088069C" w:rsidRPr="00D750AE">
        <w:rPr>
          <w:rFonts w:ascii="Arial" w:hAnsi="Arial" w:cs="Arial"/>
          <w:sz w:val="40"/>
          <w:szCs w:val="40"/>
        </w:rPr>
        <w:t xml:space="preserve">were </w:t>
      </w:r>
      <w:r w:rsidRPr="00D750AE">
        <w:rPr>
          <w:rFonts w:ascii="Arial" w:hAnsi="Arial" w:cs="Arial"/>
          <w:sz w:val="40"/>
          <w:szCs w:val="40"/>
        </w:rPr>
        <w:t>due to lockd</w:t>
      </w:r>
      <w:r w:rsidR="00D750AE">
        <w:rPr>
          <w:rFonts w:ascii="Arial" w:hAnsi="Arial" w:cs="Arial"/>
          <w:sz w:val="40"/>
          <w:szCs w:val="40"/>
        </w:rPr>
        <w:t xml:space="preserve">own and other factors including </w:t>
      </w:r>
      <w:r w:rsidRPr="00D750AE">
        <w:rPr>
          <w:rFonts w:ascii="Arial" w:hAnsi="Arial" w:cs="Arial"/>
          <w:sz w:val="40"/>
          <w:szCs w:val="40"/>
        </w:rPr>
        <w:t>six month</w:t>
      </w:r>
      <w:r w:rsidR="00765475" w:rsidRPr="00D750AE">
        <w:rPr>
          <w:rFonts w:ascii="Arial" w:hAnsi="Arial" w:cs="Arial"/>
          <w:sz w:val="40"/>
          <w:szCs w:val="40"/>
        </w:rPr>
        <w:t>s</w:t>
      </w:r>
      <w:r w:rsidR="008D58E6" w:rsidRPr="00D750AE">
        <w:rPr>
          <w:rFonts w:ascii="Arial" w:hAnsi="Arial" w:cs="Arial"/>
          <w:sz w:val="40"/>
          <w:szCs w:val="40"/>
        </w:rPr>
        <w:t xml:space="preserve"> strike of Social Work Managers</w:t>
      </w:r>
      <w:r w:rsidRPr="00D750AE">
        <w:rPr>
          <w:rFonts w:ascii="Arial" w:hAnsi="Arial" w:cs="Arial"/>
          <w:sz w:val="40"/>
          <w:szCs w:val="40"/>
        </w:rPr>
        <w:t>who are responsible for various programmes</w:t>
      </w:r>
      <w:r w:rsidR="00057BE6" w:rsidRPr="00D750AE">
        <w:rPr>
          <w:rFonts w:ascii="Arial" w:hAnsi="Arial" w:cs="Arial"/>
          <w:sz w:val="40"/>
          <w:szCs w:val="40"/>
        </w:rPr>
        <w:t>.</w:t>
      </w:r>
      <w:r w:rsidR="0061676D" w:rsidRPr="00D750AE">
        <w:rPr>
          <w:rFonts w:ascii="Arial" w:hAnsi="Arial" w:cs="Arial"/>
          <w:sz w:val="40"/>
          <w:szCs w:val="40"/>
        </w:rPr>
        <w:t xml:space="preserve"> This created a void resultin</w:t>
      </w:r>
      <w:r w:rsidR="00802842" w:rsidRPr="00D750AE">
        <w:rPr>
          <w:rFonts w:ascii="Arial" w:hAnsi="Arial" w:cs="Arial"/>
          <w:sz w:val="40"/>
          <w:szCs w:val="40"/>
        </w:rPr>
        <w:t>g in non-payments and</w:t>
      </w:r>
      <w:r w:rsidR="0061676D" w:rsidRPr="00D750AE">
        <w:rPr>
          <w:rFonts w:ascii="Arial" w:hAnsi="Arial" w:cs="Arial"/>
          <w:sz w:val="40"/>
          <w:szCs w:val="40"/>
        </w:rPr>
        <w:t xml:space="preserve"> delays in the </w:t>
      </w:r>
      <w:r w:rsidR="00802842" w:rsidRPr="00D750AE">
        <w:rPr>
          <w:rFonts w:ascii="Arial" w:hAnsi="Arial" w:cs="Arial"/>
          <w:sz w:val="40"/>
          <w:szCs w:val="40"/>
        </w:rPr>
        <w:t>entire process as the</w:t>
      </w:r>
      <w:r w:rsidR="0061676D" w:rsidRPr="00D750AE">
        <w:rPr>
          <w:rFonts w:ascii="Arial" w:hAnsi="Arial" w:cs="Arial"/>
          <w:sz w:val="40"/>
          <w:szCs w:val="40"/>
        </w:rPr>
        <w:t xml:space="preserve"> finalization of the </w:t>
      </w:r>
      <w:r w:rsidRPr="00D750AE">
        <w:rPr>
          <w:rFonts w:ascii="Arial" w:hAnsi="Arial" w:cs="Arial"/>
          <w:sz w:val="40"/>
          <w:szCs w:val="40"/>
        </w:rPr>
        <w:t>master-li</w:t>
      </w:r>
      <w:r w:rsidR="005F7EFA" w:rsidRPr="00D750AE">
        <w:rPr>
          <w:rFonts w:ascii="Arial" w:hAnsi="Arial" w:cs="Arial"/>
          <w:sz w:val="40"/>
          <w:szCs w:val="40"/>
        </w:rPr>
        <w:t xml:space="preserve">sts </w:t>
      </w:r>
      <w:r w:rsidR="00802842" w:rsidRPr="00D750AE">
        <w:rPr>
          <w:rFonts w:ascii="Arial" w:hAnsi="Arial" w:cs="Arial"/>
          <w:sz w:val="40"/>
          <w:szCs w:val="40"/>
        </w:rPr>
        <w:t xml:space="preserve">took longer </w:t>
      </w:r>
      <w:r w:rsidR="0061676D" w:rsidRPr="00D750AE">
        <w:rPr>
          <w:rFonts w:ascii="Arial" w:hAnsi="Arial" w:cs="Arial"/>
          <w:sz w:val="40"/>
          <w:szCs w:val="40"/>
        </w:rPr>
        <w:t xml:space="preserve">and the verification of the information which was also </w:t>
      </w:r>
      <w:r w:rsidRPr="00D750AE">
        <w:rPr>
          <w:rFonts w:ascii="Arial" w:hAnsi="Arial" w:cs="Arial"/>
          <w:sz w:val="40"/>
          <w:szCs w:val="40"/>
        </w:rPr>
        <w:t xml:space="preserve">rejected by the </w:t>
      </w:r>
      <w:r w:rsidR="0061676D" w:rsidRPr="00D750AE">
        <w:rPr>
          <w:rFonts w:ascii="Arial" w:hAnsi="Arial" w:cs="Arial"/>
          <w:sz w:val="40"/>
          <w:szCs w:val="40"/>
        </w:rPr>
        <w:t xml:space="preserve">IT payment </w:t>
      </w:r>
      <w:r w:rsidRPr="00D750AE">
        <w:rPr>
          <w:rFonts w:ascii="Arial" w:hAnsi="Arial" w:cs="Arial"/>
          <w:sz w:val="40"/>
          <w:szCs w:val="40"/>
        </w:rPr>
        <w:t>system causing errors.</w:t>
      </w:r>
      <w:r w:rsidR="003931D0" w:rsidRPr="00D750AE">
        <w:rPr>
          <w:rFonts w:ascii="Arial" w:hAnsi="Arial" w:cs="Arial"/>
          <w:sz w:val="40"/>
          <w:szCs w:val="40"/>
        </w:rPr>
        <w:t xml:space="preserve">The Province is </w:t>
      </w:r>
      <w:r w:rsidR="00057BE6" w:rsidRPr="00D750AE">
        <w:rPr>
          <w:rFonts w:ascii="Arial" w:hAnsi="Arial" w:cs="Arial"/>
          <w:sz w:val="40"/>
          <w:szCs w:val="40"/>
        </w:rPr>
        <w:t xml:space="preserve">also </w:t>
      </w:r>
      <w:r w:rsidR="003931D0" w:rsidRPr="00D750AE">
        <w:rPr>
          <w:rFonts w:ascii="Arial" w:hAnsi="Arial" w:cs="Arial"/>
          <w:sz w:val="40"/>
          <w:szCs w:val="40"/>
        </w:rPr>
        <w:t>experiencing challenges with o</w:t>
      </w:r>
      <w:r w:rsidR="005F1E37" w:rsidRPr="00D750AE">
        <w:rPr>
          <w:rFonts w:ascii="Arial" w:hAnsi="Arial" w:cs="Arial"/>
          <w:sz w:val="40"/>
          <w:szCs w:val="40"/>
        </w:rPr>
        <w:t xml:space="preserve">ffice accommodation </w:t>
      </w:r>
      <w:r w:rsidR="003931D0" w:rsidRPr="00D750AE">
        <w:rPr>
          <w:rFonts w:ascii="Arial" w:hAnsi="Arial" w:cs="Arial"/>
          <w:sz w:val="40"/>
          <w:szCs w:val="40"/>
        </w:rPr>
        <w:t xml:space="preserve">as the building is not safe for occupation </w:t>
      </w:r>
      <w:r w:rsidR="00057BE6" w:rsidRPr="00D750AE">
        <w:rPr>
          <w:rFonts w:ascii="Arial" w:hAnsi="Arial" w:cs="Arial"/>
          <w:sz w:val="40"/>
          <w:szCs w:val="40"/>
        </w:rPr>
        <w:t>an</w:t>
      </w:r>
      <w:r w:rsidR="0061676D" w:rsidRPr="00D750AE">
        <w:rPr>
          <w:rFonts w:ascii="Arial" w:hAnsi="Arial" w:cs="Arial"/>
          <w:sz w:val="40"/>
          <w:szCs w:val="40"/>
        </w:rPr>
        <w:t>d this was</w:t>
      </w:r>
      <w:r w:rsidR="005F1E37" w:rsidRPr="00D750AE">
        <w:rPr>
          <w:rFonts w:ascii="Arial" w:hAnsi="Arial" w:cs="Arial"/>
          <w:sz w:val="40"/>
          <w:szCs w:val="40"/>
        </w:rPr>
        <w:t xml:space="preserve">coupled </w:t>
      </w:r>
      <w:r w:rsidR="005F1E37" w:rsidRPr="00D750AE">
        <w:rPr>
          <w:rFonts w:ascii="Arial" w:hAnsi="Arial" w:cs="Arial"/>
          <w:sz w:val="40"/>
          <w:szCs w:val="40"/>
        </w:rPr>
        <w:lastRenderedPageBreak/>
        <w:t xml:space="preserve">with the closure of offices due to </w:t>
      </w:r>
      <w:r w:rsidR="00057BE6" w:rsidRPr="00D750AE">
        <w:rPr>
          <w:rFonts w:ascii="Arial" w:hAnsi="Arial" w:cs="Arial"/>
          <w:sz w:val="40"/>
          <w:szCs w:val="40"/>
        </w:rPr>
        <w:t xml:space="preserve">covid-19 </w:t>
      </w:r>
      <w:r w:rsidR="005F1E37" w:rsidRPr="00D750AE">
        <w:rPr>
          <w:rFonts w:ascii="Arial" w:hAnsi="Arial" w:cs="Arial"/>
          <w:sz w:val="40"/>
          <w:szCs w:val="40"/>
        </w:rPr>
        <w:t>positive cases.</w:t>
      </w:r>
    </w:p>
    <w:p w:rsidR="00D750AE" w:rsidRPr="00D750AE" w:rsidRDefault="00D750AE" w:rsidP="00D750AE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40"/>
          <w:szCs w:val="40"/>
        </w:rPr>
      </w:pPr>
    </w:p>
    <w:p w:rsidR="002074D9" w:rsidRPr="00D750AE" w:rsidRDefault="00D750AE" w:rsidP="00D750AE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North Westdelays were due to </w:t>
      </w:r>
      <w:r w:rsidR="008B7547" w:rsidRPr="00D750AE">
        <w:rPr>
          <w:rFonts w:ascii="Arial" w:hAnsi="Arial" w:cs="Arial"/>
          <w:sz w:val="40"/>
          <w:szCs w:val="40"/>
        </w:rPr>
        <w:t xml:space="preserve">the </w:t>
      </w:r>
      <w:r w:rsidR="00057BE6" w:rsidRPr="00D750AE">
        <w:rPr>
          <w:rFonts w:ascii="Arial" w:hAnsi="Arial" w:cs="Arial"/>
          <w:sz w:val="40"/>
          <w:szCs w:val="40"/>
        </w:rPr>
        <w:t xml:space="preserve">migration from BAS system to LOGIS </w:t>
      </w:r>
      <w:r>
        <w:rPr>
          <w:rFonts w:ascii="Arial" w:hAnsi="Arial" w:cs="Arial"/>
          <w:sz w:val="40"/>
          <w:szCs w:val="40"/>
        </w:rPr>
        <w:t xml:space="preserve">which </w:t>
      </w:r>
      <w:r w:rsidR="00730EB4">
        <w:rPr>
          <w:rFonts w:ascii="Arial" w:hAnsi="Arial" w:cs="Arial"/>
          <w:sz w:val="40"/>
          <w:szCs w:val="40"/>
        </w:rPr>
        <w:t>delayed the payments</w:t>
      </w:r>
      <w:r w:rsidR="008B7547" w:rsidRPr="00D750AE">
        <w:rPr>
          <w:rFonts w:ascii="Arial" w:hAnsi="Arial" w:cs="Arial"/>
          <w:sz w:val="40"/>
          <w:szCs w:val="40"/>
        </w:rPr>
        <w:t>as NPOs were required</w:t>
      </w:r>
      <w:r w:rsidR="00057BE6" w:rsidRPr="00D750AE">
        <w:rPr>
          <w:rFonts w:ascii="Arial" w:hAnsi="Arial" w:cs="Arial"/>
          <w:sz w:val="40"/>
          <w:szCs w:val="40"/>
        </w:rPr>
        <w:t xml:space="preserve"> to register on the Central Supplier Database.</w:t>
      </w:r>
    </w:p>
    <w:p w:rsidR="003B2389" w:rsidRDefault="003B2389" w:rsidP="003B2389">
      <w:pPr>
        <w:pStyle w:val="ListParagraph"/>
        <w:spacing w:before="100" w:beforeAutospacing="1" w:after="100" w:afterAutospacing="1"/>
        <w:ind w:left="1200"/>
        <w:jc w:val="both"/>
        <w:rPr>
          <w:rFonts w:ascii="Arial" w:hAnsi="Arial" w:cs="Arial"/>
          <w:sz w:val="40"/>
          <w:szCs w:val="40"/>
        </w:rPr>
      </w:pPr>
    </w:p>
    <w:p w:rsidR="00E81DA4" w:rsidRPr="005F7EFA" w:rsidRDefault="00802842" w:rsidP="009C5608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There were no </w:t>
      </w:r>
      <w:r w:rsidR="00220A7E" w:rsidRPr="005F7EFA">
        <w:rPr>
          <w:rFonts w:ascii="Arial" w:hAnsi="Arial" w:cs="Arial"/>
          <w:sz w:val="40"/>
          <w:szCs w:val="40"/>
        </w:rPr>
        <w:t xml:space="preserve">budget cuts to (i) old age and (ii) children’s homes of over three months during the lockdown as </w:t>
      </w:r>
      <w:r w:rsidR="00FC65E6" w:rsidRPr="005F7EFA">
        <w:rPr>
          <w:rFonts w:ascii="Arial" w:hAnsi="Arial" w:cs="Arial"/>
          <w:sz w:val="40"/>
          <w:szCs w:val="40"/>
        </w:rPr>
        <w:t xml:space="preserve">residential care facilities are </w:t>
      </w:r>
      <w:r w:rsidR="00220A7E" w:rsidRPr="005F7EFA">
        <w:rPr>
          <w:rFonts w:ascii="Arial" w:hAnsi="Arial" w:cs="Arial"/>
          <w:sz w:val="40"/>
          <w:szCs w:val="40"/>
        </w:rPr>
        <w:t>prioritised</w:t>
      </w:r>
      <w:r w:rsidR="00FC65E6" w:rsidRPr="005F7EFA">
        <w:rPr>
          <w:rFonts w:ascii="Arial" w:hAnsi="Arial" w:cs="Arial"/>
          <w:sz w:val="40"/>
          <w:szCs w:val="40"/>
        </w:rPr>
        <w:t xml:space="preserve"> for </w:t>
      </w:r>
      <w:r w:rsidR="00765475" w:rsidRPr="005F7EFA">
        <w:rPr>
          <w:rFonts w:ascii="Arial" w:hAnsi="Arial" w:cs="Arial"/>
          <w:sz w:val="40"/>
          <w:szCs w:val="40"/>
        </w:rPr>
        <w:t xml:space="preserve">full </w:t>
      </w:r>
      <w:r w:rsidR="00FC65E6" w:rsidRPr="005F7EFA">
        <w:rPr>
          <w:rFonts w:ascii="Arial" w:hAnsi="Arial" w:cs="Arial"/>
          <w:sz w:val="40"/>
          <w:szCs w:val="40"/>
        </w:rPr>
        <w:t xml:space="preserve">subsidy payments. </w:t>
      </w:r>
      <w:r w:rsidR="00E81DA4" w:rsidRPr="005F7EFA">
        <w:rPr>
          <w:rFonts w:ascii="Arial" w:hAnsi="Arial" w:cs="Arial"/>
          <w:sz w:val="40"/>
          <w:szCs w:val="40"/>
        </w:rPr>
        <w:t>The budget cut</w:t>
      </w:r>
      <w:r w:rsidR="005F1E37" w:rsidRPr="005F7EFA">
        <w:rPr>
          <w:rFonts w:ascii="Arial" w:hAnsi="Arial" w:cs="Arial"/>
          <w:sz w:val="40"/>
          <w:szCs w:val="40"/>
        </w:rPr>
        <w:t xml:space="preserve">swere applied to </w:t>
      </w:r>
      <w:r w:rsidR="00FC65E6" w:rsidRPr="005F7EFA">
        <w:rPr>
          <w:rFonts w:ascii="Arial" w:hAnsi="Arial" w:cs="Arial"/>
          <w:sz w:val="40"/>
          <w:szCs w:val="40"/>
        </w:rPr>
        <w:t xml:space="preserve">other </w:t>
      </w:r>
      <w:r w:rsidR="005F1E37" w:rsidRPr="005F7EFA">
        <w:rPr>
          <w:rFonts w:ascii="Arial" w:hAnsi="Arial" w:cs="Arial"/>
          <w:sz w:val="40"/>
          <w:szCs w:val="40"/>
        </w:rPr>
        <w:t>programmes that were not fully operational during the lockdown period</w:t>
      </w:r>
      <w:r w:rsidR="004D1EA6">
        <w:rPr>
          <w:rFonts w:ascii="Arial" w:hAnsi="Arial" w:cs="Arial"/>
          <w:sz w:val="40"/>
          <w:szCs w:val="40"/>
        </w:rPr>
        <w:t xml:space="preserve">. </w:t>
      </w:r>
      <w:r>
        <w:rPr>
          <w:rFonts w:ascii="Arial" w:hAnsi="Arial" w:cs="Arial"/>
          <w:sz w:val="40"/>
          <w:szCs w:val="40"/>
        </w:rPr>
        <w:t>These</w:t>
      </w:r>
      <w:r w:rsidR="004D1EA6">
        <w:rPr>
          <w:rFonts w:ascii="Arial" w:hAnsi="Arial" w:cs="Arial"/>
          <w:sz w:val="40"/>
          <w:szCs w:val="40"/>
        </w:rPr>
        <w:t xml:space="preserve"> NPOs </w:t>
      </w:r>
      <w:r>
        <w:rPr>
          <w:rFonts w:ascii="Arial" w:hAnsi="Arial" w:cs="Arial"/>
          <w:sz w:val="40"/>
          <w:szCs w:val="40"/>
        </w:rPr>
        <w:t xml:space="preserve">that were </w:t>
      </w:r>
      <w:r w:rsidR="004D1EA6">
        <w:rPr>
          <w:rFonts w:ascii="Arial" w:hAnsi="Arial" w:cs="Arial"/>
          <w:sz w:val="40"/>
          <w:szCs w:val="40"/>
        </w:rPr>
        <w:t xml:space="preserve">not funded fully, they were paidfor personnel and operational costs. </w:t>
      </w:r>
      <w:r w:rsidR="00765475" w:rsidRPr="005F7EFA">
        <w:rPr>
          <w:rFonts w:ascii="Arial" w:hAnsi="Arial" w:cs="Arial"/>
          <w:sz w:val="40"/>
          <w:szCs w:val="40"/>
        </w:rPr>
        <w:t xml:space="preserve">Also, budget cuts for other programmes </w:t>
      </w:r>
      <w:r w:rsidR="005F1E37" w:rsidRPr="005F7EFA">
        <w:rPr>
          <w:rFonts w:ascii="Arial" w:hAnsi="Arial" w:cs="Arial"/>
          <w:sz w:val="40"/>
          <w:szCs w:val="40"/>
        </w:rPr>
        <w:t xml:space="preserve">were as a result of </w:t>
      </w:r>
      <w:r w:rsidR="00765475" w:rsidRPr="005F7EFA">
        <w:rPr>
          <w:rFonts w:ascii="Arial" w:hAnsi="Arial" w:cs="Arial"/>
          <w:sz w:val="40"/>
          <w:szCs w:val="40"/>
        </w:rPr>
        <w:t xml:space="preserve">a call from the Provincial Treasuries for the Departments to cut </w:t>
      </w:r>
      <w:r w:rsidR="005F1E37" w:rsidRPr="005F7EFA">
        <w:rPr>
          <w:rFonts w:ascii="Arial" w:hAnsi="Arial" w:cs="Arial"/>
          <w:sz w:val="40"/>
          <w:szCs w:val="40"/>
        </w:rPr>
        <w:t>budget</w:t>
      </w:r>
      <w:r w:rsidR="00765475" w:rsidRPr="005F7EFA">
        <w:rPr>
          <w:rFonts w:ascii="Arial" w:hAnsi="Arial" w:cs="Arial"/>
          <w:sz w:val="40"/>
          <w:szCs w:val="40"/>
        </w:rPr>
        <w:t>s</w:t>
      </w:r>
      <w:r w:rsidR="009C5608" w:rsidRPr="005F7EFA">
        <w:rPr>
          <w:rFonts w:ascii="Arial" w:hAnsi="Arial" w:cs="Arial"/>
          <w:sz w:val="40"/>
          <w:szCs w:val="40"/>
        </w:rPr>
        <w:t>in res</w:t>
      </w:r>
      <w:r w:rsidR="00E8334A">
        <w:rPr>
          <w:rFonts w:ascii="Arial" w:hAnsi="Arial" w:cs="Arial"/>
          <w:sz w:val="40"/>
          <w:szCs w:val="40"/>
        </w:rPr>
        <w:t xml:space="preserve">ponse </w:t>
      </w:r>
      <w:r w:rsidR="009C5608" w:rsidRPr="005F7EFA">
        <w:rPr>
          <w:rFonts w:ascii="Arial" w:hAnsi="Arial" w:cs="Arial"/>
          <w:sz w:val="40"/>
          <w:szCs w:val="40"/>
        </w:rPr>
        <w:t>to the</w:t>
      </w:r>
      <w:r w:rsidR="00765475" w:rsidRPr="005F7EFA">
        <w:rPr>
          <w:rFonts w:ascii="Arial" w:hAnsi="Arial" w:cs="Arial"/>
          <w:sz w:val="40"/>
          <w:szCs w:val="40"/>
        </w:rPr>
        <w:t xml:space="preserve"> Covid-19 budget</w:t>
      </w:r>
      <w:r w:rsidR="00E8334A">
        <w:rPr>
          <w:rFonts w:ascii="Arial" w:hAnsi="Arial" w:cs="Arial"/>
          <w:sz w:val="40"/>
          <w:szCs w:val="40"/>
        </w:rPr>
        <w:t xml:space="preserve"> adjustment</w:t>
      </w:r>
      <w:r w:rsidR="004D1EA6">
        <w:rPr>
          <w:rFonts w:ascii="Arial" w:hAnsi="Arial" w:cs="Arial"/>
          <w:sz w:val="40"/>
          <w:szCs w:val="40"/>
        </w:rPr>
        <w:t xml:space="preserve">. </w:t>
      </w:r>
      <w:r w:rsidR="00765475" w:rsidRPr="005F7EFA">
        <w:rPr>
          <w:rFonts w:ascii="Arial" w:hAnsi="Arial" w:cs="Arial"/>
          <w:sz w:val="40"/>
          <w:szCs w:val="40"/>
        </w:rPr>
        <w:t xml:space="preserve">These </w:t>
      </w:r>
      <w:r w:rsidR="00765475" w:rsidRPr="005F7EFA">
        <w:rPr>
          <w:rFonts w:ascii="Arial" w:hAnsi="Arial" w:cs="Arial"/>
          <w:sz w:val="40"/>
          <w:szCs w:val="40"/>
        </w:rPr>
        <w:lastRenderedPageBreak/>
        <w:t>measures</w:t>
      </w:r>
      <w:r w:rsidR="00E81DA4" w:rsidRPr="005F7EFA">
        <w:rPr>
          <w:rFonts w:ascii="Arial" w:hAnsi="Arial" w:cs="Arial"/>
          <w:sz w:val="40"/>
          <w:szCs w:val="40"/>
        </w:rPr>
        <w:t xml:space="preserve"> impacted on the </w:t>
      </w:r>
      <w:r w:rsidR="00765475" w:rsidRPr="005F7EFA">
        <w:rPr>
          <w:rFonts w:ascii="Arial" w:hAnsi="Arial" w:cs="Arial"/>
          <w:sz w:val="40"/>
          <w:szCs w:val="40"/>
        </w:rPr>
        <w:t xml:space="preserve">allocations that were initially considered for the </w:t>
      </w:r>
      <w:r>
        <w:rPr>
          <w:rFonts w:ascii="Arial" w:hAnsi="Arial" w:cs="Arial"/>
          <w:sz w:val="40"/>
          <w:szCs w:val="40"/>
        </w:rPr>
        <w:t>NPOs</w:t>
      </w:r>
      <w:r w:rsidR="00765475" w:rsidRPr="005F7EFA">
        <w:rPr>
          <w:rFonts w:ascii="Arial" w:hAnsi="Arial" w:cs="Arial"/>
          <w:sz w:val="40"/>
          <w:szCs w:val="40"/>
        </w:rPr>
        <w:t xml:space="preserve"> as the available budget had to be reviewed</w:t>
      </w:r>
      <w:r w:rsidR="00E8334A">
        <w:rPr>
          <w:rFonts w:ascii="Arial" w:hAnsi="Arial" w:cs="Arial"/>
          <w:sz w:val="40"/>
          <w:szCs w:val="40"/>
        </w:rPr>
        <w:t xml:space="preserve"> and re-prioritised</w:t>
      </w:r>
      <w:r w:rsidR="00765475" w:rsidRPr="005F7EFA">
        <w:rPr>
          <w:rFonts w:ascii="Arial" w:hAnsi="Arial" w:cs="Arial"/>
          <w:sz w:val="40"/>
          <w:szCs w:val="40"/>
        </w:rPr>
        <w:t>.</w:t>
      </w:r>
    </w:p>
    <w:p w:rsidR="00E81DA4" w:rsidRDefault="00220A7E" w:rsidP="005F1E37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011FBE">
        <w:rPr>
          <w:rFonts w:ascii="Arial" w:hAnsi="Arial" w:cs="Arial"/>
          <w:sz w:val="40"/>
          <w:szCs w:val="40"/>
        </w:rPr>
        <w:t>payment delays to (i) old age and (ii) children’s homes of over three months during the lockdown</w:t>
      </w:r>
      <w:r>
        <w:rPr>
          <w:rFonts w:ascii="Arial" w:hAnsi="Arial" w:cs="Arial"/>
          <w:sz w:val="40"/>
          <w:szCs w:val="40"/>
        </w:rPr>
        <w:t xml:space="preserve"> were experienced in the Eastern Cape</w:t>
      </w:r>
      <w:r w:rsidR="00057BE6">
        <w:rPr>
          <w:rFonts w:ascii="Arial" w:hAnsi="Arial" w:cs="Arial"/>
          <w:sz w:val="40"/>
          <w:szCs w:val="40"/>
        </w:rPr>
        <w:t xml:space="preserve">, </w:t>
      </w:r>
      <w:r>
        <w:rPr>
          <w:rFonts w:ascii="Arial" w:hAnsi="Arial" w:cs="Arial"/>
          <w:sz w:val="40"/>
          <w:szCs w:val="40"/>
        </w:rPr>
        <w:t xml:space="preserve">due to reasons mentioned under (a) above and also </w:t>
      </w:r>
      <w:r w:rsidR="00E81DA4" w:rsidRPr="00A7467F">
        <w:rPr>
          <w:rFonts w:ascii="Arial" w:hAnsi="Arial" w:cs="Arial"/>
          <w:sz w:val="40"/>
          <w:szCs w:val="40"/>
        </w:rPr>
        <w:t xml:space="preserve">due to newly funded organisations that had to go through the </w:t>
      </w:r>
      <w:r>
        <w:rPr>
          <w:rFonts w:ascii="Arial" w:hAnsi="Arial" w:cs="Arial"/>
          <w:sz w:val="40"/>
          <w:szCs w:val="40"/>
        </w:rPr>
        <w:t>BAS</w:t>
      </w:r>
      <w:r w:rsidR="00E81DA4" w:rsidRPr="00A7467F">
        <w:rPr>
          <w:rFonts w:ascii="Arial" w:hAnsi="Arial" w:cs="Arial"/>
          <w:sz w:val="40"/>
          <w:szCs w:val="40"/>
        </w:rPr>
        <w:t xml:space="preserve"> registration process, and correct document</w:t>
      </w:r>
      <w:r w:rsidR="00FC65E6">
        <w:rPr>
          <w:rFonts w:ascii="Arial" w:hAnsi="Arial" w:cs="Arial"/>
          <w:sz w:val="40"/>
          <w:szCs w:val="40"/>
        </w:rPr>
        <w:t>s</w:t>
      </w:r>
      <w:r w:rsidR="00E81DA4" w:rsidRPr="00A7467F">
        <w:rPr>
          <w:rFonts w:ascii="Arial" w:hAnsi="Arial" w:cs="Arial"/>
          <w:sz w:val="40"/>
          <w:szCs w:val="40"/>
        </w:rPr>
        <w:t xml:space="preserve"> for this process could not be obtained from the NPOs</w:t>
      </w:r>
      <w:r>
        <w:rPr>
          <w:rFonts w:ascii="Arial" w:hAnsi="Arial" w:cs="Arial"/>
          <w:sz w:val="40"/>
          <w:szCs w:val="40"/>
        </w:rPr>
        <w:t xml:space="preserve"> due to lockdown. Document correction and verification took longer than anticipated due to lockdown restrictions which affected movement between the Department and NPOs. </w:t>
      </w:r>
      <w:r w:rsidR="005F1E37">
        <w:rPr>
          <w:rFonts w:ascii="Arial" w:hAnsi="Arial" w:cs="Arial"/>
          <w:sz w:val="40"/>
          <w:szCs w:val="40"/>
        </w:rPr>
        <w:t xml:space="preserve">For North West and Limpopo delays are due to migration from BAS payment system to LOGIS which requires registration on </w:t>
      </w:r>
      <w:r w:rsidR="00FC65E6">
        <w:rPr>
          <w:rFonts w:ascii="Arial" w:hAnsi="Arial" w:cs="Arial"/>
          <w:sz w:val="40"/>
          <w:szCs w:val="40"/>
        </w:rPr>
        <w:t xml:space="preserve">the </w:t>
      </w:r>
      <w:r w:rsidR="005F1E37">
        <w:rPr>
          <w:rFonts w:ascii="Arial" w:hAnsi="Arial" w:cs="Arial"/>
          <w:sz w:val="40"/>
          <w:szCs w:val="40"/>
        </w:rPr>
        <w:t>Central Supplier Database.</w:t>
      </w:r>
      <w:r w:rsidR="00057BE6">
        <w:rPr>
          <w:rFonts w:ascii="Arial" w:hAnsi="Arial" w:cs="Arial"/>
          <w:sz w:val="40"/>
          <w:szCs w:val="40"/>
        </w:rPr>
        <w:t xml:space="preserve"> Delays </w:t>
      </w:r>
      <w:r w:rsidR="00730EB4">
        <w:rPr>
          <w:rFonts w:ascii="Arial" w:hAnsi="Arial" w:cs="Arial"/>
          <w:sz w:val="40"/>
          <w:szCs w:val="40"/>
        </w:rPr>
        <w:t xml:space="preserve">in Free State, Gauteng and Mpumalanga </w:t>
      </w:r>
      <w:r w:rsidR="00057BE6">
        <w:rPr>
          <w:rFonts w:ascii="Arial" w:hAnsi="Arial" w:cs="Arial"/>
          <w:sz w:val="40"/>
          <w:szCs w:val="40"/>
        </w:rPr>
        <w:t xml:space="preserve">for </w:t>
      </w:r>
      <w:r w:rsidR="00057BE6">
        <w:rPr>
          <w:rFonts w:ascii="Arial" w:hAnsi="Arial" w:cs="Arial"/>
          <w:sz w:val="40"/>
          <w:szCs w:val="40"/>
        </w:rPr>
        <w:lastRenderedPageBreak/>
        <w:t>the second quarter payments were due to cov</w:t>
      </w:r>
      <w:r w:rsidR="00E8334A">
        <w:rPr>
          <w:rFonts w:ascii="Arial" w:hAnsi="Arial" w:cs="Arial"/>
          <w:sz w:val="40"/>
          <w:szCs w:val="40"/>
        </w:rPr>
        <w:t>i</w:t>
      </w:r>
      <w:r w:rsidR="00057BE6">
        <w:rPr>
          <w:rFonts w:ascii="Arial" w:hAnsi="Arial" w:cs="Arial"/>
          <w:sz w:val="40"/>
          <w:szCs w:val="40"/>
        </w:rPr>
        <w:t>d-19 positive cases resulting to office closures</w:t>
      </w:r>
      <w:r w:rsidR="00730EB4">
        <w:rPr>
          <w:rFonts w:ascii="Arial" w:hAnsi="Arial" w:cs="Arial"/>
          <w:sz w:val="40"/>
          <w:szCs w:val="40"/>
        </w:rPr>
        <w:t>, delayed signing of Service Level Agreements by the NPOs and non-compliant NPOs</w:t>
      </w:r>
      <w:r w:rsidR="00057BE6">
        <w:rPr>
          <w:rFonts w:ascii="Arial" w:hAnsi="Arial" w:cs="Arial"/>
          <w:sz w:val="40"/>
          <w:szCs w:val="40"/>
        </w:rPr>
        <w:t>.</w:t>
      </w:r>
    </w:p>
    <w:p w:rsidR="003C4B11" w:rsidRDefault="004160CE" w:rsidP="003C4B11">
      <w:pPr>
        <w:spacing w:before="100" w:beforeAutospacing="1" w:after="100" w:afterAutospacing="1"/>
        <w:ind w:left="1200"/>
        <w:jc w:val="both"/>
        <w:rPr>
          <w:rFonts w:ascii="Arial" w:hAnsi="Arial" w:cs="Arial"/>
          <w:sz w:val="40"/>
          <w:szCs w:val="40"/>
        </w:rPr>
      </w:pPr>
      <w:r w:rsidRPr="003C4B11">
        <w:rPr>
          <w:rFonts w:ascii="Arial" w:hAnsi="Arial" w:cs="Arial"/>
          <w:sz w:val="40"/>
          <w:szCs w:val="40"/>
        </w:rPr>
        <w:t xml:space="preserve">Measures to curb the spread of the virus were put in place </w:t>
      </w:r>
      <w:r w:rsidR="00802842">
        <w:rPr>
          <w:rFonts w:ascii="Arial" w:hAnsi="Arial" w:cs="Arial"/>
          <w:sz w:val="40"/>
          <w:szCs w:val="40"/>
        </w:rPr>
        <w:t xml:space="preserve">by the various provinces in </w:t>
      </w:r>
      <w:r w:rsidRPr="003C4B11">
        <w:rPr>
          <w:rFonts w:ascii="Arial" w:hAnsi="Arial" w:cs="Arial"/>
          <w:sz w:val="40"/>
          <w:szCs w:val="40"/>
        </w:rPr>
        <w:t>the reside</w:t>
      </w:r>
      <w:r w:rsidR="00A34BE5" w:rsidRPr="003C4B11">
        <w:rPr>
          <w:rFonts w:ascii="Arial" w:hAnsi="Arial" w:cs="Arial"/>
          <w:sz w:val="40"/>
          <w:szCs w:val="40"/>
        </w:rPr>
        <w:t xml:space="preserve">ntial care facilities, including adherence to the regulations issued by the National Department. </w:t>
      </w:r>
      <w:r w:rsidR="00DD6518">
        <w:rPr>
          <w:rFonts w:ascii="Arial" w:hAnsi="Arial" w:cs="Arial"/>
          <w:sz w:val="40"/>
          <w:szCs w:val="40"/>
        </w:rPr>
        <w:t xml:space="preserve">The </w:t>
      </w:r>
      <w:r w:rsidR="00DD6518" w:rsidRPr="00DD6518">
        <w:rPr>
          <w:rFonts w:ascii="Arial" w:hAnsi="Arial" w:cs="Arial"/>
          <w:sz w:val="40"/>
          <w:szCs w:val="40"/>
        </w:rPr>
        <w:t>gazetted regula</w:t>
      </w:r>
      <w:r w:rsidR="009C5608">
        <w:rPr>
          <w:rFonts w:ascii="Arial" w:hAnsi="Arial" w:cs="Arial"/>
          <w:sz w:val="40"/>
          <w:szCs w:val="40"/>
        </w:rPr>
        <w:t>tions on the management of Covid-</w:t>
      </w:r>
      <w:r w:rsidR="00DD6518" w:rsidRPr="00DD6518">
        <w:rPr>
          <w:rFonts w:ascii="Arial" w:hAnsi="Arial" w:cs="Arial"/>
          <w:sz w:val="40"/>
          <w:szCs w:val="40"/>
        </w:rPr>
        <w:t>19</w:t>
      </w:r>
      <w:r w:rsidR="00802842">
        <w:rPr>
          <w:rFonts w:ascii="Arial" w:hAnsi="Arial" w:cs="Arial"/>
          <w:sz w:val="40"/>
          <w:szCs w:val="40"/>
        </w:rPr>
        <w:t xml:space="preserve"> pandemic</w:t>
      </w:r>
      <w:r w:rsidR="00DD6518" w:rsidRPr="00DD6518">
        <w:rPr>
          <w:rFonts w:ascii="Arial" w:hAnsi="Arial" w:cs="Arial"/>
          <w:sz w:val="40"/>
          <w:szCs w:val="40"/>
        </w:rPr>
        <w:t xml:space="preserve"> were shared with NPO’s that manage residential </w:t>
      </w:r>
      <w:r w:rsidR="00DD6518">
        <w:rPr>
          <w:rFonts w:ascii="Arial" w:hAnsi="Arial" w:cs="Arial"/>
          <w:sz w:val="40"/>
          <w:szCs w:val="40"/>
        </w:rPr>
        <w:t xml:space="preserve">care </w:t>
      </w:r>
      <w:r w:rsidR="00DD6518" w:rsidRPr="00DD6518">
        <w:rPr>
          <w:rFonts w:ascii="Arial" w:hAnsi="Arial" w:cs="Arial"/>
          <w:sz w:val="40"/>
          <w:szCs w:val="40"/>
        </w:rPr>
        <w:t>facilities.</w:t>
      </w:r>
      <w:r w:rsidR="00A34BE5" w:rsidRPr="003C4B11">
        <w:rPr>
          <w:rFonts w:ascii="Arial" w:hAnsi="Arial" w:cs="Arial"/>
          <w:sz w:val="40"/>
          <w:szCs w:val="40"/>
        </w:rPr>
        <w:t xml:space="preserve">The facilities were encouraged to observe Covid-19 protocols </w:t>
      </w:r>
      <w:r w:rsidR="003C4B11">
        <w:rPr>
          <w:rFonts w:ascii="Arial" w:hAnsi="Arial" w:cs="Arial"/>
          <w:sz w:val="40"/>
          <w:szCs w:val="40"/>
        </w:rPr>
        <w:t xml:space="preserve">such as </w:t>
      </w:r>
      <w:r w:rsidR="00A34BE5" w:rsidRPr="003C4B11">
        <w:rPr>
          <w:rFonts w:ascii="Arial" w:hAnsi="Arial" w:cs="Arial"/>
          <w:sz w:val="40"/>
          <w:szCs w:val="40"/>
        </w:rPr>
        <w:t>social distancing, washing of hands and wearing of masks, creation of</w:t>
      </w:r>
      <w:r w:rsidRPr="003C4B11">
        <w:rPr>
          <w:rFonts w:ascii="Arial" w:hAnsi="Arial" w:cs="Arial"/>
          <w:sz w:val="40"/>
          <w:szCs w:val="40"/>
        </w:rPr>
        <w:t xml:space="preserve"> space</w:t>
      </w:r>
      <w:r w:rsidR="00A34BE5" w:rsidRPr="003C4B11">
        <w:rPr>
          <w:rFonts w:ascii="Arial" w:hAnsi="Arial" w:cs="Arial"/>
          <w:sz w:val="40"/>
          <w:szCs w:val="40"/>
        </w:rPr>
        <w:t>s for isolation rooms, no discharges allowed and s</w:t>
      </w:r>
      <w:r w:rsidRPr="003C4B11">
        <w:rPr>
          <w:rFonts w:ascii="Arial" w:hAnsi="Arial" w:cs="Arial"/>
          <w:sz w:val="40"/>
          <w:szCs w:val="40"/>
        </w:rPr>
        <w:t>taff me</w:t>
      </w:r>
      <w:r w:rsidR="00A34BE5" w:rsidRPr="003C4B11">
        <w:rPr>
          <w:rFonts w:ascii="Arial" w:hAnsi="Arial" w:cs="Arial"/>
          <w:sz w:val="40"/>
          <w:szCs w:val="40"/>
        </w:rPr>
        <w:t>mbers who attended funeral to</w:t>
      </w:r>
      <w:r w:rsidRPr="003C4B11">
        <w:rPr>
          <w:rFonts w:ascii="Arial" w:hAnsi="Arial" w:cs="Arial"/>
          <w:sz w:val="40"/>
          <w:szCs w:val="40"/>
        </w:rPr>
        <w:t xml:space="preserve"> report to the man</w:t>
      </w:r>
      <w:r w:rsidR="00A34BE5" w:rsidRPr="003C4B11">
        <w:rPr>
          <w:rFonts w:ascii="Arial" w:hAnsi="Arial" w:cs="Arial"/>
          <w:sz w:val="40"/>
          <w:szCs w:val="40"/>
        </w:rPr>
        <w:t>ager and be put on quarantine.</w:t>
      </w:r>
    </w:p>
    <w:p w:rsidR="007B30A1" w:rsidRPr="003C4B11" w:rsidRDefault="003C4B11" w:rsidP="003C4B11">
      <w:pPr>
        <w:spacing w:before="100" w:beforeAutospacing="1" w:after="100" w:afterAutospacing="1"/>
        <w:ind w:left="120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T</w:t>
      </w:r>
      <w:r w:rsidR="003D46BB" w:rsidRPr="003C4B11">
        <w:rPr>
          <w:rFonts w:ascii="Arial" w:hAnsi="Arial" w:cs="Arial"/>
          <w:sz w:val="40"/>
          <w:szCs w:val="40"/>
        </w:rPr>
        <w:t>he current status of the specified payments nationally is as follows:</w:t>
      </w:r>
    </w:p>
    <w:p w:rsidR="007B30A1" w:rsidRPr="00C9374B" w:rsidRDefault="007B30A1" w:rsidP="007B30A1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b/>
          <w:sz w:val="40"/>
          <w:szCs w:val="40"/>
        </w:rPr>
      </w:pPr>
      <w:r w:rsidRPr="00C9374B">
        <w:rPr>
          <w:rFonts w:ascii="Arial" w:hAnsi="Arial" w:cs="Arial"/>
          <w:b/>
          <w:sz w:val="40"/>
          <w:szCs w:val="40"/>
        </w:rPr>
        <w:t xml:space="preserve">Old Age Homes </w:t>
      </w:r>
    </w:p>
    <w:tbl>
      <w:tblPr>
        <w:tblW w:w="9837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134"/>
        <w:gridCol w:w="1276"/>
        <w:gridCol w:w="1417"/>
        <w:gridCol w:w="1474"/>
        <w:gridCol w:w="1361"/>
        <w:gridCol w:w="2041"/>
      </w:tblGrid>
      <w:tr w:rsidR="00EC075A" w:rsidRPr="003D46BB" w:rsidTr="00EC075A">
        <w:trPr>
          <w:trHeight w:val="75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C4B11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#</w:t>
            </w:r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Of Homes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C4B11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#</w:t>
            </w:r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>Paid 1</w:t>
            </w:r>
            <w:r w:rsidRPr="00FC65E6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st</w:t>
            </w:r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>Qtr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Default="00EC075A" w:rsidP="003C4B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% Paid 1</w:t>
            </w:r>
            <w:r w:rsidRPr="00EC075A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Qtr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C4B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#</w:t>
            </w:r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Paid </w:t>
            </w:r>
          </w:p>
          <w:p w:rsidR="00EC075A" w:rsidRPr="00FC65E6" w:rsidRDefault="00EC075A" w:rsidP="003C4B11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  <w:r w:rsidRPr="00FC65E6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nd</w:t>
            </w:r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>Qtr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C4B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>#Outstanding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Default="00EC075A" w:rsidP="003C4B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% </w:t>
            </w:r>
          </w:p>
          <w:p w:rsidR="00EC075A" w:rsidRPr="00FC65E6" w:rsidRDefault="00EC075A" w:rsidP="003C4B11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Paid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  <w:r w:rsidRPr="00EC075A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Qtr</w:t>
            </w:r>
          </w:p>
        </w:tc>
      </w:tr>
      <w:tr w:rsidR="00EC075A" w:rsidRPr="003D46BB" w:rsidTr="00EC075A">
        <w:trPr>
          <w:trHeight w:val="5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EC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0%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</w:t>
            </w:r>
            <w:r w:rsidRPr="00FC65E6">
              <w:rPr>
                <w:rFonts w:ascii="Arial" w:hAnsi="Arial" w:cs="Arial"/>
                <w:sz w:val="40"/>
                <w:szCs w:val="40"/>
              </w:rPr>
              <w:t>%</w:t>
            </w:r>
          </w:p>
        </w:tc>
      </w:tr>
      <w:tr w:rsidR="00EC075A" w:rsidRPr="003D46BB" w:rsidTr="00EC075A">
        <w:trPr>
          <w:trHeight w:val="35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 xml:space="preserve">LMP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100%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57</w:t>
            </w:r>
            <w:r w:rsidRPr="00FC65E6">
              <w:rPr>
                <w:rFonts w:ascii="Arial" w:hAnsi="Arial" w:cs="Arial"/>
                <w:sz w:val="40"/>
                <w:szCs w:val="40"/>
              </w:rPr>
              <w:t>%</w:t>
            </w:r>
          </w:p>
        </w:tc>
      </w:tr>
      <w:tr w:rsidR="00EC075A" w:rsidRPr="003D46BB" w:rsidTr="00EC075A">
        <w:trPr>
          <w:trHeight w:val="58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 xml:space="preserve">NW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100%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77</w:t>
            </w:r>
            <w:r w:rsidRPr="00FC65E6">
              <w:rPr>
                <w:rFonts w:ascii="Arial" w:hAnsi="Arial" w:cs="Arial"/>
                <w:sz w:val="40"/>
                <w:szCs w:val="40"/>
              </w:rPr>
              <w:t>%</w:t>
            </w:r>
          </w:p>
        </w:tc>
      </w:tr>
      <w:tr w:rsidR="00EC075A" w:rsidRPr="003D46BB" w:rsidTr="00EC075A">
        <w:trPr>
          <w:trHeight w:val="55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FS</w:t>
            </w:r>
            <w:r w:rsidRPr="00FC65E6">
              <w:rPr>
                <w:rFonts w:ascii="Arial" w:hAnsi="Arial" w:cs="Arial"/>
                <w:sz w:val="40"/>
                <w:szCs w:val="40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100%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19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16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GB"/>
              </w:rPr>
              <w:t>54</w:t>
            </w:r>
            <w:r w:rsidRPr="00FC65E6">
              <w:rPr>
                <w:rFonts w:ascii="Arial" w:hAnsi="Arial" w:cs="Arial"/>
                <w:sz w:val="40"/>
                <w:szCs w:val="40"/>
                <w:lang w:val="en-GB"/>
              </w:rPr>
              <w:t>%</w:t>
            </w:r>
          </w:p>
        </w:tc>
      </w:tr>
      <w:tr w:rsidR="00EC075A" w:rsidRPr="003D46BB" w:rsidTr="00EC075A">
        <w:trPr>
          <w:trHeight w:val="60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MPU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2A38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Pr="00FC65E6" w:rsidRDefault="00EC075A" w:rsidP="002A38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96%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2A38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19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86%</w:t>
            </w:r>
          </w:p>
        </w:tc>
      </w:tr>
      <w:tr w:rsidR="00EC075A" w:rsidRPr="003D46BB" w:rsidTr="00EC075A">
        <w:trPr>
          <w:trHeight w:val="43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100%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70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95</w:t>
            </w:r>
            <w:r w:rsidRPr="00FC65E6">
              <w:rPr>
                <w:rFonts w:ascii="Arial" w:hAnsi="Arial" w:cs="Arial"/>
                <w:sz w:val="40"/>
                <w:szCs w:val="40"/>
              </w:rPr>
              <w:t>%</w:t>
            </w:r>
          </w:p>
        </w:tc>
      </w:tr>
      <w:tr w:rsidR="00EC075A" w:rsidRPr="003D46BB" w:rsidTr="00802842">
        <w:trPr>
          <w:trHeight w:val="43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Pr="00802842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802842">
              <w:rPr>
                <w:rFonts w:ascii="Arial" w:hAnsi="Arial" w:cs="Arial"/>
                <w:sz w:val="40"/>
                <w:szCs w:val="40"/>
              </w:rPr>
              <w:t xml:space="preserve">KZN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Pr="00802842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802842">
              <w:rPr>
                <w:rFonts w:ascii="Arial" w:hAnsi="Arial" w:cs="Arial"/>
                <w:sz w:val="40"/>
                <w:szCs w:val="40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Pr="00802842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802842">
              <w:rPr>
                <w:rFonts w:ascii="Arial" w:hAnsi="Arial" w:cs="Arial"/>
                <w:sz w:val="40"/>
                <w:szCs w:val="40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Pr="00802842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802842">
              <w:rPr>
                <w:rFonts w:ascii="Arial" w:hAnsi="Arial" w:cs="Arial"/>
                <w:sz w:val="40"/>
                <w:szCs w:val="40"/>
              </w:rPr>
              <w:t>100%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Pr="00802842" w:rsidRDefault="00802842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802842">
              <w:rPr>
                <w:rFonts w:ascii="Arial" w:hAnsi="Arial" w:cs="Arial"/>
                <w:sz w:val="40"/>
                <w:szCs w:val="40"/>
              </w:rPr>
              <w:t>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Pr="00802842" w:rsidRDefault="00802842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802842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Pr="00802842" w:rsidRDefault="00802842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802842">
              <w:rPr>
                <w:rFonts w:ascii="Arial" w:hAnsi="Arial" w:cs="Arial"/>
                <w:sz w:val="40"/>
                <w:szCs w:val="40"/>
              </w:rPr>
              <w:t>100%</w:t>
            </w:r>
          </w:p>
        </w:tc>
      </w:tr>
      <w:tr w:rsidR="00EC075A" w:rsidRPr="003D46BB" w:rsidTr="00EC075A">
        <w:trPr>
          <w:trHeight w:val="49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100%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</w:t>
            </w:r>
            <w:r w:rsidRPr="00FC65E6">
              <w:rPr>
                <w:rFonts w:ascii="Arial" w:hAnsi="Arial" w:cs="Arial"/>
                <w:sz w:val="40"/>
                <w:szCs w:val="40"/>
              </w:rPr>
              <w:t xml:space="preserve">% </w:t>
            </w:r>
          </w:p>
        </w:tc>
      </w:tr>
      <w:tr w:rsidR="00EC075A" w:rsidRPr="003D46BB" w:rsidTr="00EC075A">
        <w:trPr>
          <w:trHeight w:val="7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117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117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100%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117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9C560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</w:t>
            </w:r>
            <w:r w:rsidRPr="00FC65E6">
              <w:rPr>
                <w:rFonts w:ascii="Arial" w:hAnsi="Arial" w:cs="Arial"/>
                <w:sz w:val="40"/>
                <w:szCs w:val="40"/>
              </w:rPr>
              <w:t>% </w:t>
            </w:r>
          </w:p>
        </w:tc>
      </w:tr>
    </w:tbl>
    <w:p w:rsidR="009C5608" w:rsidRDefault="009C5608" w:rsidP="003D46B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730EB4" w:rsidRDefault="00730EB4" w:rsidP="003D46B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730EB4" w:rsidRDefault="00730EB4" w:rsidP="003D46B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730EB4" w:rsidRPr="003D46BB" w:rsidRDefault="00730EB4" w:rsidP="003D46B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3D46BB" w:rsidRPr="00C9374B" w:rsidRDefault="007B30A1" w:rsidP="007B30A1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b/>
          <w:sz w:val="40"/>
          <w:szCs w:val="40"/>
        </w:rPr>
      </w:pPr>
      <w:r w:rsidRPr="00C9374B">
        <w:rPr>
          <w:rFonts w:ascii="Arial" w:hAnsi="Arial" w:cs="Arial"/>
          <w:b/>
          <w:sz w:val="40"/>
          <w:szCs w:val="40"/>
        </w:rPr>
        <w:t xml:space="preserve">Child and Youth Care Centres </w:t>
      </w:r>
    </w:p>
    <w:tbl>
      <w:tblPr>
        <w:tblW w:w="9607" w:type="dxa"/>
        <w:tblInd w:w="-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841"/>
        <w:gridCol w:w="1368"/>
        <w:gridCol w:w="1206"/>
        <w:gridCol w:w="1172"/>
        <w:gridCol w:w="1276"/>
        <w:gridCol w:w="1468"/>
      </w:tblGrid>
      <w:tr w:rsidR="00E4448E" w:rsidRPr="007B30A1" w:rsidTr="00EC075A">
        <w:trPr>
          <w:trHeight w:val="73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CB5CB0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lastRenderedPageBreak/>
              <w:t>Province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Number of CYCCs 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# Paid </w:t>
            </w:r>
          </w:p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>1</w:t>
            </w: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position w:val="8"/>
                <w:sz w:val="40"/>
                <w:szCs w:val="40"/>
                <w:vertAlign w:val="superscript"/>
                <w:lang w:eastAsia="en-ZA"/>
              </w:rPr>
              <w:t>st</w:t>
            </w: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>Qtr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E97" w:rsidRPr="007B30A1" w:rsidRDefault="00E4448E" w:rsidP="007B30A1">
            <w:pPr>
              <w:spacing w:after="0" w:line="256" w:lineRule="auto"/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>%Paid 1</w:t>
            </w:r>
            <w:r w:rsidRPr="00E4448E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vertAlign w:val="superscript"/>
                <w:lang w:eastAsia="en-ZA"/>
              </w:rPr>
              <w:t>st</w:t>
            </w:r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>Qtr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448E" w:rsidRDefault="00213E97" w:rsidP="007B30A1">
            <w:pPr>
              <w:spacing w:after="0" w:line="256" w:lineRule="auto"/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# Paid </w:t>
            </w:r>
          </w:p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>2</w:t>
            </w: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position w:val="8"/>
                <w:sz w:val="40"/>
                <w:szCs w:val="40"/>
                <w:vertAlign w:val="superscript"/>
                <w:lang w:eastAsia="en-ZA"/>
              </w:rPr>
              <w:t>nd</w:t>
            </w: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>Qtr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>No Outstanding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Default="00213E97" w:rsidP="007B30A1">
            <w:pPr>
              <w:spacing w:after="0" w:line="256" w:lineRule="auto"/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% </w:t>
            </w:r>
          </w:p>
          <w:p w:rsidR="00213E97" w:rsidRDefault="00213E97" w:rsidP="007B30A1">
            <w:pPr>
              <w:spacing w:after="0" w:line="256" w:lineRule="auto"/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Paid </w:t>
            </w:r>
          </w:p>
          <w:p w:rsidR="008E28D3" w:rsidRPr="007B30A1" w:rsidRDefault="008E28D3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>2</w:t>
            </w:r>
            <w:r w:rsidRPr="008E28D3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vertAlign w:val="superscript"/>
                <w:lang w:eastAsia="en-ZA"/>
              </w:rPr>
              <w:t>nd</w:t>
            </w:r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>Qtr</w:t>
            </w:r>
          </w:p>
        </w:tc>
      </w:tr>
      <w:tr w:rsidR="00E4448E" w:rsidRPr="007B30A1" w:rsidTr="00EC075A">
        <w:trPr>
          <w:trHeight w:val="63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8E28D3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CB5CB0"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LMP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E4448E" w:rsidRDefault="00213E97" w:rsidP="00E8334A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12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12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E97" w:rsidRDefault="00E4448E" w:rsidP="007B30A1">
            <w:pPr>
              <w:spacing w:after="0" w:line="256" w:lineRule="auto"/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 xml:space="preserve"> 100%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910DAA" w:rsidRDefault="00213E97" w:rsidP="007B30A1">
            <w:pPr>
              <w:spacing w:after="0" w:line="256" w:lineRule="auto"/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50</w:t>
            </w:r>
            <w:r w:rsidRPr="007B30A1"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%</w:t>
            </w:r>
          </w:p>
        </w:tc>
      </w:tr>
      <w:tr w:rsidR="00E4448E" w:rsidRPr="007B30A1" w:rsidTr="00EC075A">
        <w:trPr>
          <w:trHeight w:val="63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CB5CB0"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NW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9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E97" w:rsidRPr="007B30A1" w:rsidRDefault="00E4448E" w:rsidP="00213E97">
            <w:pPr>
              <w:spacing w:after="0" w:line="256" w:lineRule="auto"/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100%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213E97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9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0%</w:t>
            </w:r>
          </w:p>
        </w:tc>
      </w:tr>
      <w:tr w:rsidR="00E4448E" w:rsidRPr="007B30A1" w:rsidTr="00EC075A">
        <w:trPr>
          <w:trHeight w:val="67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CB5CB0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MPU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23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E97" w:rsidRDefault="00E4448E" w:rsidP="007B30A1">
            <w:pPr>
              <w:spacing w:after="0" w:line="256" w:lineRule="auto"/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100%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96</w:t>
            </w: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%</w:t>
            </w:r>
          </w:p>
        </w:tc>
      </w:tr>
      <w:tr w:rsidR="00E4448E" w:rsidRPr="007B30A1" w:rsidTr="00EC075A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CB5CB0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GP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95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95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E97" w:rsidRPr="007B30A1" w:rsidRDefault="00E4448E" w:rsidP="007B30A1">
            <w:pPr>
              <w:spacing w:after="0" w:line="256" w:lineRule="auto"/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 100%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8E28D3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8E28D3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22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7</w:t>
            </w:r>
            <w:r w:rsidR="008E28D3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6</w:t>
            </w: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%</w:t>
            </w:r>
          </w:p>
        </w:tc>
      </w:tr>
      <w:tr w:rsidR="00E4448E" w:rsidRPr="007B30A1" w:rsidTr="00EC075A">
        <w:trPr>
          <w:trHeight w:val="69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CB5CB0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NC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8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E97" w:rsidRPr="007B30A1" w:rsidRDefault="00E4448E" w:rsidP="007B30A1">
            <w:pPr>
              <w:spacing w:after="0" w:line="256" w:lineRule="auto"/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 100%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100%</w:t>
            </w:r>
          </w:p>
        </w:tc>
      </w:tr>
      <w:tr w:rsidR="00E4448E" w:rsidRPr="007B30A1" w:rsidTr="00EC075A">
        <w:trPr>
          <w:trHeight w:val="69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CB5CB0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WC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53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53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E97" w:rsidRPr="007B30A1" w:rsidRDefault="00E4448E" w:rsidP="007B30A1">
            <w:pPr>
              <w:spacing w:after="0" w:line="256" w:lineRule="auto"/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 100%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100%</w:t>
            </w:r>
          </w:p>
        </w:tc>
      </w:tr>
      <w:tr w:rsidR="00E4448E" w:rsidRPr="007B30A1" w:rsidTr="00EC075A">
        <w:trPr>
          <w:trHeight w:val="7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8A14D5">
            <w:pPr>
              <w:tabs>
                <w:tab w:val="right" w:pos="2038"/>
              </w:tabs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CB5CB0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FS</w:t>
            </w: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ab/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15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E97" w:rsidRPr="007B30A1" w:rsidRDefault="00E4448E" w:rsidP="007B30A1">
            <w:pPr>
              <w:spacing w:after="0" w:line="256" w:lineRule="auto"/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 100%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8A14D5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100%  </w:t>
            </w:r>
          </w:p>
        </w:tc>
      </w:tr>
      <w:tr w:rsidR="00E4448E" w:rsidRPr="007B30A1" w:rsidTr="00EC075A">
        <w:trPr>
          <w:trHeight w:val="6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tabs>
                <w:tab w:val="right" w:pos="2038"/>
              </w:tabs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CB5CB0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lastRenderedPageBreak/>
              <w:t>EC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27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E4448E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E97" w:rsidRPr="007B30A1" w:rsidRDefault="00E4448E" w:rsidP="007B30A1">
            <w:pPr>
              <w:spacing w:after="0" w:line="256" w:lineRule="auto"/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 0%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100%</w:t>
            </w:r>
          </w:p>
        </w:tc>
      </w:tr>
      <w:tr w:rsidR="00E4448E" w:rsidRPr="007B30A1" w:rsidTr="00EC075A">
        <w:trPr>
          <w:trHeight w:val="69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KZN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19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13E97" w:rsidRPr="007B30A1" w:rsidRDefault="00E4448E" w:rsidP="007B30A1">
            <w:pPr>
              <w:spacing w:after="0" w:line="256" w:lineRule="auto"/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100%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100% </w:t>
            </w:r>
          </w:p>
        </w:tc>
      </w:tr>
    </w:tbl>
    <w:p w:rsidR="003D46BB" w:rsidRDefault="005F7EFA" w:rsidP="003D46BB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provinces that have outstanding payments are working towards clearing the backlog for the second quarter by the end of September 2020</w:t>
      </w:r>
      <w:r w:rsidR="00730EB4">
        <w:rPr>
          <w:rFonts w:ascii="Arial" w:hAnsi="Arial" w:cs="Arial"/>
          <w:sz w:val="40"/>
          <w:szCs w:val="40"/>
        </w:rPr>
        <w:t xml:space="preserve"> and the status is improving on a weekly basis</w:t>
      </w:r>
      <w:r>
        <w:rPr>
          <w:rFonts w:ascii="Arial" w:hAnsi="Arial" w:cs="Arial"/>
          <w:sz w:val="40"/>
          <w:szCs w:val="40"/>
        </w:rPr>
        <w:t xml:space="preserve">. </w:t>
      </w:r>
      <w:r w:rsidR="00730EB4">
        <w:rPr>
          <w:rFonts w:ascii="Arial" w:hAnsi="Arial" w:cs="Arial"/>
          <w:sz w:val="40"/>
          <w:szCs w:val="40"/>
        </w:rPr>
        <w:t>For Eastern Cape the NPOs are being</w:t>
      </w:r>
      <w:r w:rsidR="00EC075A">
        <w:rPr>
          <w:rFonts w:ascii="Arial" w:hAnsi="Arial" w:cs="Arial"/>
          <w:sz w:val="40"/>
          <w:szCs w:val="40"/>
        </w:rPr>
        <w:t xml:space="preserve"> paid both the first and second tranches simultaneously during the second quarter.</w:t>
      </w:r>
    </w:p>
    <w:p w:rsidR="00730EB4" w:rsidRPr="003D46BB" w:rsidRDefault="00730EB4" w:rsidP="003D46BB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5F7EFA" w:rsidRDefault="005F7EFA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CF630D" w:rsidRPr="0099694C" w:rsidRDefault="00CF630D" w:rsidP="00CF63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="00193B0E"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0157B8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20</w:t>
      </w:r>
      <w:r w:rsidR="00011FBE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88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AB0772" w:rsidRPr="00DA4793" w:rsidRDefault="00AB0772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________________________</w:t>
      </w: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Approved by the Minister o</w:t>
      </w:r>
      <w:r w:rsidR="00E73628"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f Social Development</w:t>
      </w:r>
    </w:p>
    <w:p w:rsidR="00F04ECE" w:rsidRPr="00DA4793" w:rsidRDefault="0051513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Date……………………….</w:t>
      </w:r>
    </w:p>
    <w:sectPr w:rsidR="00F04ECE" w:rsidRPr="00DA4793" w:rsidSect="00C80EF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AF8" w:rsidRDefault="006C4AF8">
      <w:pPr>
        <w:spacing w:after="0" w:line="240" w:lineRule="auto"/>
      </w:pPr>
      <w:r>
        <w:separator/>
      </w:r>
    </w:p>
  </w:endnote>
  <w:endnote w:type="continuationSeparator" w:id="1">
    <w:p w:rsidR="006C4AF8" w:rsidRDefault="006C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C80EF5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FD17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AF8" w:rsidRDefault="006C4AF8">
      <w:pPr>
        <w:spacing w:after="0" w:line="240" w:lineRule="auto"/>
      </w:pPr>
      <w:r>
        <w:separator/>
      </w:r>
    </w:p>
  </w:footnote>
  <w:footnote w:type="continuationSeparator" w:id="1">
    <w:p w:rsidR="006C4AF8" w:rsidRDefault="006C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F257E2"/>
    <w:multiLevelType w:val="hybridMultilevel"/>
    <w:tmpl w:val="3668AFC2"/>
    <w:lvl w:ilvl="0" w:tplc="212CF112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581E52"/>
    <w:multiLevelType w:val="hybridMultilevel"/>
    <w:tmpl w:val="9DF8B81E"/>
    <w:lvl w:ilvl="0" w:tplc="57200340">
      <w:start w:val="1"/>
      <w:numFmt w:val="lowerLetter"/>
      <w:lvlText w:val="(%1)"/>
      <w:lvlJc w:val="left"/>
      <w:pPr>
        <w:ind w:left="1200" w:hanging="8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775A4"/>
    <w:multiLevelType w:val="hybridMultilevel"/>
    <w:tmpl w:val="4DDA3582"/>
    <w:lvl w:ilvl="0" w:tplc="C44E8D82">
      <w:start w:val="1"/>
      <w:numFmt w:val="lowerRoman"/>
      <w:lvlText w:val="(%1)"/>
      <w:lvlJc w:val="left"/>
      <w:pPr>
        <w:ind w:left="228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8B02FF"/>
    <w:multiLevelType w:val="hybridMultilevel"/>
    <w:tmpl w:val="E3F0F72E"/>
    <w:lvl w:ilvl="0" w:tplc="52F05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"/>
  </w:num>
  <w:num w:numId="5">
    <w:abstractNumId w:val="14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18"/>
  </w:num>
  <w:num w:numId="13">
    <w:abstractNumId w:val="12"/>
  </w:num>
  <w:num w:numId="14">
    <w:abstractNumId w:val="8"/>
  </w:num>
  <w:num w:numId="15">
    <w:abstractNumId w:val="17"/>
  </w:num>
  <w:num w:numId="16">
    <w:abstractNumId w:val="16"/>
  </w:num>
  <w:num w:numId="17">
    <w:abstractNumId w:val="6"/>
  </w:num>
  <w:num w:numId="18">
    <w:abstractNumId w:val="9"/>
  </w:num>
  <w:num w:numId="19">
    <w:abstractNumId w:val="5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41"/>
    <w:rsid w:val="00001699"/>
    <w:rsid w:val="000035C4"/>
    <w:rsid w:val="00011FBE"/>
    <w:rsid w:val="000157B8"/>
    <w:rsid w:val="0001673F"/>
    <w:rsid w:val="00022DAF"/>
    <w:rsid w:val="00030F7E"/>
    <w:rsid w:val="00041AA3"/>
    <w:rsid w:val="00041FD4"/>
    <w:rsid w:val="00042BE0"/>
    <w:rsid w:val="00045724"/>
    <w:rsid w:val="00051EC2"/>
    <w:rsid w:val="00057BE6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1726B"/>
    <w:rsid w:val="00123D9A"/>
    <w:rsid w:val="0012418C"/>
    <w:rsid w:val="00131148"/>
    <w:rsid w:val="00132534"/>
    <w:rsid w:val="00136AE7"/>
    <w:rsid w:val="00144A54"/>
    <w:rsid w:val="00157C96"/>
    <w:rsid w:val="001713D1"/>
    <w:rsid w:val="00173A37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1491"/>
    <w:rsid w:val="001D3C87"/>
    <w:rsid w:val="001E22C5"/>
    <w:rsid w:val="001E322B"/>
    <w:rsid w:val="001E5149"/>
    <w:rsid w:val="001F1C3B"/>
    <w:rsid w:val="00202090"/>
    <w:rsid w:val="00205109"/>
    <w:rsid w:val="002052D4"/>
    <w:rsid w:val="00207160"/>
    <w:rsid w:val="002074D9"/>
    <w:rsid w:val="00213E97"/>
    <w:rsid w:val="00214E66"/>
    <w:rsid w:val="00220A7E"/>
    <w:rsid w:val="00224843"/>
    <w:rsid w:val="002346B4"/>
    <w:rsid w:val="00240B7E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821BB"/>
    <w:rsid w:val="002932D5"/>
    <w:rsid w:val="002A3831"/>
    <w:rsid w:val="002A66E4"/>
    <w:rsid w:val="002B3395"/>
    <w:rsid w:val="002B5DEF"/>
    <w:rsid w:val="002B6874"/>
    <w:rsid w:val="002B7F4E"/>
    <w:rsid w:val="002D4C7A"/>
    <w:rsid w:val="002E208F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31D0"/>
    <w:rsid w:val="003A46F0"/>
    <w:rsid w:val="003A55A0"/>
    <w:rsid w:val="003B06A7"/>
    <w:rsid w:val="003B2389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C4B11"/>
    <w:rsid w:val="003D46BB"/>
    <w:rsid w:val="003D6032"/>
    <w:rsid w:val="003E069B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160CE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0B80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A749C"/>
    <w:rsid w:val="004B0E92"/>
    <w:rsid w:val="004B16FD"/>
    <w:rsid w:val="004B2779"/>
    <w:rsid w:val="004B3426"/>
    <w:rsid w:val="004C75CF"/>
    <w:rsid w:val="004D1EA6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D23BD"/>
    <w:rsid w:val="005D3DDE"/>
    <w:rsid w:val="005D5EBD"/>
    <w:rsid w:val="005D7EF1"/>
    <w:rsid w:val="005E4916"/>
    <w:rsid w:val="005E496D"/>
    <w:rsid w:val="005F1E37"/>
    <w:rsid w:val="005F2C98"/>
    <w:rsid w:val="005F7EFA"/>
    <w:rsid w:val="00602077"/>
    <w:rsid w:val="006043E8"/>
    <w:rsid w:val="006051BB"/>
    <w:rsid w:val="006139D8"/>
    <w:rsid w:val="00615E45"/>
    <w:rsid w:val="0061676D"/>
    <w:rsid w:val="00620A2E"/>
    <w:rsid w:val="00620BB5"/>
    <w:rsid w:val="006221FB"/>
    <w:rsid w:val="00623997"/>
    <w:rsid w:val="00626FD0"/>
    <w:rsid w:val="00631AD1"/>
    <w:rsid w:val="00634F63"/>
    <w:rsid w:val="00645D55"/>
    <w:rsid w:val="006460BE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4AF8"/>
    <w:rsid w:val="006C6488"/>
    <w:rsid w:val="006D024F"/>
    <w:rsid w:val="006D0922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0EB4"/>
    <w:rsid w:val="007345A6"/>
    <w:rsid w:val="00743DFA"/>
    <w:rsid w:val="00747628"/>
    <w:rsid w:val="0075766D"/>
    <w:rsid w:val="0075785A"/>
    <w:rsid w:val="007625A4"/>
    <w:rsid w:val="00765475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3137"/>
    <w:rsid w:val="007A449C"/>
    <w:rsid w:val="007A7AE6"/>
    <w:rsid w:val="007A7E54"/>
    <w:rsid w:val="007B30A1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1544"/>
    <w:rsid w:val="007F4E1A"/>
    <w:rsid w:val="007F7022"/>
    <w:rsid w:val="00801103"/>
    <w:rsid w:val="00802842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069C"/>
    <w:rsid w:val="0088698A"/>
    <w:rsid w:val="00892AE6"/>
    <w:rsid w:val="008A14D5"/>
    <w:rsid w:val="008A43F9"/>
    <w:rsid w:val="008A5D65"/>
    <w:rsid w:val="008B175E"/>
    <w:rsid w:val="008B3F12"/>
    <w:rsid w:val="008B5901"/>
    <w:rsid w:val="008B7547"/>
    <w:rsid w:val="008C1BDF"/>
    <w:rsid w:val="008C4988"/>
    <w:rsid w:val="008C5407"/>
    <w:rsid w:val="008D3585"/>
    <w:rsid w:val="008D577E"/>
    <w:rsid w:val="008D58E6"/>
    <w:rsid w:val="008D671E"/>
    <w:rsid w:val="008E0887"/>
    <w:rsid w:val="008E28D3"/>
    <w:rsid w:val="008E3CB8"/>
    <w:rsid w:val="008E5107"/>
    <w:rsid w:val="008E5698"/>
    <w:rsid w:val="008F2ED7"/>
    <w:rsid w:val="0090785A"/>
    <w:rsid w:val="00907F57"/>
    <w:rsid w:val="00910DAA"/>
    <w:rsid w:val="00913103"/>
    <w:rsid w:val="009156BE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4B5"/>
    <w:rsid w:val="009C4045"/>
    <w:rsid w:val="009C5608"/>
    <w:rsid w:val="009D12AD"/>
    <w:rsid w:val="009D22CC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BE5"/>
    <w:rsid w:val="00A34E32"/>
    <w:rsid w:val="00A400BA"/>
    <w:rsid w:val="00A436F0"/>
    <w:rsid w:val="00A6429F"/>
    <w:rsid w:val="00A64E8E"/>
    <w:rsid w:val="00A65C30"/>
    <w:rsid w:val="00A73D6D"/>
    <w:rsid w:val="00A7467F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14BF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CE2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33C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80EF5"/>
    <w:rsid w:val="00C81494"/>
    <w:rsid w:val="00C91C34"/>
    <w:rsid w:val="00C923CA"/>
    <w:rsid w:val="00C9374B"/>
    <w:rsid w:val="00C94CF9"/>
    <w:rsid w:val="00C9664A"/>
    <w:rsid w:val="00CA0BFA"/>
    <w:rsid w:val="00CA3022"/>
    <w:rsid w:val="00CA47D7"/>
    <w:rsid w:val="00CB46EF"/>
    <w:rsid w:val="00CB5CB0"/>
    <w:rsid w:val="00CC0DE5"/>
    <w:rsid w:val="00CC32BE"/>
    <w:rsid w:val="00CC47BC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4596"/>
    <w:rsid w:val="00D450FC"/>
    <w:rsid w:val="00D51239"/>
    <w:rsid w:val="00D61A84"/>
    <w:rsid w:val="00D67D54"/>
    <w:rsid w:val="00D703A5"/>
    <w:rsid w:val="00D71E36"/>
    <w:rsid w:val="00D750AE"/>
    <w:rsid w:val="00D80E2E"/>
    <w:rsid w:val="00DA1E4E"/>
    <w:rsid w:val="00DA4793"/>
    <w:rsid w:val="00DB32F0"/>
    <w:rsid w:val="00DC028F"/>
    <w:rsid w:val="00DC221D"/>
    <w:rsid w:val="00DC5658"/>
    <w:rsid w:val="00DD651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448E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81DA4"/>
    <w:rsid w:val="00E82276"/>
    <w:rsid w:val="00E82B0B"/>
    <w:rsid w:val="00E8334A"/>
    <w:rsid w:val="00E90BBD"/>
    <w:rsid w:val="00E940AE"/>
    <w:rsid w:val="00E94B03"/>
    <w:rsid w:val="00E96AE2"/>
    <w:rsid w:val="00EB4117"/>
    <w:rsid w:val="00EC075A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478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5E6"/>
    <w:rsid w:val="00FC68FF"/>
    <w:rsid w:val="00FD0D94"/>
    <w:rsid w:val="00FD1706"/>
    <w:rsid w:val="00FD1C03"/>
    <w:rsid w:val="00FD5267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2">
    <w:name w:val="s2"/>
    <w:rsid w:val="000157B8"/>
  </w:style>
  <w:style w:type="character" w:styleId="CommentReference">
    <w:name w:val="annotation reference"/>
    <w:basedOn w:val="DefaultParagraphFont"/>
    <w:uiPriority w:val="99"/>
    <w:semiHidden/>
    <w:unhideWhenUsed/>
    <w:rsid w:val="007B3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0A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L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2C2A-862B-4682-B73C-9814A31A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2020-10-29T11:28:00Z</cp:lastPrinted>
  <dcterms:created xsi:type="dcterms:W3CDTF">2020-11-17T14:02:00Z</dcterms:created>
  <dcterms:modified xsi:type="dcterms:W3CDTF">2020-11-17T14:02:00Z</dcterms:modified>
</cp:coreProperties>
</file>