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4E2279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4E227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4E227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4E227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4E227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4E227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4E2279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4E227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4E227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4E227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F709AB" w:rsidRPr="004E227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20</w:t>
      </w:r>
      <w:r w:rsidR="00E5171F" w:rsidRPr="004E227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8</w:t>
      </w:r>
      <w:r w:rsidR="000359F5" w:rsidRPr="004E227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7</w:t>
      </w:r>
    </w:p>
    <w:p w:rsidR="00D33C41" w:rsidRPr="004E2279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4E227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F709AB" w:rsidRPr="004E227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27 </w:t>
      </w:r>
      <w:r w:rsidR="007C3DDF" w:rsidRPr="004E227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MAY</w:t>
      </w:r>
      <w:r w:rsidR="009E7540" w:rsidRPr="004E227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4E227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4E2279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4E227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F709AB" w:rsidRPr="004E227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20</w:t>
      </w:r>
      <w:r w:rsidR="00505A71" w:rsidRPr="004E227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4E227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4E227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0760BE" w:rsidRPr="004E2279" w:rsidRDefault="000359F5" w:rsidP="000760BE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4E2279">
        <w:rPr>
          <w:rFonts w:ascii="Arial" w:hAnsi="Arial" w:cs="Arial"/>
          <w:b/>
          <w:sz w:val="24"/>
          <w:szCs w:val="24"/>
        </w:rPr>
        <w:t>2087.</w:t>
      </w:r>
      <w:r w:rsidRPr="004E2279">
        <w:rPr>
          <w:rFonts w:ascii="Arial" w:hAnsi="Arial" w:cs="Arial"/>
          <w:b/>
          <w:sz w:val="24"/>
          <w:szCs w:val="24"/>
        </w:rPr>
        <w:tab/>
      </w:r>
      <w:r w:rsidRPr="004E2279">
        <w:rPr>
          <w:rFonts w:ascii="Arial" w:hAnsi="Arial" w:cs="Arial"/>
          <w:b/>
          <w:bCs/>
          <w:sz w:val="24"/>
          <w:szCs w:val="24"/>
        </w:rPr>
        <w:t xml:space="preserve">Mrs G </w:t>
      </w:r>
      <w:r w:rsidRPr="004E2279">
        <w:rPr>
          <w:rFonts w:ascii="Arial" w:hAnsi="Arial" w:cs="Arial"/>
          <w:b/>
          <w:sz w:val="24"/>
          <w:szCs w:val="24"/>
        </w:rPr>
        <w:t>Opperman</w:t>
      </w:r>
      <w:r w:rsidRPr="004E2279">
        <w:rPr>
          <w:rFonts w:ascii="Arial" w:hAnsi="Arial" w:cs="Arial"/>
          <w:b/>
          <w:bCs/>
          <w:sz w:val="24"/>
          <w:szCs w:val="24"/>
        </w:rPr>
        <w:t xml:space="preserve"> (DA) to ask the Minister of Social Development</w:t>
      </w:r>
      <w:r w:rsidR="00734416" w:rsidRPr="004E2279">
        <w:rPr>
          <w:rFonts w:ascii="Arial" w:hAnsi="Arial" w:cs="Arial"/>
          <w:b/>
          <w:bCs/>
          <w:sz w:val="24"/>
          <w:szCs w:val="24"/>
        </w:rPr>
        <w:fldChar w:fldCharType="begin"/>
      </w:r>
      <w:r w:rsidRPr="004E2279">
        <w:rPr>
          <w:rFonts w:ascii="Arial" w:hAnsi="Arial" w:cs="Arial"/>
          <w:sz w:val="24"/>
          <w:szCs w:val="24"/>
        </w:rPr>
        <w:instrText xml:space="preserve"> XE "</w:instrText>
      </w:r>
      <w:r w:rsidRPr="004E2279">
        <w:rPr>
          <w:rFonts w:ascii="Arial" w:hAnsi="Arial" w:cs="Arial"/>
          <w:b/>
          <w:bCs/>
          <w:sz w:val="24"/>
          <w:szCs w:val="24"/>
        </w:rPr>
        <w:instrText>Social Development</w:instrText>
      </w:r>
      <w:r w:rsidRPr="004E2279">
        <w:rPr>
          <w:rFonts w:ascii="Arial" w:hAnsi="Arial" w:cs="Arial"/>
          <w:sz w:val="24"/>
          <w:szCs w:val="24"/>
        </w:rPr>
        <w:instrText xml:space="preserve">" </w:instrText>
      </w:r>
      <w:r w:rsidR="00734416" w:rsidRPr="004E2279">
        <w:rPr>
          <w:rFonts w:ascii="Arial" w:hAnsi="Arial" w:cs="Arial"/>
          <w:b/>
          <w:bCs/>
          <w:sz w:val="24"/>
          <w:szCs w:val="24"/>
        </w:rPr>
        <w:fldChar w:fldCharType="end"/>
      </w:r>
      <w:r w:rsidRPr="004E2279">
        <w:rPr>
          <w:rFonts w:ascii="Arial" w:hAnsi="Arial" w:cs="Arial"/>
          <w:b/>
          <w:bCs/>
          <w:sz w:val="24"/>
          <w:szCs w:val="24"/>
        </w:rPr>
        <w:t>:</w:t>
      </w:r>
    </w:p>
    <w:p w:rsidR="000359F5" w:rsidRPr="004E2279" w:rsidRDefault="000359F5" w:rsidP="000760BE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E2279">
        <w:rPr>
          <w:rFonts w:ascii="Arial" w:hAnsi="Arial" w:cs="Arial"/>
          <w:sz w:val="24"/>
          <w:szCs w:val="24"/>
        </w:rPr>
        <w:t>(1)</w:t>
      </w:r>
      <w:r w:rsidRPr="004E2279">
        <w:rPr>
          <w:rFonts w:ascii="Arial" w:hAnsi="Arial" w:cs="Arial"/>
          <w:sz w:val="24"/>
          <w:szCs w:val="24"/>
        </w:rPr>
        <w:tab/>
        <w:t>Whether the 44 bids referred to in the report of the Auditor-General for the 2020-21 financial year that were not awarded indicate slow processing by her department; if not, what is the position in this regard; if so,</w:t>
      </w:r>
    </w:p>
    <w:p w:rsidR="005B674D" w:rsidRPr="004E2279" w:rsidRDefault="00C431DE" w:rsidP="00C431D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sectPr w:rsidR="005B674D" w:rsidRPr="004E2279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E2279">
        <w:rPr>
          <w:rFonts w:ascii="Arial" w:hAnsi="Arial" w:cs="Arial"/>
          <w:sz w:val="24"/>
          <w:szCs w:val="24"/>
        </w:rPr>
        <w:t>(2)</w:t>
      </w:r>
      <w:r w:rsidRPr="004E2279">
        <w:rPr>
          <w:rFonts w:ascii="Arial" w:hAnsi="Arial" w:cs="Arial"/>
          <w:sz w:val="24"/>
          <w:szCs w:val="24"/>
        </w:rPr>
        <w:tab/>
      </w:r>
      <w:r w:rsidR="007F2916" w:rsidRPr="004E2279">
        <w:rPr>
          <w:rFonts w:ascii="Arial" w:hAnsi="Arial" w:cs="Arial"/>
          <w:sz w:val="24"/>
          <w:szCs w:val="24"/>
        </w:rPr>
        <w:t>W</w:t>
      </w:r>
      <w:r w:rsidR="000359F5" w:rsidRPr="004E2279">
        <w:rPr>
          <w:rFonts w:ascii="Arial" w:hAnsi="Arial" w:cs="Arial"/>
          <w:sz w:val="24"/>
          <w:szCs w:val="24"/>
        </w:rPr>
        <w:t>hether the bids resulted in irregular expenditure; if not, what is the position in this regard; if so, what (a) are the relevant details and (b) was the monetary value of the specified bids</w:t>
      </w:r>
      <w:r w:rsidR="000359F5" w:rsidRPr="004E2279">
        <w:rPr>
          <w:rFonts w:ascii="Arial" w:hAnsi="Arial" w:cs="Arial"/>
          <w:sz w:val="24"/>
          <w:szCs w:val="24"/>
          <w:lang w:val="en-GB"/>
        </w:rPr>
        <w:t>?</w:t>
      </w:r>
      <w:r w:rsidR="000359F5" w:rsidRPr="004E2279">
        <w:rPr>
          <w:rFonts w:ascii="Arial" w:hAnsi="Arial" w:cs="Arial"/>
          <w:sz w:val="24"/>
          <w:szCs w:val="24"/>
          <w:lang w:val="en-GB"/>
        </w:rPr>
        <w:tab/>
      </w:r>
      <w:r w:rsidR="000359F5" w:rsidRPr="004E2279">
        <w:rPr>
          <w:rFonts w:ascii="Arial" w:hAnsi="Arial" w:cs="Arial"/>
          <w:sz w:val="24"/>
          <w:szCs w:val="24"/>
          <w:lang w:val="en-GB"/>
        </w:rPr>
        <w:tab/>
      </w:r>
      <w:r w:rsidR="000359F5" w:rsidRPr="004E2279">
        <w:rPr>
          <w:rFonts w:ascii="Arial" w:hAnsi="Arial" w:cs="Arial"/>
          <w:sz w:val="24"/>
          <w:szCs w:val="24"/>
          <w:lang w:val="en-GB"/>
        </w:rPr>
        <w:tab/>
      </w:r>
      <w:r w:rsidR="000359F5" w:rsidRPr="004E2279">
        <w:rPr>
          <w:rFonts w:ascii="Arial" w:hAnsi="Arial" w:cs="Arial"/>
          <w:sz w:val="24"/>
          <w:szCs w:val="24"/>
          <w:lang w:val="en-GB"/>
        </w:rPr>
        <w:tab/>
      </w:r>
      <w:r w:rsidR="000359F5" w:rsidRPr="004E2279">
        <w:rPr>
          <w:rFonts w:ascii="Arial" w:hAnsi="Arial" w:cs="Arial"/>
          <w:sz w:val="24"/>
          <w:szCs w:val="24"/>
        </w:rPr>
        <w:t>NW2490E</w:t>
      </w:r>
    </w:p>
    <w:p w:rsidR="00EA710B" w:rsidRPr="004E2279" w:rsidRDefault="00DA4793" w:rsidP="005B67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4E2279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REPLY:</w:t>
      </w:r>
    </w:p>
    <w:p w:rsidR="004E0F7D" w:rsidRPr="004E2279" w:rsidRDefault="004E0F7D" w:rsidP="005B67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312B8A" w:rsidRPr="004E2279" w:rsidRDefault="002312FF" w:rsidP="005B674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  <w:r w:rsidRPr="004E227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The </w:t>
      </w:r>
      <w:r w:rsidR="00C431DE" w:rsidRPr="004E227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National D</w:t>
      </w:r>
      <w:r w:rsidRPr="004E227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epartment had</w:t>
      </w:r>
      <w:r w:rsidR="005B674D" w:rsidRPr="004E227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</w:t>
      </w:r>
      <w:r w:rsidR="00312B8A" w:rsidRPr="004E227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only </w:t>
      </w:r>
      <w:r w:rsidR="00F55DEA" w:rsidRPr="004E227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6</w:t>
      </w:r>
      <w:r w:rsidR="005B674D" w:rsidRPr="004E227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bids not awarded </w:t>
      </w:r>
      <w:r w:rsidR="00312B8A" w:rsidRPr="004E227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and not 44 as indicated. </w:t>
      </w:r>
    </w:p>
    <w:p w:rsidR="00312B8A" w:rsidRPr="004E2279" w:rsidRDefault="00312B8A" w:rsidP="00312B8A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</w:p>
    <w:p w:rsidR="005B674D" w:rsidRPr="004E2279" w:rsidRDefault="00312B8A" w:rsidP="00312B8A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</w:pPr>
      <w:r w:rsidRPr="004E227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The details of the </w:t>
      </w:r>
      <w:r w:rsidR="00F55DEA" w:rsidRPr="004E227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6</w:t>
      </w:r>
      <w:r w:rsidRPr="004E227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 xml:space="preserve"> bids are as follows</w:t>
      </w:r>
      <w:r w:rsidR="000760BE" w:rsidRPr="004E227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GB"/>
        </w:rPr>
        <w:t>:</w:t>
      </w:r>
    </w:p>
    <w:p w:rsidR="00C431DE" w:rsidRPr="004E2279" w:rsidRDefault="00C431DE" w:rsidP="005B67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4E2279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br w:type="page"/>
      </w:r>
    </w:p>
    <w:p w:rsidR="00C431DE" w:rsidRPr="004E2279" w:rsidRDefault="00C431DE" w:rsidP="005B67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sectPr w:rsidR="00C431DE" w:rsidRPr="004E2279" w:rsidSect="00C431D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5B674D" w:rsidRPr="004E2279" w:rsidRDefault="005B674D" w:rsidP="005B67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14709" w:type="dxa"/>
        <w:tblInd w:w="-113" w:type="dxa"/>
        <w:tblLook w:val="04A0"/>
      </w:tblPr>
      <w:tblGrid>
        <w:gridCol w:w="709"/>
        <w:gridCol w:w="2691"/>
        <w:gridCol w:w="2838"/>
        <w:gridCol w:w="2409"/>
        <w:gridCol w:w="1418"/>
        <w:gridCol w:w="1276"/>
        <w:gridCol w:w="3368"/>
      </w:tblGrid>
      <w:tr w:rsidR="000408EB" w:rsidRPr="004E2279" w:rsidTr="00617985">
        <w:trPr>
          <w:tblHeader/>
        </w:trPr>
        <w:tc>
          <w:tcPr>
            <w:tcW w:w="709" w:type="dxa"/>
            <w:shd w:val="clear" w:color="auto" w:fill="DBE5F1" w:themeFill="accent1" w:themeFillTint="33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E227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2691" w:type="dxa"/>
            <w:shd w:val="clear" w:color="auto" w:fill="DBE5F1" w:themeFill="accent1" w:themeFillTint="33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22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 xml:space="preserve">Programme </w:t>
            </w:r>
          </w:p>
        </w:tc>
        <w:tc>
          <w:tcPr>
            <w:tcW w:w="2838" w:type="dxa"/>
            <w:shd w:val="clear" w:color="auto" w:fill="DBE5F1" w:themeFill="accent1" w:themeFillTint="33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22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Description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22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Amount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22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 Bid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22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Date</w:t>
            </w:r>
          </w:p>
        </w:tc>
        <w:tc>
          <w:tcPr>
            <w:tcW w:w="3368" w:type="dxa"/>
            <w:shd w:val="clear" w:color="auto" w:fill="DBE5F1" w:themeFill="accent1" w:themeFillTint="33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4E22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Reasons</w:t>
            </w:r>
          </w:p>
        </w:tc>
      </w:tr>
      <w:tr w:rsidR="000408EB" w:rsidRPr="004E2279" w:rsidTr="00617985">
        <w:tc>
          <w:tcPr>
            <w:tcW w:w="709" w:type="dxa"/>
          </w:tcPr>
          <w:p w:rsidR="000408EB" w:rsidRPr="004E2279" w:rsidRDefault="000408EB" w:rsidP="00C431DE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Integrated Anti-Substance Abuse</w:t>
            </w:r>
          </w:p>
        </w:tc>
        <w:tc>
          <w:tcPr>
            <w:tcW w:w="2838" w:type="dxa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Amendment of Act 70 of 2008 Bill</w:t>
            </w:r>
          </w:p>
        </w:tc>
        <w:tc>
          <w:tcPr>
            <w:tcW w:w="2409" w:type="dxa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1 200 000</w:t>
            </w:r>
          </w:p>
        </w:tc>
        <w:tc>
          <w:tcPr>
            <w:tcW w:w="1418" w:type="dxa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Open bids</w:t>
            </w:r>
          </w:p>
        </w:tc>
        <w:tc>
          <w:tcPr>
            <w:tcW w:w="1276" w:type="dxa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May-21</w:t>
            </w:r>
          </w:p>
        </w:tc>
        <w:tc>
          <w:tcPr>
            <w:tcW w:w="3368" w:type="dxa"/>
          </w:tcPr>
          <w:p w:rsidR="000408EB" w:rsidRPr="004E2279" w:rsidRDefault="004E0F7D" w:rsidP="00C431D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The employment</w:t>
            </w:r>
            <w:r w:rsidR="000408EB"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contract for </w:t>
            </w: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the </w:t>
            </w:r>
            <w:r w:rsidR="000408EB"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end-user</w:t>
            </w:r>
            <w:r w:rsidR="00BD450B"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who of this project</w:t>
            </w:r>
            <w:r w:rsidR="000408EB"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expired</w:t>
            </w:r>
            <w:r w:rsidR="00C431DE"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,</w:t>
            </w:r>
            <w:r w:rsidR="00BD450B"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as such the project was delayed</w:t>
            </w: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.</w:t>
            </w:r>
          </w:p>
        </w:tc>
      </w:tr>
      <w:tr w:rsidR="000408EB" w:rsidRPr="004E2279" w:rsidTr="00617985">
        <w:tc>
          <w:tcPr>
            <w:tcW w:w="709" w:type="dxa"/>
          </w:tcPr>
          <w:p w:rsidR="000408EB" w:rsidRPr="004E2279" w:rsidRDefault="000408EB" w:rsidP="00C431DE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Supply Chain Management</w:t>
            </w:r>
          </w:p>
          <w:p w:rsidR="004E0F7D" w:rsidRPr="004E2279" w:rsidRDefault="004E0F7D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Asset Management Outsourcing </w:t>
            </w:r>
          </w:p>
        </w:tc>
        <w:tc>
          <w:tcPr>
            <w:tcW w:w="2409" w:type="dxa"/>
          </w:tcPr>
          <w:p w:rsidR="004E0F7D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5 000</w:t>
            </w:r>
            <w:r w:rsidR="004E0F7D"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000</w:t>
            </w:r>
          </w:p>
        </w:tc>
        <w:tc>
          <w:tcPr>
            <w:tcW w:w="1418" w:type="dxa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Open bids</w:t>
            </w:r>
          </w:p>
        </w:tc>
        <w:tc>
          <w:tcPr>
            <w:tcW w:w="1276" w:type="dxa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May-21</w:t>
            </w:r>
          </w:p>
        </w:tc>
        <w:tc>
          <w:tcPr>
            <w:tcW w:w="3368" w:type="dxa"/>
          </w:tcPr>
          <w:p w:rsidR="005C4638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Postponed for the next financial year</w:t>
            </w:r>
            <w:r w:rsidR="005C4638"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.</w:t>
            </w:r>
            <w:r w:rsidR="00BD450B"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The project is included in the 2022/23 annual procurement plan.</w:t>
            </w:r>
          </w:p>
        </w:tc>
      </w:tr>
      <w:tr w:rsidR="000408EB" w:rsidRPr="004E2279" w:rsidTr="00617985">
        <w:trPr>
          <w:trHeight w:val="3639"/>
        </w:trPr>
        <w:tc>
          <w:tcPr>
            <w:tcW w:w="709" w:type="dxa"/>
          </w:tcPr>
          <w:p w:rsidR="000408EB" w:rsidRPr="004E2279" w:rsidRDefault="000408EB" w:rsidP="00C431DE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5C4638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Office of Director-General</w:t>
            </w:r>
          </w:p>
          <w:p w:rsidR="005C4638" w:rsidRPr="004E2279" w:rsidRDefault="005C4638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4E0F7D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Service provider to audit, review, and develop systems for the entity Government and Oversight</w:t>
            </w:r>
          </w:p>
        </w:tc>
        <w:tc>
          <w:tcPr>
            <w:tcW w:w="2409" w:type="dxa"/>
          </w:tcPr>
          <w:p w:rsidR="004E0F7D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10 000</w:t>
            </w:r>
            <w:r w:rsidR="004E0F7D"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000</w:t>
            </w:r>
          </w:p>
        </w:tc>
        <w:tc>
          <w:tcPr>
            <w:tcW w:w="1418" w:type="dxa"/>
          </w:tcPr>
          <w:p w:rsidR="004E0F7D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Open bids</w:t>
            </w:r>
          </w:p>
        </w:tc>
        <w:tc>
          <w:tcPr>
            <w:tcW w:w="1276" w:type="dxa"/>
          </w:tcPr>
          <w:p w:rsidR="005C4638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Apr-21</w:t>
            </w:r>
          </w:p>
          <w:p w:rsidR="005C4638" w:rsidRPr="004E2279" w:rsidRDefault="005C4638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5C4638" w:rsidRPr="004E2279" w:rsidRDefault="00BD450B" w:rsidP="00C431D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The project was r</w:t>
            </w:r>
            <w:r w:rsidR="000408EB"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emoved from the procurement plan</w:t>
            </w:r>
            <w:r w:rsidR="005C4638"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.</w:t>
            </w:r>
          </w:p>
        </w:tc>
      </w:tr>
      <w:tr w:rsidR="000408EB" w:rsidRPr="004E2279" w:rsidTr="00617985">
        <w:tc>
          <w:tcPr>
            <w:tcW w:w="709" w:type="dxa"/>
          </w:tcPr>
          <w:p w:rsidR="000408EB" w:rsidRPr="004E2279" w:rsidRDefault="000408EB" w:rsidP="00C431DE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Population and Development</w:t>
            </w:r>
          </w:p>
        </w:tc>
        <w:tc>
          <w:tcPr>
            <w:tcW w:w="2838" w:type="dxa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Youth Perception Study on the Socio-Economic, Health, and Gender Impact of COVID-19 </w:t>
            </w:r>
          </w:p>
        </w:tc>
        <w:tc>
          <w:tcPr>
            <w:tcW w:w="2409" w:type="dxa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 1 472 000</w:t>
            </w:r>
          </w:p>
        </w:tc>
        <w:tc>
          <w:tcPr>
            <w:tcW w:w="1418" w:type="dxa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Open bids</w:t>
            </w:r>
          </w:p>
        </w:tc>
        <w:tc>
          <w:tcPr>
            <w:tcW w:w="1276" w:type="dxa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May-21</w:t>
            </w:r>
          </w:p>
        </w:tc>
        <w:tc>
          <w:tcPr>
            <w:tcW w:w="3368" w:type="dxa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End-user did not submit to SCM</w:t>
            </w:r>
            <w:r w:rsidR="00C22625"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.</w:t>
            </w:r>
          </w:p>
        </w:tc>
      </w:tr>
      <w:tr w:rsidR="000408EB" w:rsidRPr="004E2279" w:rsidTr="00617985">
        <w:tc>
          <w:tcPr>
            <w:tcW w:w="709" w:type="dxa"/>
          </w:tcPr>
          <w:p w:rsidR="000408EB" w:rsidRPr="004E2279" w:rsidRDefault="000408EB" w:rsidP="00C431DE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Information Technology</w:t>
            </w:r>
          </w:p>
        </w:tc>
        <w:tc>
          <w:tcPr>
            <w:tcW w:w="2838" w:type="dxa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227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 xml:space="preserve">Procurement for the installation, configuration, maintenance, and support for an artificial intelligence intrusion detection and prevention solution. </w:t>
            </w:r>
          </w:p>
        </w:tc>
        <w:tc>
          <w:tcPr>
            <w:tcW w:w="2409" w:type="dxa"/>
          </w:tcPr>
          <w:p w:rsidR="004E0F7D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227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R 1 450</w:t>
            </w:r>
            <w:r w:rsidR="004E0F7D" w:rsidRPr="004E227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 </w:t>
            </w:r>
            <w:r w:rsidRPr="004E227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ZA"/>
              </w:rPr>
              <w:t>000</w:t>
            </w:r>
          </w:p>
        </w:tc>
        <w:tc>
          <w:tcPr>
            <w:tcW w:w="1418" w:type="dxa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Open bids</w:t>
            </w:r>
          </w:p>
        </w:tc>
        <w:tc>
          <w:tcPr>
            <w:tcW w:w="1276" w:type="dxa"/>
          </w:tcPr>
          <w:p w:rsidR="000408EB" w:rsidRPr="004E2279" w:rsidRDefault="000408EB" w:rsidP="00C431D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22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Apr-21</w:t>
            </w:r>
          </w:p>
        </w:tc>
        <w:tc>
          <w:tcPr>
            <w:tcW w:w="3368" w:type="dxa"/>
          </w:tcPr>
          <w:p w:rsidR="000408EB" w:rsidRPr="004E2279" w:rsidRDefault="00C431DE" w:rsidP="00C431D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4E227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ZA"/>
              </w:rPr>
              <w:t>C</w:t>
            </w:r>
            <w:r w:rsidR="004E0F7D" w:rsidRPr="004E227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ZA"/>
              </w:rPr>
              <w:t>ancelled</w:t>
            </w:r>
            <w:r w:rsidR="00BD450B" w:rsidRPr="004E227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ZA"/>
              </w:rPr>
              <w:t xml:space="preserve"> and will not be done in 2021</w:t>
            </w:r>
            <w:r w:rsidR="00C22625" w:rsidRPr="004E227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ZA"/>
              </w:rPr>
              <w:t>.</w:t>
            </w:r>
          </w:p>
        </w:tc>
      </w:tr>
      <w:tr w:rsidR="00C22625" w:rsidRPr="004E2279" w:rsidTr="00C22625">
        <w:tc>
          <w:tcPr>
            <w:tcW w:w="709" w:type="dxa"/>
          </w:tcPr>
          <w:p w:rsidR="00C22625" w:rsidRPr="004E2279" w:rsidRDefault="00C22625" w:rsidP="00C22625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vAlign w:val="bottom"/>
          </w:tcPr>
          <w:p w:rsidR="00C22625" w:rsidRPr="004E2279" w:rsidRDefault="00C22625" w:rsidP="00C22625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4E2279">
              <w:rPr>
                <w:rFonts w:ascii="Arial" w:hAnsi="Arial" w:cs="Arial"/>
                <w:sz w:val="24"/>
                <w:szCs w:val="24"/>
                <w:lang w:eastAsia="en-ZA"/>
              </w:rPr>
              <w:t>Information Technology</w:t>
            </w:r>
          </w:p>
          <w:p w:rsidR="00C22625" w:rsidRPr="004E2279" w:rsidRDefault="00C22625" w:rsidP="00C22625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838" w:type="dxa"/>
            <w:vAlign w:val="center"/>
          </w:tcPr>
          <w:p w:rsidR="00C22625" w:rsidRPr="004E2279" w:rsidRDefault="00C22625" w:rsidP="00C22625">
            <w:pPr>
              <w:rPr>
                <w:rFonts w:ascii="Arial" w:hAnsi="Arial" w:cs="Arial"/>
                <w:color w:val="333333"/>
                <w:sz w:val="24"/>
                <w:szCs w:val="24"/>
                <w:lang w:eastAsia="en-ZA"/>
              </w:rPr>
            </w:pPr>
            <w:r w:rsidRPr="004E2279">
              <w:rPr>
                <w:rFonts w:ascii="Arial" w:hAnsi="Arial" w:cs="Arial"/>
                <w:color w:val="333333"/>
                <w:sz w:val="24"/>
                <w:szCs w:val="24"/>
                <w:lang w:eastAsia="en-ZA"/>
              </w:rPr>
              <w:t>Acquisition of a digital signage system for the HSRC</w:t>
            </w:r>
            <w:r w:rsidR="00F55DEA" w:rsidRPr="004E2279">
              <w:rPr>
                <w:rFonts w:ascii="Arial" w:hAnsi="Arial" w:cs="Arial"/>
                <w:color w:val="333333"/>
                <w:sz w:val="24"/>
                <w:szCs w:val="24"/>
                <w:lang w:eastAsia="en-ZA"/>
              </w:rPr>
              <w:t>.</w:t>
            </w:r>
          </w:p>
          <w:p w:rsidR="00C22625" w:rsidRPr="004E2279" w:rsidRDefault="00C22625" w:rsidP="00C22625">
            <w:pPr>
              <w:rPr>
                <w:rFonts w:ascii="Arial" w:hAnsi="Arial" w:cs="Arial"/>
                <w:color w:val="333333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color w:val="333333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color w:val="333333"/>
                <w:sz w:val="24"/>
                <w:szCs w:val="24"/>
                <w:lang w:eastAsia="en-ZA"/>
              </w:rPr>
            </w:pPr>
          </w:p>
        </w:tc>
        <w:tc>
          <w:tcPr>
            <w:tcW w:w="2409" w:type="dxa"/>
            <w:vAlign w:val="center"/>
          </w:tcPr>
          <w:p w:rsidR="00C22625" w:rsidRPr="004E2279" w:rsidRDefault="00C22625" w:rsidP="00C22625">
            <w:pPr>
              <w:rPr>
                <w:rFonts w:ascii="Arial" w:hAnsi="Arial" w:cs="Arial"/>
                <w:color w:val="333333"/>
                <w:sz w:val="24"/>
                <w:szCs w:val="24"/>
                <w:lang w:eastAsia="en-ZA"/>
              </w:rPr>
            </w:pPr>
            <w:r w:rsidRPr="004E2279">
              <w:rPr>
                <w:rFonts w:ascii="Arial" w:hAnsi="Arial" w:cs="Arial"/>
                <w:color w:val="333333"/>
                <w:sz w:val="24"/>
                <w:szCs w:val="24"/>
                <w:lang w:eastAsia="en-ZA"/>
              </w:rPr>
              <w:t>R 2 500 000</w:t>
            </w:r>
          </w:p>
          <w:p w:rsidR="00C22625" w:rsidRPr="004E2279" w:rsidRDefault="00C22625" w:rsidP="00C22625">
            <w:pPr>
              <w:rPr>
                <w:rFonts w:ascii="Arial" w:hAnsi="Arial" w:cs="Arial"/>
                <w:color w:val="333333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color w:val="333333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color w:val="333333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color w:val="333333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color w:val="333333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color w:val="333333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color w:val="333333"/>
                <w:sz w:val="24"/>
                <w:szCs w:val="24"/>
                <w:lang w:eastAsia="en-ZA"/>
              </w:rPr>
            </w:pPr>
          </w:p>
        </w:tc>
        <w:tc>
          <w:tcPr>
            <w:tcW w:w="1418" w:type="dxa"/>
            <w:vAlign w:val="bottom"/>
          </w:tcPr>
          <w:p w:rsidR="00C22625" w:rsidRPr="004E2279" w:rsidRDefault="00C22625" w:rsidP="00C22625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4E2279">
              <w:rPr>
                <w:rFonts w:ascii="Arial" w:hAnsi="Arial" w:cs="Arial"/>
                <w:sz w:val="24"/>
                <w:szCs w:val="24"/>
                <w:lang w:eastAsia="en-ZA"/>
              </w:rPr>
              <w:t>Open bids</w:t>
            </w:r>
          </w:p>
          <w:p w:rsidR="00C22625" w:rsidRPr="004E2279" w:rsidRDefault="00C22625" w:rsidP="00C22625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276" w:type="dxa"/>
            <w:vAlign w:val="bottom"/>
          </w:tcPr>
          <w:p w:rsidR="00C22625" w:rsidRPr="004E2279" w:rsidRDefault="00C22625" w:rsidP="00C22625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4E2279">
              <w:rPr>
                <w:rFonts w:ascii="Arial" w:hAnsi="Arial" w:cs="Arial"/>
                <w:sz w:val="24"/>
                <w:szCs w:val="24"/>
                <w:lang w:eastAsia="en-ZA"/>
              </w:rPr>
              <w:t>Apr-21</w:t>
            </w:r>
          </w:p>
          <w:p w:rsidR="00C22625" w:rsidRPr="004E2279" w:rsidRDefault="00C22625" w:rsidP="00C22625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3368" w:type="dxa"/>
            <w:vAlign w:val="bottom"/>
          </w:tcPr>
          <w:p w:rsidR="00C22625" w:rsidRPr="004E2279" w:rsidRDefault="00C22625" w:rsidP="00C22625">
            <w:pPr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  <w:r w:rsidRPr="004E2279">
              <w:rPr>
                <w:rFonts w:ascii="Arial" w:hAnsi="Arial" w:cs="Arial"/>
                <w:bCs/>
                <w:sz w:val="24"/>
                <w:szCs w:val="24"/>
                <w:lang w:eastAsia="en-ZA"/>
              </w:rPr>
              <w:t>Business case was not supported.</w:t>
            </w:r>
          </w:p>
          <w:p w:rsidR="00C22625" w:rsidRPr="004E2279" w:rsidRDefault="00C22625" w:rsidP="00C22625">
            <w:pPr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bCs/>
                <w:sz w:val="24"/>
                <w:szCs w:val="24"/>
                <w:lang w:eastAsia="en-ZA"/>
              </w:rPr>
            </w:pPr>
          </w:p>
          <w:p w:rsidR="00C22625" w:rsidRPr="004E2279" w:rsidRDefault="00C22625" w:rsidP="00C22625">
            <w:pPr>
              <w:rPr>
                <w:rFonts w:ascii="Arial" w:hAnsi="Arial" w:cs="Arial"/>
                <w:bCs/>
                <w:color w:val="333333"/>
                <w:sz w:val="24"/>
                <w:szCs w:val="24"/>
                <w:lang w:eastAsia="en-ZA"/>
              </w:rPr>
            </w:pPr>
          </w:p>
        </w:tc>
      </w:tr>
    </w:tbl>
    <w:p w:rsidR="00C22625" w:rsidRPr="004E2279" w:rsidRDefault="00C22625" w:rsidP="00536DB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C22625" w:rsidRPr="004E2279" w:rsidRDefault="00C22625" w:rsidP="00536DB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536DB6" w:rsidRPr="004E2279" w:rsidRDefault="00536DB6" w:rsidP="00536DB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E2279">
        <w:rPr>
          <w:rFonts w:ascii="Arial" w:hAnsi="Arial" w:cs="Arial"/>
          <w:color w:val="000000" w:themeColor="text1"/>
          <w:sz w:val="24"/>
          <w:szCs w:val="24"/>
        </w:rPr>
        <w:t>2.</w:t>
      </w:r>
    </w:p>
    <w:p w:rsidR="00536DB6" w:rsidRPr="004E2279" w:rsidRDefault="00536DB6" w:rsidP="00536DB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4E2279">
        <w:rPr>
          <w:rFonts w:ascii="Arial" w:hAnsi="Arial" w:cs="Arial"/>
          <w:color w:val="000000" w:themeColor="text1"/>
          <w:sz w:val="24"/>
          <w:szCs w:val="24"/>
        </w:rPr>
        <w:t>(a) &amp; (b)</w:t>
      </w:r>
    </w:p>
    <w:p w:rsidR="00617985" w:rsidRPr="004E2279" w:rsidRDefault="00536DB6" w:rsidP="004E2279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  <w:sectPr w:rsidR="00617985" w:rsidRPr="004E2279" w:rsidSect="00C431D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4E2279">
        <w:rPr>
          <w:rFonts w:ascii="Arial" w:hAnsi="Arial" w:cs="Arial"/>
          <w:color w:val="000000" w:themeColor="text1"/>
          <w:sz w:val="24"/>
          <w:szCs w:val="24"/>
        </w:rPr>
        <w:t>T</w:t>
      </w:r>
      <w:r w:rsidR="007F2916" w:rsidRPr="004E2279">
        <w:rPr>
          <w:rFonts w:ascii="Arial" w:hAnsi="Arial" w:cs="Arial"/>
          <w:color w:val="000000" w:themeColor="text1"/>
          <w:sz w:val="24"/>
          <w:szCs w:val="24"/>
        </w:rPr>
        <w:t>he</w:t>
      </w:r>
      <w:r w:rsidR="000408EB" w:rsidRPr="004E22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5DEA" w:rsidRPr="004E2279">
        <w:rPr>
          <w:rFonts w:ascii="Arial" w:hAnsi="Arial" w:cs="Arial"/>
          <w:color w:val="000000" w:themeColor="text1"/>
          <w:sz w:val="24"/>
          <w:szCs w:val="24"/>
        </w:rPr>
        <w:t>6</w:t>
      </w:r>
      <w:r w:rsidR="007F2916" w:rsidRPr="004E2279">
        <w:rPr>
          <w:rFonts w:ascii="Arial" w:hAnsi="Arial" w:cs="Arial"/>
          <w:color w:val="000000" w:themeColor="text1"/>
          <w:sz w:val="24"/>
          <w:szCs w:val="24"/>
        </w:rPr>
        <w:t xml:space="preserve"> bids</w:t>
      </w:r>
      <w:r w:rsidR="00F676DE" w:rsidRPr="004E2279">
        <w:rPr>
          <w:rFonts w:ascii="Arial" w:hAnsi="Arial" w:cs="Arial"/>
          <w:color w:val="000000" w:themeColor="text1"/>
          <w:sz w:val="24"/>
          <w:szCs w:val="24"/>
        </w:rPr>
        <w:t xml:space="preserve"> indicated above</w:t>
      </w:r>
      <w:r w:rsidR="007F2916" w:rsidRPr="004E2279">
        <w:rPr>
          <w:rFonts w:ascii="Arial" w:hAnsi="Arial" w:cs="Arial"/>
          <w:color w:val="000000" w:themeColor="text1"/>
          <w:sz w:val="24"/>
          <w:szCs w:val="24"/>
        </w:rPr>
        <w:t xml:space="preserve"> did not result in any irregular expenditure</w:t>
      </w:r>
      <w:r w:rsidR="00F676DE" w:rsidRPr="004E2279">
        <w:rPr>
          <w:rFonts w:ascii="Arial" w:hAnsi="Arial" w:cs="Arial"/>
          <w:color w:val="000000" w:themeColor="text1"/>
          <w:sz w:val="24"/>
          <w:szCs w:val="24"/>
        </w:rPr>
        <w:t>.</w:t>
      </w:r>
      <w:r w:rsidR="007F2916" w:rsidRPr="004E2279">
        <w:rPr>
          <w:rFonts w:ascii="Arial" w:hAnsi="Arial" w:cs="Arial"/>
          <w:color w:val="000000" w:themeColor="text1"/>
          <w:sz w:val="24"/>
          <w:szCs w:val="24"/>
        </w:rPr>
        <w:t xml:space="preserve"> Bids not awarded in the previous financial year and still required by the Department are carried over to the current financial year.</w:t>
      </w:r>
      <w:bookmarkStart w:id="0" w:name="_GoBack"/>
      <w:bookmarkStart w:id="1" w:name="_Hlk88819804"/>
      <w:bookmarkEnd w:id="0"/>
    </w:p>
    <w:bookmarkEnd w:id="1"/>
    <w:p w:rsidR="00F04ECE" w:rsidRPr="004E2279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sectPr w:rsidR="00F04ECE" w:rsidRPr="004E2279" w:rsidSect="0061798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74" w:rsidRDefault="003F4E74">
      <w:pPr>
        <w:spacing w:after="0" w:line="240" w:lineRule="auto"/>
      </w:pPr>
      <w:r>
        <w:separator/>
      </w:r>
    </w:p>
  </w:endnote>
  <w:endnote w:type="continuationSeparator" w:id="0">
    <w:p w:rsidR="003F4E74" w:rsidRDefault="003F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734416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3F4E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74" w:rsidRDefault="003F4E74">
      <w:pPr>
        <w:spacing w:after="0" w:line="240" w:lineRule="auto"/>
      </w:pPr>
      <w:r>
        <w:separator/>
      </w:r>
    </w:p>
  </w:footnote>
  <w:footnote w:type="continuationSeparator" w:id="0">
    <w:p w:rsidR="003F4E74" w:rsidRDefault="003F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FFF"/>
    <w:multiLevelType w:val="hybridMultilevel"/>
    <w:tmpl w:val="401252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C12E3"/>
    <w:multiLevelType w:val="hybridMultilevel"/>
    <w:tmpl w:val="738063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37764C"/>
    <w:multiLevelType w:val="hybridMultilevel"/>
    <w:tmpl w:val="304E734C"/>
    <w:lvl w:ilvl="0" w:tplc="DC8444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614A8"/>
    <w:multiLevelType w:val="hybridMultilevel"/>
    <w:tmpl w:val="3784203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C53DF"/>
    <w:multiLevelType w:val="hybridMultilevel"/>
    <w:tmpl w:val="AEC09B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2"/>
  </w:num>
  <w:num w:numId="5">
    <w:abstractNumId w:val="13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9"/>
  </w:num>
  <w:num w:numId="13">
    <w:abstractNumId w:val="11"/>
  </w:num>
  <w:num w:numId="14">
    <w:abstractNumId w:val="8"/>
  </w:num>
  <w:num w:numId="15">
    <w:abstractNumId w:val="18"/>
  </w:num>
  <w:num w:numId="16">
    <w:abstractNumId w:val="15"/>
  </w:num>
  <w:num w:numId="17">
    <w:abstractNumId w:val="3"/>
  </w:num>
  <w:num w:numId="18">
    <w:abstractNumId w:val="17"/>
  </w:num>
  <w:num w:numId="19">
    <w:abstractNumId w:val="0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359F5"/>
    <w:rsid w:val="000373EF"/>
    <w:rsid w:val="000408EB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760BE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0417"/>
    <w:rsid w:val="000E3F6F"/>
    <w:rsid w:val="000F1964"/>
    <w:rsid w:val="000F1F08"/>
    <w:rsid w:val="000F33EF"/>
    <w:rsid w:val="000F400B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2619E"/>
    <w:rsid w:val="002312FF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4162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0F40"/>
    <w:rsid w:val="002F17AE"/>
    <w:rsid w:val="002F1B57"/>
    <w:rsid w:val="003055D8"/>
    <w:rsid w:val="00306CD5"/>
    <w:rsid w:val="00310F71"/>
    <w:rsid w:val="00312B8A"/>
    <w:rsid w:val="00314EB9"/>
    <w:rsid w:val="00317C62"/>
    <w:rsid w:val="00322453"/>
    <w:rsid w:val="00323847"/>
    <w:rsid w:val="003313F7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53B6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3F4E74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5764C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45D1"/>
    <w:rsid w:val="004952C8"/>
    <w:rsid w:val="004B0E92"/>
    <w:rsid w:val="004B16FD"/>
    <w:rsid w:val="004B2779"/>
    <w:rsid w:val="004B3426"/>
    <w:rsid w:val="004C75CF"/>
    <w:rsid w:val="004D27C4"/>
    <w:rsid w:val="004D2F24"/>
    <w:rsid w:val="004D34EB"/>
    <w:rsid w:val="004D56FC"/>
    <w:rsid w:val="004E0A72"/>
    <w:rsid w:val="004E0F7D"/>
    <w:rsid w:val="004E2279"/>
    <w:rsid w:val="004E33EB"/>
    <w:rsid w:val="004E7C2C"/>
    <w:rsid w:val="004F5481"/>
    <w:rsid w:val="004F58F7"/>
    <w:rsid w:val="004F736D"/>
    <w:rsid w:val="005001B0"/>
    <w:rsid w:val="00501A17"/>
    <w:rsid w:val="0050367D"/>
    <w:rsid w:val="00505A71"/>
    <w:rsid w:val="00506466"/>
    <w:rsid w:val="00511968"/>
    <w:rsid w:val="00512601"/>
    <w:rsid w:val="00514645"/>
    <w:rsid w:val="00515132"/>
    <w:rsid w:val="00526786"/>
    <w:rsid w:val="0053151F"/>
    <w:rsid w:val="0053181D"/>
    <w:rsid w:val="00531BEB"/>
    <w:rsid w:val="00536DB6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5890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B674D"/>
    <w:rsid w:val="005C4638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1798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416"/>
    <w:rsid w:val="007345A6"/>
    <w:rsid w:val="00743DFA"/>
    <w:rsid w:val="00747628"/>
    <w:rsid w:val="0075383A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3DDF"/>
    <w:rsid w:val="007C792C"/>
    <w:rsid w:val="007D0892"/>
    <w:rsid w:val="007D6644"/>
    <w:rsid w:val="007D78D7"/>
    <w:rsid w:val="007E24D7"/>
    <w:rsid w:val="007E387C"/>
    <w:rsid w:val="007E4506"/>
    <w:rsid w:val="007E799B"/>
    <w:rsid w:val="007F2916"/>
    <w:rsid w:val="007F4E1A"/>
    <w:rsid w:val="007F7022"/>
    <w:rsid w:val="00801103"/>
    <w:rsid w:val="008028AC"/>
    <w:rsid w:val="00803018"/>
    <w:rsid w:val="0080530C"/>
    <w:rsid w:val="0080768D"/>
    <w:rsid w:val="008107F9"/>
    <w:rsid w:val="0081327A"/>
    <w:rsid w:val="00817BA8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072C"/>
    <w:rsid w:val="00892AE6"/>
    <w:rsid w:val="008A0BD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C41FB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6606F"/>
    <w:rsid w:val="00B70939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D450B"/>
    <w:rsid w:val="00BE4B10"/>
    <w:rsid w:val="00BE7599"/>
    <w:rsid w:val="00BF18E9"/>
    <w:rsid w:val="00BF4647"/>
    <w:rsid w:val="00C010C2"/>
    <w:rsid w:val="00C01144"/>
    <w:rsid w:val="00C0555F"/>
    <w:rsid w:val="00C1329B"/>
    <w:rsid w:val="00C14016"/>
    <w:rsid w:val="00C15BFA"/>
    <w:rsid w:val="00C209DA"/>
    <w:rsid w:val="00C20D9A"/>
    <w:rsid w:val="00C22625"/>
    <w:rsid w:val="00C2466C"/>
    <w:rsid w:val="00C305CD"/>
    <w:rsid w:val="00C3242E"/>
    <w:rsid w:val="00C33804"/>
    <w:rsid w:val="00C4208C"/>
    <w:rsid w:val="00C431DE"/>
    <w:rsid w:val="00C458DA"/>
    <w:rsid w:val="00C468BA"/>
    <w:rsid w:val="00C52EF3"/>
    <w:rsid w:val="00C6342B"/>
    <w:rsid w:val="00C650E0"/>
    <w:rsid w:val="00C66339"/>
    <w:rsid w:val="00C71E9C"/>
    <w:rsid w:val="00C720D2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3C41"/>
    <w:rsid w:val="00D3796C"/>
    <w:rsid w:val="00D4048F"/>
    <w:rsid w:val="00D44FC0"/>
    <w:rsid w:val="00D450FC"/>
    <w:rsid w:val="00D51239"/>
    <w:rsid w:val="00D56611"/>
    <w:rsid w:val="00D61A84"/>
    <w:rsid w:val="00D67D54"/>
    <w:rsid w:val="00D703A5"/>
    <w:rsid w:val="00D71E36"/>
    <w:rsid w:val="00D77748"/>
    <w:rsid w:val="00D80E2E"/>
    <w:rsid w:val="00D97CF9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436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171F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A710B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E71B5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5DEA"/>
    <w:rsid w:val="00F56AFA"/>
    <w:rsid w:val="00F6119F"/>
    <w:rsid w:val="00F676DE"/>
    <w:rsid w:val="00F709AB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7981-2BA5-4168-BF95-C554CAE0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2022-07-07T13:54:00Z</cp:lastPrinted>
  <dcterms:created xsi:type="dcterms:W3CDTF">2022-07-25T08:54:00Z</dcterms:created>
  <dcterms:modified xsi:type="dcterms:W3CDTF">2022-07-25T08:54:00Z</dcterms:modified>
</cp:coreProperties>
</file>