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716648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716648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71664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71664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71664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71664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716648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709AB"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</w:t>
      </w:r>
      <w:r w:rsidR="00E5171F"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85</w:t>
      </w:r>
    </w:p>
    <w:p w:rsidR="00D33C41" w:rsidRPr="00716648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F709AB"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27 </w:t>
      </w:r>
      <w:r w:rsidR="007C3DDF"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MAY</w:t>
      </w:r>
      <w:r w:rsidR="009E7540"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716648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F709AB"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</w:t>
      </w:r>
      <w:r w:rsidR="00505A71"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71664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E5171F" w:rsidRPr="00716648" w:rsidRDefault="00E5171F" w:rsidP="00E5171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</w:rPr>
      </w:pPr>
      <w:r w:rsidRPr="00716648">
        <w:rPr>
          <w:rFonts w:ascii="Arial" w:hAnsi="Arial" w:cs="Arial"/>
          <w:b/>
        </w:rPr>
        <w:t>2085.</w:t>
      </w:r>
      <w:r w:rsidRPr="00716648">
        <w:rPr>
          <w:rFonts w:ascii="Arial" w:hAnsi="Arial" w:cs="Arial"/>
          <w:b/>
        </w:rPr>
        <w:tab/>
      </w:r>
      <w:r w:rsidRPr="00716648">
        <w:rPr>
          <w:rFonts w:ascii="Arial" w:hAnsi="Arial" w:cs="Arial"/>
          <w:b/>
          <w:bCs/>
        </w:rPr>
        <w:t xml:space="preserve">Mrs G </w:t>
      </w:r>
      <w:r w:rsidRPr="00716648">
        <w:rPr>
          <w:rFonts w:ascii="Arial" w:hAnsi="Arial" w:cs="Arial"/>
          <w:b/>
        </w:rPr>
        <w:t>Opperman</w:t>
      </w:r>
      <w:r w:rsidRPr="00716648">
        <w:rPr>
          <w:rFonts w:ascii="Arial" w:hAnsi="Arial" w:cs="Arial"/>
          <w:b/>
          <w:bCs/>
        </w:rPr>
        <w:t xml:space="preserve"> (DA) to ask the Minister of Social Development</w:t>
      </w:r>
      <w:r w:rsidR="0045257C" w:rsidRPr="00716648">
        <w:rPr>
          <w:rFonts w:ascii="Arial" w:hAnsi="Arial" w:cs="Arial"/>
          <w:b/>
          <w:bCs/>
        </w:rPr>
        <w:fldChar w:fldCharType="begin"/>
      </w:r>
      <w:r w:rsidRPr="00716648">
        <w:rPr>
          <w:rFonts w:ascii="Arial" w:hAnsi="Arial" w:cs="Arial"/>
        </w:rPr>
        <w:instrText xml:space="preserve"> XE "</w:instrText>
      </w:r>
      <w:r w:rsidRPr="00716648">
        <w:rPr>
          <w:rFonts w:ascii="Arial" w:hAnsi="Arial" w:cs="Arial"/>
          <w:b/>
          <w:bCs/>
        </w:rPr>
        <w:instrText>Social Development</w:instrText>
      </w:r>
      <w:r w:rsidRPr="00716648">
        <w:rPr>
          <w:rFonts w:ascii="Arial" w:hAnsi="Arial" w:cs="Arial"/>
        </w:rPr>
        <w:instrText xml:space="preserve">" </w:instrText>
      </w:r>
      <w:r w:rsidR="0045257C" w:rsidRPr="00716648">
        <w:rPr>
          <w:rFonts w:ascii="Arial" w:hAnsi="Arial" w:cs="Arial"/>
          <w:b/>
          <w:bCs/>
        </w:rPr>
        <w:fldChar w:fldCharType="end"/>
      </w:r>
      <w:r w:rsidRPr="00716648">
        <w:rPr>
          <w:rFonts w:ascii="Arial" w:hAnsi="Arial" w:cs="Arial"/>
          <w:b/>
          <w:bCs/>
        </w:rPr>
        <w:t>:</w:t>
      </w:r>
    </w:p>
    <w:p w:rsidR="00E5171F" w:rsidRPr="00716648" w:rsidRDefault="00E5171F" w:rsidP="00E5171F">
      <w:pPr>
        <w:spacing w:before="240" w:line="240" w:lineRule="auto"/>
        <w:ind w:left="709" w:firstLine="11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What amount of budget cuts did (a) her department experience in each province, especially in the Northern Cape</w:t>
      </w:r>
      <w:r w:rsidR="00961E0E" w:rsidRPr="00716648">
        <w:rPr>
          <w:rFonts w:ascii="Arial" w:hAnsi="Arial" w:cs="Arial"/>
        </w:rPr>
        <w:t>,</w:t>
      </w:r>
      <w:r w:rsidRPr="00716648">
        <w:rPr>
          <w:rFonts w:ascii="Arial" w:hAnsi="Arial" w:cs="Arial"/>
        </w:rPr>
        <w:t xml:space="preserve"> and (b) each programme receive</w:t>
      </w:r>
      <w:r w:rsidRPr="00716648">
        <w:rPr>
          <w:rFonts w:ascii="Arial" w:hAnsi="Arial" w:cs="Arial"/>
          <w:lang w:val="en-GB"/>
        </w:rPr>
        <w:t>?</w:t>
      </w:r>
      <w:r w:rsidRPr="00716648">
        <w:rPr>
          <w:rFonts w:ascii="Arial" w:hAnsi="Arial" w:cs="Arial"/>
          <w:lang w:val="en-GB"/>
        </w:rPr>
        <w:tab/>
      </w:r>
      <w:r w:rsidRPr="00716648">
        <w:rPr>
          <w:rFonts w:ascii="Arial" w:hAnsi="Arial" w:cs="Arial"/>
          <w:lang w:val="en-GB"/>
        </w:rPr>
        <w:tab/>
      </w:r>
      <w:r w:rsidRPr="00716648">
        <w:rPr>
          <w:rFonts w:ascii="Arial" w:hAnsi="Arial" w:cs="Arial"/>
        </w:rPr>
        <w:t>NW2488E</w:t>
      </w:r>
    </w:p>
    <w:p w:rsidR="00F709AB" w:rsidRPr="00716648" w:rsidRDefault="00F709AB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DA4793" w:rsidRPr="00716648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D661D7" w:rsidRPr="00716648" w:rsidRDefault="00D661D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FA2E51" w:rsidRPr="00716648" w:rsidRDefault="00FA2E5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t>Eastern Cape</w:t>
      </w:r>
      <w:r w:rsidR="00501D35"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Province</w:t>
      </w:r>
    </w:p>
    <w:p w:rsidR="00932950" w:rsidRPr="00716648" w:rsidRDefault="003678C9" w:rsidP="00A12FE7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 xml:space="preserve"> &amp; b) </w:t>
      </w:r>
      <w:r w:rsidR="00FA2E51" w:rsidRPr="00716648">
        <w:rPr>
          <w:rFonts w:ascii="Arial" w:hAnsi="Arial" w:cs="Arial"/>
        </w:rPr>
        <w:t xml:space="preserve">The Eastern Cape Department of Social Development (DSD) did not experience a budget cut for the 2022/23 financial year and 2022 MTEF period other than the budget cuts that </w:t>
      </w:r>
      <w:r w:rsidR="00961E0E" w:rsidRPr="00716648">
        <w:rPr>
          <w:rFonts w:ascii="Arial" w:hAnsi="Arial" w:cs="Arial"/>
        </w:rPr>
        <w:t>were</w:t>
      </w:r>
      <w:r w:rsidR="00FA2E51" w:rsidRPr="00716648">
        <w:rPr>
          <w:rFonts w:ascii="Arial" w:hAnsi="Arial" w:cs="Arial"/>
        </w:rPr>
        <w:t xml:space="preserve"> implemented in the 2021 MTEF period. </w:t>
      </w:r>
    </w:p>
    <w:p w:rsidR="00FA2E51" w:rsidRPr="00716648" w:rsidRDefault="003678C9" w:rsidP="00932950">
      <w:pPr>
        <w:pStyle w:val="ListParagraph"/>
        <w:spacing w:before="100" w:beforeAutospacing="1" w:after="100" w:afterAutospacing="1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T</w:t>
      </w:r>
      <w:r w:rsidR="00FA2E51" w:rsidRPr="00716648">
        <w:rPr>
          <w:rFonts w:ascii="Arial" w:hAnsi="Arial" w:cs="Arial"/>
        </w:rPr>
        <w:t xml:space="preserve">he budget for the Department was however reduced because of the ECD function shift from DSD to </w:t>
      </w:r>
      <w:r w:rsidR="00961E0E" w:rsidRPr="00716648">
        <w:rPr>
          <w:rFonts w:ascii="Arial" w:hAnsi="Arial" w:cs="Arial"/>
        </w:rPr>
        <w:t xml:space="preserve">the </w:t>
      </w:r>
      <w:r w:rsidR="00FA2E51" w:rsidRPr="00716648">
        <w:rPr>
          <w:rFonts w:ascii="Arial" w:hAnsi="Arial" w:cs="Arial"/>
        </w:rPr>
        <w:t>Department of Education (DOE).</w:t>
      </w:r>
    </w:p>
    <w:p w:rsidR="00501D35" w:rsidRPr="00716648" w:rsidRDefault="00D661D7" w:rsidP="00501D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t>Free State</w:t>
      </w:r>
      <w:r w:rsidR="00501D35"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Province</w:t>
      </w:r>
    </w:p>
    <w:p w:rsidR="00DE1CA2" w:rsidRPr="00716648" w:rsidRDefault="00DE1CA2" w:rsidP="00501D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D661D7" w:rsidRPr="00716648" w:rsidRDefault="00D661D7" w:rsidP="003678C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lang w:val="en-GB"/>
        </w:rPr>
      </w:pPr>
      <w:r w:rsidRPr="00716648">
        <w:rPr>
          <w:rFonts w:ascii="Arial" w:hAnsi="Arial" w:cs="Arial"/>
          <w:bCs/>
          <w:lang w:val="en-GB"/>
        </w:rPr>
        <w:t>Amount of budget cuts experienced in the Free State Province</w:t>
      </w:r>
    </w:p>
    <w:p w:rsidR="00D661D7" w:rsidRPr="00716648" w:rsidRDefault="00D661D7" w:rsidP="00D661D7">
      <w:pPr>
        <w:pStyle w:val="ListParagraph"/>
        <w:ind w:left="709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D661D7" w:rsidRPr="00716648" w:rsidRDefault="00D661D7" w:rsidP="00D661D7">
      <w:pPr>
        <w:pStyle w:val="ListParagraph"/>
        <w:ind w:left="709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From the final allocation for the 2020/21 financial year to the main allocation for 2021/22, the departmental budget for the FS DSD decreased </w:t>
      </w:r>
      <w:r w:rsidR="00961E0E" w:rsidRPr="00716648">
        <w:rPr>
          <w:rFonts w:ascii="Arial" w:eastAsia="Times New Roman" w:hAnsi="Arial" w:cs="Arial"/>
          <w:snapToGrid w:val="0"/>
          <w:color w:val="000000"/>
          <w:lang w:val="en-GB"/>
        </w:rPr>
        <w:t>by</w:t>
      </w: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 R</w:t>
      </w:r>
      <w:r w:rsidR="003678C9"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 </w:t>
      </w: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>77.196 million.</w:t>
      </w:r>
    </w:p>
    <w:p w:rsidR="00D661D7" w:rsidRPr="00716648" w:rsidRDefault="00D661D7" w:rsidP="00D661D7">
      <w:pPr>
        <w:pStyle w:val="ListParagraph"/>
        <w:ind w:left="709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D661D7" w:rsidRPr="00716648" w:rsidRDefault="00D661D7" w:rsidP="00D661D7">
      <w:pPr>
        <w:pStyle w:val="ListParagraph"/>
        <w:ind w:left="709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The cuts were mainly on </w:t>
      </w:r>
      <w:r w:rsidR="00961E0E"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the </w:t>
      </w: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Compensation of Employees as a result of </w:t>
      </w:r>
      <w:r w:rsidR="00961E0E"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the </w:t>
      </w: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>freezing of annual salary adjustments over the MTEF.</w:t>
      </w:r>
    </w:p>
    <w:p w:rsidR="00D661D7" w:rsidRPr="00716648" w:rsidRDefault="00D661D7" w:rsidP="00D661D7">
      <w:pPr>
        <w:pStyle w:val="ListParagraph"/>
        <w:ind w:left="709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D661D7" w:rsidRPr="00716648" w:rsidRDefault="00D661D7" w:rsidP="00D661D7">
      <w:pPr>
        <w:pStyle w:val="ListParagraph"/>
        <w:ind w:left="709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From the Main Allocation to the Final Allocation (during the Adjustment Budget) the department received: </w:t>
      </w:r>
    </w:p>
    <w:p w:rsidR="00D661D7" w:rsidRPr="00716648" w:rsidRDefault="00D661D7" w:rsidP="00D661D7">
      <w:pPr>
        <w:pStyle w:val="ListParagraph"/>
        <w:numPr>
          <w:ilvl w:val="0"/>
          <w:numId w:val="18"/>
        </w:numPr>
        <w:spacing w:after="0" w:line="240" w:lineRule="auto"/>
        <w:ind w:left="1134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>R</w:t>
      </w:r>
      <w:r w:rsidR="00961E0E"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 </w:t>
      </w: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37.336 million as a roll-over of the ECD Conditional </w:t>
      </w:r>
      <w:r w:rsidR="003678C9" w:rsidRPr="00716648">
        <w:rPr>
          <w:rFonts w:ascii="Arial" w:eastAsia="Times New Roman" w:hAnsi="Arial" w:cs="Arial"/>
          <w:snapToGrid w:val="0"/>
          <w:color w:val="000000"/>
          <w:lang w:val="en-GB"/>
        </w:rPr>
        <w:t>Grant;</w:t>
      </w:r>
    </w:p>
    <w:p w:rsidR="00D661D7" w:rsidRPr="00716648" w:rsidRDefault="00D661D7" w:rsidP="00D661D7">
      <w:pPr>
        <w:pStyle w:val="ListParagraph"/>
        <w:numPr>
          <w:ilvl w:val="0"/>
          <w:numId w:val="18"/>
        </w:numPr>
        <w:spacing w:after="0" w:line="240" w:lineRule="auto"/>
        <w:ind w:left="1134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>R</w:t>
      </w:r>
      <w:r w:rsidR="00961E0E"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 </w:t>
      </w: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>31.692 million for gratuities paid to officials on levels 1-12;</w:t>
      </w:r>
    </w:p>
    <w:p w:rsidR="00D661D7" w:rsidRPr="00716648" w:rsidRDefault="00D661D7" w:rsidP="00D661D7">
      <w:pPr>
        <w:pStyle w:val="ListParagraph"/>
        <w:numPr>
          <w:ilvl w:val="0"/>
          <w:numId w:val="18"/>
        </w:numPr>
        <w:spacing w:after="0" w:line="240" w:lineRule="auto"/>
        <w:ind w:left="1134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>R</w:t>
      </w:r>
      <w:r w:rsidR="003678C9"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 </w:t>
      </w: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>12 million for appointment of social workers;</w:t>
      </w:r>
    </w:p>
    <w:p w:rsidR="00D661D7" w:rsidRPr="00716648" w:rsidRDefault="00D661D7" w:rsidP="00D661D7">
      <w:pPr>
        <w:pStyle w:val="ListParagraph"/>
        <w:numPr>
          <w:ilvl w:val="0"/>
          <w:numId w:val="18"/>
        </w:numPr>
        <w:spacing w:after="0" w:line="240" w:lineRule="auto"/>
        <w:ind w:left="1134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>R</w:t>
      </w:r>
      <w:r w:rsidR="003678C9"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 </w:t>
      </w: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>10.702 in respect of the ECD Stimulus;</w:t>
      </w:r>
    </w:p>
    <w:p w:rsidR="00D661D7" w:rsidRPr="00716648" w:rsidRDefault="00D661D7" w:rsidP="00D661D7">
      <w:pPr>
        <w:pStyle w:val="ListParagraph"/>
        <w:numPr>
          <w:ilvl w:val="0"/>
          <w:numId w:val="18"/>
        </w:numPr>
        <w:spacing w:after="0" w:line="240" w:lineRule="auto"/>
        <w:ind w:left="1134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lastRenderedPageBreak/>
        <w:t>R</w:t>
      </w:r>
      <w:r w:rsidR="003678C9" w:rsidRPr="00716648">
        <w:rPr>
          <w:rFonts w:ascii="Arial" w:eastAsia="Times New Roman" w:hAnsi="Arial" w:cs="Arial"/>
          <w:snapToGrid w:val="0"/>
          <w:color w:val="000000"/>
          <w:lang w:val="en-GB"/>
        </w:rPr>
        <w:t xml:space="preserve"> </w:t>
      </w:r>
      <w:r w:rsidRPr="00716648">
        <w:rPr>
          <w:rFonts w:ascii="Arial" w:eastAsia="Times New Roman" w:hAnsi="Arial" w:cs="Arial"/>
          <w:snapToGrid w:val="0"/>
          <w:color w:val="000000"/>
          <w:lang w:val="en-GB"/>
        </w:rPr>
        <w:t>4.2 million towards the ENGO Payment</w:t>
      </w:r>
    </w:p>
    <w:p w:rsidR="00B220E9" w:rsidRPr="00716648" w:rsidRDefault="00B220E9" w:rsidP="00B220E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D661D7" w:rsidRPr="00716648" w:rsidRDefault="00D661D7" w:rsidP="00716648">
      <w:pPr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bookmarkStart w:id="0" w:name="_GoBack"/>
      <w:bookmarkEnd w:id="0"/>
    </w:p>
    <w:p w:rsidR="00D661D7" w:rsidRPr="00716648" w:rsidRDefault="00961E0E" w:rsidP="003678C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bCs/>
          <w:snapToGrid w:val="0"/>
          <w:color w:val="000000"/>
          <w:lang w:val="en-GB"/>
        </w:rPr>
        <w:t>Decrease/increase ease</w:t>
      </w:r>
      <w:r w:rsidR="00D661D7" w:rsidRPr="00716648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 per programme as well as final appropriation:</w:t>
      </w:r>
    </w:p>
    <w:p w:rsidR="00D661D7" w:rsidRPr="00716648" w:rsidRDefault="00D661D7" w:rsidP="00D661D7">
      <w:pPr>
        <w:pStyle w:val="ListParagraph"/>
        <w:ind w:left="1080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bookmarkStart w:id="1" w:name="_MON_1713615348"/>
    <w:bookmarkEnd w:id="1"/>
    <w:p w:rsidR="00D661D7" w:rsidRPr="00716648" w:rsidRDefault="00D661D7" w:rsidP="00D661D7">
      <w:pPr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object w:dxaOrig="8938" w:dyaOrig="2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8.25pt" o:ole="">
            <v:imagedata r:id="rId8" o:title=""/>
          </v:shape>
          <o:OLEObject Type="Embed" ProgID="Excel.Sheet.12" ShapeID="_x0000_i1025" DrawAspect="Content" ObjectID="_1720246731" r:id="rId9"/>
        </w:object>
      </w:r>
    </w:p>
    <w:p w:rsidR="00D661D7" w:rsidRPr="00716648" w:rsidRDefault="00D661D7" w:rsidP="00D661D7">
      <w:pPr>
        <w:jc w:val="both"/>
        <w:rPr>
          <w:rFonts w:ascii="Arial" w:eastAsia="Times New Roman" w:hAnsi="Arial" w:cs="Arial"/>
          <w:b/>
          <w:snapToGrid w:val="0"/>
          <w:color w:val="000000"/>
        </w:rPr>
      </w:pPr>
    </w:p>
    <w:p w:rsidR="00DE1CA2" w:rsidRPr="00716648" w:rsidRDefault="00C10464" w:rsidP="00DE1C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color w:val="000000"/>
        </w:rPr>
        <w:t>Gauteng</w:t>
      </w:r>
      <w:r w:rsidR="00DE1CA2" w:rsidRPr="00716648">
        <w:rPr>
          <w:rFonts w:ascii="Arial" w:eastAsia="Times New Roman" w:hAnsi="Arial" w:cs="Arial"/>
          <w:b/>
          <w:snapToGrid w:val="0"/>
          <w:color w:val="000000"/>
        </w:rPr>
        <w:t xml:space="preserve"> </w:t>
      </w:r>
      <w:r w:rsidR="00DE1CA2"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t>Province</w:t>
      </w:r>
    </w:p>
    <w:p w:rsidR="00DE1CA2" w:rsidRPr="00716648" w:rsidRDefault="00DE1CA2" w:rsidP="00DE1C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C10464" w:rsidRPr="00716648" w:rsidRDefault="00C10464" w:rsidP="00C1046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</w:rPr>
      </w:pPr>
      <w:r w:rsidRPr="00716648">
        <w:rPr>
          <w:rFonts w:ascii="Arial" w:eastAsia="+mn-ea" w:hAnsi="Arial" w:cs="Arial"/>
          <w:color w:val="000000" w:themeColor="text1"/>
          <w:kern w:val="24"/>
        </w:rPr>
        <w:t xml:space="preserve">The baseline allocation for </w:t>
      </w:r>
      <w:r w:rsidR="00961E0E" w:rsidRPr="00716648">
        <w:rPr>
          <w:rFonts w:ascii="Arial" w:eastAsia="+mn-ea" w:hAnsi="Arial" w:cs="Arial"/>
          <w:color w:val="000000" w:themeColor="text1"/>
          <w:kern w:val="24"/>
        </w:rPr>
        <w:t xml:space="preserve">the </w:t>
      </w:r>
      <w:r w:rsidRPr="00716648">
        <w:rPr>
          <w:rFonts w:ascii="Arial" w:eastAsia="+mn-ea" w:hAnsi="Arial" w:cs="Arial"/>
          <w:color w:val="000000" w:themeColor="text1"/>
          <w:kern w:val="24"/>
        </w:rPr>
        <w:t>Gauteng Department of Social Development was reduced by R</w:t>
      </w:r>
      <w:r w:rsidR="003678C9" w:rsidRPr="00716648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716648">
        <w:rPr>
          <w:rFonts w:ascii="Arial" w:eastAsia="+mn-ea" w:hAnsi="Arial" w:cs="Arial"/>
          <w:color w:val="000000" w:themeColor="text1"/>
          <w:kern w:val="24"/>
        </w:rPr>
        <w:t xml:space="preserve">614,545 million in the 2022/23 financial year due to </w:t>
      </w:r>
      <w:r w:rsidR="003678C9" w:rsidRPr="00716648">
        <w:rPr>
          <w:rFonts w:ascii="Arial" w:eastAsia="+mn-ea" w:hAnsi="Arial" w:cs="Arial"/>
          <w:color w:val="000000" w:themeColor="text1"/>
          <w:kern w:val="24"/>
        </w:rPr>
        <w:t xml:space="preserve">the </w:t>
      </w:r>
      <w:r w:rsidRPr="00716648">
        <w:rPr>
          <w:rFonts w:ascii="Arial" w:eastAsia="+mn-ea" w:hAnsi="Arial" w:cs="Arial"/>
          <w:color w:val="000000" w:themeColor="text1"/>
          <w:kern w:val="24"/>
        </w:rPr>
        <w:t xml:space="preserve">ECD function shift, centralisation of </w:t>
      </w:r>
      <w:r w:rsidR="00961E0E" w:rsidRPr="00716648">
        <w:rPr>
          <w:rFonts w:ascii="Arial" w:eastAsia="+mn-ea" w:hAnsi="Arial" w:cs="Arial"/>
          <w:color w:val="000000" w:themeColor="text1"/>
          <w:kern w:val="24"/>
        </w:rPr>
        <w:t xml:space="preserve">the </w:t>
      </w:r>
      <w:r w:rsidRPr="00716648">
        <w:rPr>
          <w:rFonts w:ascii="Arial" w:eastAsia="+mn-ea" w:hAnsi="Arial" w:cs="Arial"/>
          <w:color w:val="000000" w:themeColor="text1"/>
          <w:kern w:val="24"/>
        </w:rPr>
        <w:t>ICT budget to the Department of e-Government, infrastructure cut</w:t>
      </w:r>
      <w:r w:rsidR="00961E0E" w:rsidRPr="00716648">
        <w:rPr>
          <w:rFonts w:ascii="Arial" w:eastAsia="+mn-ea" w:hAnsi="Arial" w:cs="Arial"/>
          <w:color w:val="000000" w:themeColor="text1"/>
          <w:kern w:val="24"/>
        </w:rPr>
        <w:t>,</w:t>
      </w:r>
      <w:r w:rsidRPr="00716648">
        <w:rPr>
          <w:rFonts w:ascii="Arial" w:eastAsia="+mn-ea" w:hAnsi="Arial" w:cs="Arial"/>
          <w:color w:val="000000" w:themeColor="text1"/>
          <w:kern w:val="24"/>
        </w:rPr>
        <w:t xml:space="preserve"> and fiscal consolidation reduction.</w:t>
      </w:r>
    </w:p>
    <w:p w:rsidR="00C10464" w:rsidRPr="00716648" w:rsidRDefault="00C10464" w:rsidP="00C10464">
      <w:pPr>
        <w:spacing w:line="360" w:lineRule="auto"/>
        <w:contextualSpacing/>
        <w:jc w:val="both"/>
        <w:rPr>
          <w:rFonts w:ascii="Arial" w:hAnsi="Arial" w:cs="Arial"/>
          <w:b/>
          <w:snapToGrid w:val="0"/>
          <w:color w:val="000000" w:themeColor="text1"/>
          <w:lang w:val="en-GB"/>
        </w:rPr>
      </w:pPr>
    </w:p>
    <w:p w:rsidR="00C10464" w:rsidRPr="00716648" w:rsidRDefault="00C10464" w:rsidP="00C10464">
      <w:pPr>
        <w:spacing w:line="360" w:lineRule="auto"/>
        <w:jc w:val="both"/>
        <w:rPr>
          <w:rFonts w:ascii="Arial" w:hAnsi="Arial" w:cs="Arial"/>
          <w:b/>
          <w:snapToGrid w:val="0"/>
          <w:color w:val="000000" w:themeColor="text1"/>
          <w:lang w:val="en-GB"/>
        </w:rPr>
      </w:pPr>
      <w:r w:rsidRPr="00716648">
        <w:rPr>
          <w:rFonts w:ascii="Arial" w:hAnsi="Arial" w:cs="Arial"/>
          <w:b/>
          <w:snapToGrid w:val="0"/>
          <w:color w:val="000000" w:themeColor="text1"/>
          <w:lang w:val="en-GB"/>
        </w:rPr>
        <w:t>Table 1: Baseline Reduction - 2022/23 Financial Year</w:t>
      </w:r>
    </w:p>
    <w:tbl>
      <w:tblPr>
        <w:tblStyle w:val="GridTable4Accent1"/>
        <w:tblW w:w="9918" w:type="dxa"/>
        <w:tblLook w:val="0600"/>
      </w:tblPr>
      <w:tblGrid>
        <w:gridCol w:w="6374"/>
        <w:gridCol w:w="3544"/>
      </w:tblGrid>
      <w:tr w:rsidR="00C10464" w:rsidRPr="00716648" w:rsidTr="00C765EF">
        <w:trPr>
          <w:trHeight w:val="376"/>
        </w:trPr>
        <w:tc>
          <w:tcPr>
            <w:tcW w:w="6374" w:type="dxa"/>
            <w:hideMark/>
          </w:tcPr>
          <w:p w:rsidR="00C10464" w:rsidRPr="00716648" w:rsidRDefault="00C10464" w:rsidP="00371AA3">
            <w:pPr>
              <w:spacing w:line="360" w:lineRule="auto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</w:rPr>
              <w:t>ITEM</w:t>
            </w:r>
          </w:p>
        </w:tc>
        <w:tc>
          <w:tcPr>
            <w:tcW w:w="3544" w:type="dxa"/>
            <w:hideMark/>
          </w:tcPr>
          <w:p w:rsidR="00C10464" w:rsidRPr="00716648" w:rsidRDefault="00C10464" w:rsidP="00C765EF">
            <w:pPr>
              <w:spacing w:line="360" w:lineRule="auto"/>
              <w:jc w:val="righ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</w:rPr>
              <w:t>2022/23</w:t>
            </w:r>
          </w:p>
          <w:p w:rsidR="00C10464" w:rsidRPr="00716648" w:rsidRDefault="00C10464" w:rsidP="00C765EF">
            <w:pPr>
              <w:spacing w:line="360" w:lineRule="auto"/>
              <w:jc w:val="righ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</w:rPr>
              <w:t>R’000</w:t>
            </w:r>
          </w:p>
        </w:tc>
      </w:tr>
      <w:tr w:rsidR="00C10464" w:rsidRPr="00716648" w:rsidTr="00C765EF">
        <w:trPr>
          <w:trHeight w:val="346"/>
        </w:trPr>
        <w:tc>
          <w:tcPr>
            <w:tcW w:w="6374" w:type="dxa"/>
            <w:hideMark/>
          </w:tcPr>
          <w:p w:rsidR="00C10464" w:rsidRPr="00716648" w:rsidRDefault="00C10464" w:rsidP="00371AA3">
            <w:pPr>
              <w:spacing w:line="360" w:lineRule="auto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color w:val="000000" w:themeColor="text1"/>
                <w:kern w:val="24"/>
              </w:rPr>
              <w:t>ECD Function Shift</w:t>
            </w:r>
          </w:p>
        </w:tc>
        <w:tc>
          <w:tcPr>
            <w:tcW w:w="3544" w:type="dxa"/>
            <w:hideMark/>
          </w:tcPr>
          <w:p w:rsidR="00C10464" w:rsidRPr="00716648" w:rsidRDefault="00C10464" w:rsidP="00371AA3">
            <w:pPr>
              <w:spacing w:line="360" w:lineRule="auto"/>
              <w:jc w:val="righ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color w:val="000000" w:themeColor="text1"/>
                <w:kern w:val="24"/>
              </w:rPr>
              <w:t xml:space="preserve">    591 278 </w:t>
            </w:r>
          </w:p>
        </w:tc>
      </w:tr>
      <w:tr w:rsidR="00C10464" w:rsidRPr="00716648" w:rsidTr="00C765EF">
        <w:trPr>
          <w:trHeight w:val="346"/>
        </w:trPr>
        <w:tc>
          <w:tcPr>
            <w:tcW w:w="6374" w:type="dxa"/>
            <w:hideMark/>
          </w:tcPr>
          <w:p w:rsidR="00C10464" w:rsidRPr="00716648" w:rsidRDefault="00C10464" w:rsidP="00371AA3">
            <w:pPr>
              <w:spacing w:line="360" w:lineRule="auto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color w:val="000000" w:themeColor="text1"/>
                <w:kern w:val="24"/>
              </w:rPr>
              <w:t>ICT Budge Centralisation (Department of e-Government)</w:t>
            </w:r>
          </w:p>
        </w:tc>
        <w:tc>
          <w:tcPr>
            <w:tcW w:w="3544" w:type="dxa"/>
            <w:hideMark/>
          </w:tcPr>
          <w:p w:rsidR="00C10464" w:rsidRPr="00716648" w:rsidRDefault="00C10464" w:rsidP="00371AA3">
            <w:pPr>
              <w:spacing w:line="360" w:lineRule="auto"/>
              <w:jc w:val="righ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color w:val="000000" w:themeColor="text1"/>
                <w:kern w:val="24"/>
              </w:rPr>
              <w:t xml:space="preserve">        7 533 </w:t>
            </w:r>
          </w:p>
        </w:tc>
      </w:tr>
      <w:tr w:rsidR="00C10464" w:rsidRPr="00716648" w:rsidTr="00C765EF">
        <w:trPr>
          <w:trHeight w:val="346"/>
        </w:trPr>
        <w:tc>
          <w:tcPr>
            <w:tcW w:w="6374" w:type="dxa"/>
            <w:hideMark/>
          </w:tcPr>
          <w:p w:rsidR="00C10464" w:rsidRPr="00716648" w:rsidRDefault="00C10464" w:rsidP="00371AA3">
            <w:pPr>
              <w:spacing w:line="360" w:lineRule="auto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color w:val="000000" w:themeColor="text1"/>
                <w:kern w:val="24"/>
              </w:rPr>
              <w:t>Infrastructure</w:t>
            </w:r>
          </w:p>
        </w:tc>
        <w:tc>
          <w:tcPr>
            <w:tcW w:w="3544" w:type="dxa"/>
            <w:hideMark/>
          </w:tcPr>
          <w:p w:rsidR="00C10464" w:rsidRPr="00716648" w:rsidRDefault="00C10464" w:rsidP="00371AA3">
            <w:pPr>
              <w:spacing w:line="360" w:lineRule="auto"/>
              <w:jc w:val="righ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color w:val="000000" w:themeColor="text1"/>
                <w:kern w:val="24"/>
              </w:rPr>
              <w:t xml:space="preserve">      12 100 </w:t>
            </w:r>
          </w:p>
        </w:tc>
      </w:tr>
      <w:tr w:rsidR="00C10464" w:rsidRPr="00716648" w:rsidTr="00C765EF">
        <w:trPr>
          <w:trHeight w:val="346"/>
        </w:trPr>
        <w:tc>
          <w:tcPr>
            <w:tcW w:w="6374" w:type="dxa"/>
            <w:hideMark/>
          </w:tcPr>
          <w:p w:rsidR="00C10464" w:rsidRPr="00716648" w:rsidRDefault="00C10464" w:rsidP="00371AA3">
            <w:pPr>
              <w:spacing w:line="360" w:lineRule="auto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color w:val="000000" w:themeColor="text1"/>
                <w:kern w:val="24"/>
              </w:rPr>
              <w:t>Cuts from Provincial Treasury (Fiscal consolidation)</w:t>
            </w:r>
          </w:p>
        </w:tc>
        <w:tc>
          <w:tcPr>
            <w:tcW w:w="3544" w:type="dxa"/>
            <w:hideMark/>
          </w:tcPr>
          <w:p w:rsidR="00C10464" w:rsidRPr="00716648" w:rsidRDefault="00C10464" w:rsidP="00371AA3">
            <w:pPr>
              <w:spacing w:line="360" w:lineRule="auto"/>
              <w:jc w:val="righ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color w:val="000000" w:themeColor="text1"/>
                <w:kern w:val="24"/>
              </w:rPr>
              <w:t xml:space="preserve">        3 634 </w:t>
            </w:r>
          </w:p>
        </w:tc>
      </w:tr>
      <w:tr w:rsidR="00C10464" w:rsidRPr="00716648" w:rsidTr="00C765EF">
        <w:trPr>
          <w:trHeight w:val="346"/>
        </w:trPr>
        <w:tc>
          <w:tcPr>
            <w:tcW w:w="6374" w:type="dxa"/>
            <w:hideMark/>
          </w:tcPr>
          <w:p w:rsidR="00C10464" w:rsidRPr="00716648" w:rsidRDefault="00C10464" w:rsidP="00371AA3">
            <w:pPr>
              <w:spacing w:line="360" w:lineRule="auto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</w:rPr>
              <w:t>TOTAL</w:t>
            </w:r>
          </w:p>
        </w:tc>
        <w:tc>
          <w:tcPr>
            <w:tcW w:w="3544" w:type="dxa"/>
            <w:hideMark/>
          </w:tcPr>
          <w:p w:rsidR="00C10464" w:rsidRPr="00716648" w:rsidRDefault="00C10464" w:rsidP="00371AA3">
            <w:pPr>
              <w:spacing w:line="360" w:lineRule="auto"/>
              <w:jc w:val="right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716648"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</w:rPr>
              <w:t xml:space="preserve">   614 545 </w:t>
            </w:r>
          </w:p>
        </w:tc>
      </w:tr>
    </w:tbl>
    <w:p w:rsidR="00961E0E" w:rsidRPr="00716648" w:rsidRDefault="00961E0E" w:rsidP="00C10464">
      <w:pPr>
        <w:jc w:val="both"/>
        <w:rPr>
          <w:rFonts w:ascii="Arial" w:hAnsi="Arial" w:cs="Arial"/>
        </w:rPr>
      </w:pPr>
    </w:p>
    <w:p w:rsidR="00C10464" w:rsidRPr="00716648" w:rsidRDefault="00C10464" w:rsidP="00D661D7">
      <w:pPr>
        <w:jc w:val="both"/>
        <w:rPr>
          <w:rFonts w:ascii="Arial" w:eastAsia="Times New Roman" w:hAnsi="Arial" w:cs="Arial"/>
          <w:bCs/>
          <w:snapToGrid w:val="0"/>
          <w:color w:val="000000"/>
        </w:rPr>
      </w:pPr>
      <w:r w:rsidRPr="00716648">
        <w:rPr>
          <w:rFonts w:ascii="Arial" w:eastAsia="Times New Roman" w:hAnsi="Arial" w:cs="Arial"/>
          <w:bCs/>
          <w:snapToGrid w:val="0"/>
          <w:color w:val="000000"/>
        </w:rPr>
        <w:t>b)</w:t>
      </w:r>
      <w:r w:rsidRPr="00716648">
        <w:rPr>
          <w:rFonts w:ascii="Arial" w:eastAsia="Times New Roman" w:hAnsi="Arial" w:cs="Arial"/>
          <w:b/>
          <w:snapToGrid w:val="0"/>
          <w:color w:val="000000"/>
        </w:rPr>
        <w:t xml:space="preserve"> </w:t>
      </w:r>
      <w:r w:rsidRPr="00716648">
        <w:rPr>
          <w:rFonts w:ascii="Arial" w:eastAsia="Times New Roman" w:hAnsi="Arial" w:cs="Arial"/>
          <w:bCs/>
          <w:snapToGrid w:val="0"/>
          <w:color w:val="000000"/>
        </w:rPr>
        <w:t>E</w:t>
      </w:r>
      <w:r w:rsidRPr="00716648">
        <w:rPr>
          <w:rFonts w:ascii="Arial" w:eastAsiaTheme="minorEastAsia" w:hAnsi="Arial" w:cs="Arial"/>
          <w:bCs/>
        </w:rPr>
        <w:t>ach programme receive</w:t>
      </w:r>
      <w:r w:rsidR="00DE1CA2" w:rsidRPr="00716648">
        <w:rPr>
          <w:rFonts w:ascii="Arial" w:eastAsiaTheme="minorEastAsia" w:hAnsi="Arial" w:cs="Arial"/>
          <w:bCs/>
        </w:rPr>
        <w:t>d</w:t>
      </w:r>
      <w:r w:rsidR="00C765EF" w:rsidRPr="00716648">
        <w:rPr>
          <w:rFonts w:ascii="Arial" w:eastAsiaTheme="minorEastAsia" w:hAnsi="Arial" w:cs="Arial"/>
          <w:bCs/>
        </w:rPr>
        <w:t xml:space="preserve"> the following:</w:t>
      </w:r>
    </w:p>
    <w:p w:rsidR="00C10464" w:rsidRPr="00716648" w:rsidRDefault="00C10464" w:rsidP="00C10464">
      <w:pPr>
        <w:jc w:val="both"/>
        <w:rPr>
          <w:rFonts w:ascii="Arial" w:hAnsi="Arial" w:cs="Arial"/>
          <w:bCs/>
          <w:lang w:val="en-GB"/>
        </w:rPr>
      </w:pPr>
      <w:r w:rsidRPr="00716648">
        <w:rPr>
          <w:rFonts w:ascii="Arial" w:hAnsi="Arial" w:cs="Arial"/>
          <w:bCs/>
          <w:snapToGrid w:val="0"/>
          <w:lang w:val="en-GB"/>
        </w:rPr>
        <w:t>Table 2: Baseline Reduction per Programme - 2022/23 Financial Year</w:t>
      </w:r>
    </w:p>
    <w:tbl>
      <w:tblPr>
        <w:tblStyle w:val="GridTable1LightAccent1"/>
        <w:tblW w:w="9776" w:type="dxa"/>
        <w:tblLook w:val="04A0"/>
      </w:tblPr>
      <w:tblGrid>
        <w:gridCol w:w="5807"/>
        <w:gridCol w:w="3969"/>
      </w:tblGrid>
      <w:tr w:rsidR="00FA2E51" w:rsidRPr="00716648" w:rsidTr="00C765EF">
        <w:trPr>
          <w:cnfStyle w:val="100000000000"/>
          <w:trHeight w:val="476"/>
        </w:trPr>
        <w:tc>
          <w:tcPr>
            <w:cnfStyle w:val="001000000000"/>
            <w:tcW w:w="5807" w:type="dxa"/>
          </w:tcPr>
          <w:p w:rsidR="00C10464" w:rsidRPr="00716648" w:rsidRDefault="00C10464" w:rsidP="00371AA3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716648">
              <w:rPr>
                <w:rFonts w:ascii="Arial" w:hAnsi="Arial" w:cs="Arial"/>
                <w:b w:val="0"/>
                <w:bCs w:val="0"/>
              </w:rPr>
              <w:t>Programme</w:t>
            </w:r>
          </w:p>
        </w:tc>
        <w:tc>
          <w:tcPr>
            <w:tcW w:w="3969" w:type="dxa"/>
          </w:tcPr>
          <w:p w:rsidR="00C10464" w:rsidRPr="00716648" w:rsidRDefault="00C10464" w:rsidP="00C765EF">
            <w:pPr>
              <w:spacing w:before="100" w:beforeAutospacing="1" w:after="100" w:afterAutospacing="1" w:line="276" w:lineRule="auto"/>
              <w:jc w:val="right"/>
              <w:cnfStyle w:val="100000000000"/>
              <w:rPr>
                <w:rFonts w:ascii="Arial" w:hAnsi="Arial" w:cs="Arial"/>
                <w:b w:val="0"/>
                <w:bCs w:val="0"/>
              </w:rPr>
            </w:pPr>
            <w:r w:rsidRPr="00716648">
              <w:rPr>
                <w:rFonts w:ascii="Arial" w:hAnsi="Arial" w:cs="Arial"/>
                <w:b w:val="0"/>
                <w:bCs w:val="0"/>
              </w:rPr>
              <w:t>Amount</w:t>
            </w:r>
          </w:p>
          <w:p w:rsidR="00C10464" w:rsidRPr="00716648" w:rsidRDefault="00C10464" w:rsidP="00C765EF">
            <w:pPr>
              <w:spacing w:before="100" w:beforeAutospacing="1" w:after="100" w:afterAutospacing="1" w:line="276" w:lineRule="auto"/>
              <w:jc w:val="right"/>
              <w:cnfStyle w:val="100000000000"/>
              <w:rPr>
                <w:rFonts w:ascii="Arial" w:hAnsi="Arial" w:cs="Arial"/>
                <w:b w:val="0"/>
                <w:bCs w:val="0"/>
              </w:rPr>
            </w:pPr>
            <w:r w:rsidRPr="00716648">
              <w:rPr>
                <w:rFonts w:ascii="Arial" w:hAnsi="Arial" w:cs="Arial"/>
                <w:b w:val="0"/>
                <w:bCs w:val="0"/>
              </w:rPr>
              <w:t>R’000</w:t>
            </w:r>
          </w:p>
        </w:tc>
      </w:tr>
      <w:tr w:rsidR="00FA2E51" w:rsidRPr="00716648" w:rsidTr="00C765EF">
        <w:trPr>
          <w:trHeight w:val="342"/>
        </w:trPr>
        <w:tc>
          <w:tcPr>
            <w:cnfStyle w:val="001000000000"/>
            <w:tcW w:w="5807" w:type="dxa"/>
          </w:tcPr>
          <w:p w:rsidR="00C10464" w:rsidRPr="00716648" w:rsidRDefault="00C10464" w:rsidP="00371AA3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Administration</w:t>
            </w:r>
          </w:p>
        </w:tc>
        <w:tc>
          <w:tcPr>
            <w:tcW w:w="3969" w:type="dxa"/>
          </w:tcPr>
          <w:p w:rsidR="00C10464" w:rsidRPr="00716648" w:rsidRDefault="00C10464" w:rsidP="00371AA3">
            <w:pPr>
              <w:spacing w:before="100" w:beforeAutospacing="1" w:after="100" w:afterAutospacing="1" w:line="276" w:lineRule="auto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15 023</w:t>
            </w:r>
          </w:p>
        </w:tc>
      </w:tr>
      <w:tr w:rsidR="00FA2E51" w:rsidRPr="00716648" w:rsidTr="00C765EF">
        <w:trPr>
          <w:trHeight w:val="330"/>
        </w:trPr>
        <w:tc>
          <w:tcPr>
            <w:cnfStyle w:val="001000000000"/>
            <w:tcW w:w="5807" w:type="dxa"/>
          </w:tcPr>
          <w:p w:rsidR="00C10464" w:rsidRPr="00716648" w:rsidRDefault="00C10464" w:rsidP="00371AA3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Social Welfare Services</w:t>
            </w:r>
          </w:p>
        </w:tc>
        <w:tc>
          <w:tcPr>
            <w:tcW w:w="3969" w:type="dxa"/>
          </w:tcPr>
          <w:p w:rsidR="00C10464" w:rsidRPr="00716648" w:rsidRDefault="00C10464" w:rsidP="00371AA3">
            <w:pPr>
              <w:spacing w:before="100" w:beforeAutospacing="1" w:after="100" w:afterAutospacing="1" w:line="276" w:lineRule="auto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0</w:t>
            </w:r>
          </w:p>
        </w:tc>
      </w:tr>
      <w:tr w:rsidR="00FA2E51" w:rsidRPr="00716648" w:rsidTr="00C765EF">
        <w:trPr>
          <w:trHeight w:val="342"/>
        </w:trPr>
        <w:tc>
          <w:tcPr>
            <w:cnfStyle w:val="001000000000"/>
            <w:tcW w:w="5807" w:type="dxa"/>
          </w:tcPr>
          <w:p w:rsidR="00C10464" w:rsidRPr="00716648" w:rsidRDefault="00C10464" w:rsidP="00371AA3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Children &amp; Families</w:t>
            </w:r>
          </w:p>
        </w:tc>
        <w:tc>
          <w:tcPr>
            <w:tcW w:w="3969" w:type="dxa"/>
          </w:tcPr>
          <w:p w:rsidR="00C10464" w:rsidRPr="00716648" w:rsidRDefault="00C10464" w:rsidP="00371AA3">
            <w:pPr>
              <w:spacing w:before="100" w:beforeAutospacing="1" w:after="100" w:afterAutospacing="1" w:line="276" w:lineRule="auto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542 414</w:t>
            </w:r>
          </w:p>
        </w:tc>
      </w:tr>
      <w:tr w:rsidR="00FA2E51" w:rsidRPr="00716648" w:rsidTr="00C765EF">
        <w:trPr>
          <w:trHeight w:val="342"/>
        </w:trPr>
        <w:tc>
          <w:tcPr>
            <w:cnfStyle w:val="001000000000"/>
            <w:tcW w:w="5807" w:type="dxa"/>
          </w:tcPr>
          <w:p w:rsidR="00C10464" w:rsidRPr="00716648" w:rsidRDefault="00C10464" w:rsidP="00371AA3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Restorative Services</w:t>
            </w:r>
          </w:p>
        </w:tc>
        <w:tc>
          <w:tcPr>
            <w:tcW w:w="3969" w:type="dxa"/>
          </w:tcPr>
          <w:p w:rsidR="00C10464" w:rsidRPr="00716648" w:rsidRDefault="00C10464" w:rsidP="00371AA3">
            <w:pPr>
              <w:spacing w:before="100" w:beforeAutospacing="1" w:after="100" w:afterAutospacing="1" w:line="276" w:lineRule="auto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12 100</w:t>
            </w:r>
          </w:p>
        </w:tc>
      </w:tr>
      <w:tr w:rsidR="00FA2E51" w:rsidRPr="00716648" w:rsidTr="00C765EF">
        <w:trPr>
          <w:trHeight w:val="330"/>
        </w:trPr>
        <w:tc>
          <w:tcPr>
            <w:cnfStyle w:val="001000000000"/>
            <w:tcW w:w="5807" w:type="dxa"/>
          </w:tcPr>
          <w:p w:rsidR="00C10464" w:rsidRPr="00716648" w:rsidRDefault="00C10464" w:rsidP="00371AA3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Development &amp; Research</w:t>
            </w:r>
          </w:p>
        </w:tc>
        <w:tc>
          <w:tcPr>
            <w:tcW w:w="3969" w:type="dxa"/>
          </w:tcPr>
          <w:p w:rsidR="00C10464" w:rsidRPr="00716648" w:rsidRDefault="00C10464" w:rsidP="00371AA3">
            <w:pPr>
              <w:spacing w:before="100" w:beforeAutospacing="1" w:after="100" w:afterAutospacing="1" w:line="276" w:lineRule="auto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45 008</w:t>
            </w:r>
          </w:p>
        </w:tc>
      </w:tr>
      <w:tr w:rsidR="00FA2E51" w:rsidRPr="00716648" w:rsidTr="00C765EF">
        <w:trPr>
          <w:trHeight w:val="342"/>
        </w:trPr>
        <w:tc>
          <w:tcPr>
            <w:cnfStyle w:val="001000000000"/>
            <w:tcW w:w="5807" w:type="dxa"/>
          </w:tcPr>
          <w:p w:rsidR="00C10464" w:rsidRPr="00716648" w:rsidRDefault="00C10464" w:rsidP="00371AA3">
            <w:pPr>
              <w:spacing w:after="200" w:line="276" w:lineRule="auto"/>
              <w:textAlignment w:val="center"/>
              <w:rPr>
                <w:rFonts w:ascii="Arial" w:hAnsi="Arial" w:cs="Arial"/>
                <w:i/>
                <w:iCs/>
                <w:kern w:val="24"/>
              </w:rPr>
            </w:pPr>
            <w:r w:rsidRPr="00716648">
              <w:rPr>
                <w:rFonts w:ascii="Arial" w:hAnsi="Arial" w:cs="Arial"/>
                <w:i/>
                <w:iCs/>
                <w:kern w:val="24"/>
              </w:rPr>
              <w:t>TOTAL</w:t>
            </w:r>
          </w:p>
        </w:tc>
        <w:tc>
          <w:tcPr>
            <w:tcW w:w="3969" w:type="dxa"/>
          </w:tcPr>
          <w:p w:rsidR="00C10464" w:rsidRPr="00716648" w:rsidRDefault="00C10464" w:rsidP="00371AA3">
            <w:pPr>
              <w:spacing w:after="200" w:line="276" w:lineRule="auto"/>
              <w:jc w:val="right"/>
              <w:textAlignment w:val="center"/>
              <w:cnfStyle w:val="000000000000"/>
              <w:rPr>
                <w:rFonts w:ascii="Arial" w:hAnsi="Arial" w:cs="Arial"/>
                <w:b/>
                <w:bCs/>
                <w:i/>
                <w:iCs/>
                <w:kern w:val="24"/>
              </w:rPr>
            </w:pPr>
            <w:r w:rsidRPr="00716648">
              <w:rPr>
                <w:rFonts w:ascii="Arial" w:hAnsi="Arial" w:cs="Arial"/>
                <w:b/>
                <w:bCs/>
                <w:i/>
                <w:iCs/>
                <w:kern w:val="24"/>
              </w:rPr>
              <w:t>614 545</w:t>
            </w:r>
          </w:p>
        </w:tc>
      </w:tr>
    </w:tbl>
    <w:p w:rsidR="00C10464" w:rsidRPr="00716648" w:rsidRDefault="00C10464" w:rsidP="00D661D7">
      <w:pPr>
        <w:jc w:val="both"/>
        <w:rPr>
          <w:rFonts w:ascii="Arial" w:eastAsia="Times New Roman" w:hAnsi="Arial" w:cs="Arial"/>
          <w:b/>
          <w:snapToGrid w:val="0"/>
          <w:color w:val="000000"/>
        </w:rPr>
      </w:pPr>
    </w:p>
    <w:p w:rsidR="00DE1CA2" w:rsidRPr="00716648" w:rsidRDefault="00C10464" w:rsidP="00DE1C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color w:val="000000"/>
        </w:rPr>
        <w:t>KwaZulu-Natal</w:t>
      </w:r>
      <w:r w:rsidR="00DE1CA2" w:rsidRPr="00716648">
        <w:rPr>
          <w:rFonts w:ascii="Arial" w:eastAsia="Times New Roman" w:hAnsi="Arial" w:cs="Arial"/>
          <w:b/>
          <w:snapToGrid w:val="0"/>
          <w:color w:val="000000"/>
        </w:rPr>
        <w:t xml:space="preserve"> </w:t>
      </w:r>
      <w:r w:rsidR="00DE1CA2"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t>Province</w:t>
      </w:r>
    </w:p>
    <w:p w:rsidR="00DE1CA2" w:rsidRPr="00716648" w:rsidRDefault="00DE1CA2" w:rsidP="00DE1C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C765EF" w:rsidRPr="00716648" w:rsidRDefault="00D661D7" w:rsidP="003C0E7B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The budget cuts experienced by KwaZulu-Natal DSD were R</w:t>
      </w:r>
      <w:r w:rsidR="00C765EF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 xml:space="preserve">322, 909 million for 2021/2022 and </w:t>
      </w:r>
    </w:p>
    <w:p w:rsidR="00D661D7" w:rsidRPr="00716648" w:rsidRDefault="00D661D7" w:rsidP="003C0E7B">
      <w:pPr>
        <w:pStyle w:val="NoSpacing"/>
        <w:ind w:left="720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R</w:t>
      </w:r>
      <w:r w:rsidR="00C765EF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>427, 238 million for 2022/2023 financial years.</w:t>
      </w:r>
    </w:p>
    <w:p w:rsidR="00961E0E" w:rsidRPr="00716648" w:rsidRDefault="00961E0E" w:rsidP="003678C9">
      <w:pPr>
        <w:pStyle w:val="NoSpacing"/>
        <w:ind w:left="720" w:hanging="720"/>
        <w:jc w:val="both"/>
        <w:rPr>
          <w:rFonts w:ascii="Arial" w:hAnsi="Arial" w:cs="Arial"/>
        </w:rPr>
      </w:pPr>
    </w:p>
    <w:p w:rsidR="00C765EF" w:rsidRPr="00716648" w:rsidRDefault="00C765EF" w:rsidP="003678C9">
      <w:pPr>
        <w:pStyle w:val="NoSpacing"/>
        <w:ind w:left="720" w:hanging="720"/>
        <w:jc w:val="both"/>
        <w:rPr>
          <w:rFonts w:ascii="Arial" w:hAnsi="Arial" w:cs="Arial"/>
        </w:rPr>
      </w:pPr>
    </w:p>
    <w:p w:rsidR="00C765EF" w:rsidRPr="00716648" w:rsidRDefault="00C765EF" w:rsidP="003678C9">
      <w:pPr>
        <w:pStyle w:val="NoSpacing"/>
        <w:ind w:left="720" w:hanging="720"/>
        <w:jc w:val="both"/>
        <w:rPr>
          <w:rFonts w:ascii="Arial" w:hAnsi="Arial" w:cs="Arial"/>
        </w:rPr>
      </w:pPr>
    </w:p>
    <w:p w:rsidR="00C765EF" w:rsidRPr="00716648" w:rsidRDefault="00C765EF" w:rsidP="003678C9">
      <w:pPr>
        <w:pStyle w:val="NoSpacing"/>
        <w:ind w:left="720" w:hanging="720"/>
        <w:jc w:val="both"/>
        <w:rPr>
          <w:rFonts w:ascii="Arial" w:hAnsi="Arial" w:cs="Arial"/>
        </w:rPr>
      </w:pPr>
    </w:p>
    <w:p w:rsidR="00D661D7" w:rsidRPr="00716648" w:rsidRDefault="00D661D7" w:rsidP="00D661D7">
      <w:pPr>
        <w:pStyle w:val="NoSpacing"/>
        <w:ind w:left="720" w:hanging="720"/>
        <w:rPr>
          <w:rFonts w:ascii="Arial" w:hAnsi="Arial" w:cs="Arial"/>
        </w:rPr>
      </w:pPr>
    </w:p>
    <w:p w:rsidR="00D661D7" w:rsidRPr="00716648" w:rsidRDefault="00D661D7" w:rsidP="00DE1CA2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716648">
        <w:rPr>
          <w:rFonts w:ascii="Arial" w:hAnsi="Arial" w:cs="Arial"/>
        </w:rPr>
        <w:t>Each programme received the following budget cuts:</w:t>
      </w:r>
    </w:p>
    <w:p w:rsidR="00961E0E" w:rsidRPr="00716648" w:rsidRDefault="00961E0E" w:rsidP="00D661D7">
      <w:pPr>
        <w:pStyle w:val="NoSpacing"/>
        <w:ind w:left="720" w:hanging="720"/>
        <w:rPr>
          <w:rFonts w:ascii="Arial" w:hAnsi="Arial" w:cs="Arial"/>
        </w:rPr>
      </w:pPr>
    </w:p>
    <w:tbl>
      <w:tblPr>
        <w:tblStyle w:val="GridTable1LightAccent1"/>
        <w:tblW w:w="10774" w:type="dxa"/>
        <w:tblInd w:w="-714" w:type="dxa"/>
        <w:tblLayout w:type="fixed"/>
        <w:tblLook w:val="04A0"/>
      </w:tblPr>
      <w:tblGrid>
        <w:gridCol w:w="3549"/>
        <w:gridCol w:w="4673"/>
        <w:gridCol w:w="2552"/>
      </w:tblGrid>
      <w:tr w:rsidR="00D661D7" w:rsidRPr="00716648" w:rsidTr="00DE1CA2">
        <w:trPr>
          <w:cnfStyle w:val="100000000000"/>
          <w:trHeight w:val="829"/>
        </w:trPr>
        <w:tc>
          <w:tcPr>
            <w:cnfStyle w:val="001000000000"/>
            <w:tcW w:w="3549" w:type="dxa"/>
          </w:tcPr>
          <w:p w:rsidR="00D661D7" w:rsidRPr="00716648" w:rsidRDefault="00D661D7" w:rsidP="00DE1CA2">
            <w:pPr>
              <w:rPr>
                <w:rFonts w:ascii="Arial" w:hAnsi="Arial" w:cs="Arial"/>
                <w:b w:val="0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Programme</w:t>
            </w:r>
          </w:p>
        </w:tc>
        <w:tc>
          <w:tcPr>
            <w:tcW w:w="4673" w:type="dxa"/>
          </w:tcPr>
          <w:p w:rsidR="00D661D7" w:rsidRPr="00716648" w:rsidRDefault="00D661D7" w:rsidP="00371AA3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2021/22</w:t>
            </w:r>
          </w:p>
          <w:p w:rsidR="00DE1CA2" w:rsidRPr="00716648" w:rsidRDefault="00DE1CA2" w:rsidP="00371AA3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R’000</w:t>
            </w:r>
          </w:p>
          <w:p w:rsidR="00DE1CA2" w:rsidRPr="00716648" w:rsidRDefault="00DE1CA2" w:rsidP="00371AA3">
            <w:pPr>
              <w:jc w:val="center"/>
              <w:cnfStyle w:val="100000000000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2552" w:type="dxa"/>
          </w:tcPr>
          <w:p w:rsidR="00D661D7" w:rsidRPr="00716648" w:rsidRDefault="00D661D7" w:rsidP="00371AA3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2022/23</w:t>
            </w:r>
          </w:p>
          <w:p w:rsidR="00DE1CA2" w:rsidRPr="00716648" w:rsidRDefault="00DE1CA2" w:rsidP="00371AA3">
            <w:pPr>
              <w:jc w:val="center"/>
              <w:cnfStyle w:val="100000000000"/>
              <w:rPr>
                <w:rFonts w:ascii="Arial" w:hAnsi="Arial" w:cs="Arial"/>
                <w:b w:val="0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R’000</w:t>
            </w:r>
          </w:p>
        </w:tc>
      </w:tr>
      <w:tr w:rsidR="00D661D7" w:rsidRPr="00716648" w:rsidTr="00DE1CA2">
        <w:tc>
          <w:tcPr>
            <w:cnfStyle w:val="001000000000"/>
            <w:tcW w:w="3549" w:type="dxa"/>
          </w:tcPr>
          <w:p w:rsidR="00D661D7" w:rsidRPr="00716648" w:rsidRDefault="00D661D7" w:rsidP="00371AA3">
            <w:pPr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Administration</w:t>
            </w:r>
          </w:p>
        </w:tc>
        <w:tc>
          <w:tcPr>
            <w:tcW w:w="4673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45,779</w:t>
            </w:r>
          </w:p>
        </w:tc>
        <w:tc>
          <w:tcPr>
            <w:tcW w:w="2552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52,278</w:t>
            </w:r>
          </w:p>
        </w:tc>
      </w:tr>
      <w:tr w:rsidR="00D661D7" w:rsidRPr="00716648" w:rsidTr="00DE1CA2">
        <w:tc>
          <w:tcPr>
            <w:cnfStyle w:val="001000000000"/>
            <w:tcW w:w="3549" w:type="dxa"/>
          </w:tcPr>
          <w:p w:rsidR="00D661D7" w:rsidRPr="00716648" w:rsidRDefault="00D661D7" w:rsidP="00371AA3">
            <w:pPr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Social Welfare Services</w:t>
            </w:r>
          </w:p>
        </w:tc>
        <w:tc>
          <w:tcPr>
            <w:tcW w:w="4673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59,332</w:t>
            </w:r>
          </w:p>
        </w:tc>
        <w:tc>
          <w:tcPr>
            <w:tcW w:w="2552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81,696</w:t>
            </w:r>
          </w:p>
        </w:tc>
      </w:tr>
      <w:tr w:rsidR="00D661D7" w:rsidRPr="00716648" w:rsidTr="00DE1CA2">
        <w:tc>
          <w:tcPr>
            <w:cnfStyle w:val="001000000000"/>
            <w:tcW w:w="3549" w:type="dxa"/>
          </w:tcPr>
          <w:p w:rsidR="00D661D7" w:rsidRPr="00716648" w:rsidRDefault="00D661D7" w:rsidP="00371AA3">
            <w:pPr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Children and Families</w:t>
            </w:r>
          </w:p>
        </w:tc>
        <w:tc>
          <w:tcPr>
            <w:tcW w:w="4673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172,798</w:t>
            </w:r>
          </w:p>
        </w:tc>
        <w:tc>
          <w:tcPr>
            <w:tcW w:w="2552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231,264</w:t>
            </w:r>
          </w:p>
        </w:tc>
      </w:tr>
      <w:tr w:rsidR="00D661D7" w:rsidRPr="00716648" w:rsidTr="00DE1CA2">
        <w:tc>
          <w:tcPr>
            <w:cnfStyle w:val="001000000000"/>
            <w:tcW w:w="3549" w:type="dxa"/>
          </w:tcPr>
          <w:p w:rsidR="00D661D7" w:rsidRPr="00716648" w:rsidRDefault="00D661D7" w:rsidP="00371AA3">
            <w:pPr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Restorative Services</w:t>
            </w:r>
          </w:p>
        </w:tc>
        <w:tc>
          <w:tcPr>
            <w:tcW w:w="4673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20,000</w:t>
            </w:r>
          </w:p>
        </w:tc>
        <w:tc>
          <w:tcPr>
            <w:tcW w:w="2552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29,000</w:t>
            </w:r>
          </w:p>
        </w:tc>
      </w:tr>
      <w:tr w:rsidR="00D661D7" w:rsidRPr="00716648" w:rsidTr="00DE1CA2">
        <w:tc>
          <w:tcPr>
            <w:cnfStyle w:val="001000000000"/>
            <w:tcW w:w="3549" w:type="dxa"/>
          </w:tcPr>
          <w:p w:rsidR="00D661D7" w:rsidRPr="00716648" w:rsidRDefault="00D661D7" w:rsidP="00371AA3">
            <w:pPr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Development and Research</w:t>
            </w:r>
          </w:p>
        </w:tc>
        <w:tc>
          <w:tcPr>
            <w:tcW w:w="4673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25,000</w:t>
            </w:r>
          </w:p>
        </w:tc>
        <w:tc>
          <w:tcPr>
            <w:tcW w:w="2552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33,000</w:t>
            </w:r>
          </w:p>
        </w:tc>
      </w:tr>
      <w:tr w:rsidR="00D661D7" w:rsidRPr="00716648" w:rsidTr="00DE1CA2">
        <w:tc>
          <w:tcPr>
            <w:cnfStyle w:val="001000000000"/>
            <w:tcW w:w="3549" w:type="dxa"/>
          </w:tcPr>
          <w:p w:rsidR="00D661D7" w:rsidRPr="00716648" w:rsidRDefault="00D661D7" w:rsidP="00371AA3">
            <w:pPr>
              <w:rPr>
                <w:rFonts w:ascii="Arial" w:hAnsi="Arial" w:cs="Arial"/>
                <w:b w:val="0"/>
                <w:lang w:val="en-GB"/>
              </w:rPr>
            </w:pPr>
            <w:r w:rsidRPr="00716648">
              <w:rPr>
                <w:rFonts w:ascii="Arial" w:hAnsi="Arial" w:cs="Arial"/>
                <w:lang w:val="en-GB"/>
              </w:rPr>
              <w:t>Total</w:t>
            </w:r>
          </w:p>
        </w:tc>
        <w:tc>
          <w:tcPr>
            <w:tcW w:w="4673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b/>
                <w:lang w:val="en-GB"/>
              </w:rPr>
            </w:pPr>
            <w:r w:rsidRPr="00716648">
              <w:rPr>
                <w:rFonts w:ascii="Arial" w:hAnsi="Arial" w:cs="Arial"/>
                <w:b/>
                <w:lang w:val="en-GB"/>
              </w:rPr>
              <w:t>322,909</w:t>
            </w:r>
          </w:p>
        </w:tc>
        <w:tc>
          <w:tcPr>
            <w:tcW w:w="2552" w:type="dxa"/>
          </w:tcPr>
          <w:p w:rsidR="00D661D7" w:rsidRPr="00716648" w:rsidRDefault="00D661D7" w:rsidP="00371AA3">
            <w:pPr>
              <w:jc w:val="center"/>
              <w:cnfStyle w:val="000000000000"/>
              <w:rPr>
                <w:rFonts w:ascii="Arial" w:hAnsi="Arial" w:cs="Arial"/>
                <w:b/>
                <w:lang w:val="en-GB"/>
              </w:rPr>
            </w:pPr>
            <w:r w:rsidRPr="00716648">
              <w:rPr>
                <w:rFonts w:ascii="Arial" w:hAnsi="Arial" w:cs="Arial"/>
                <w:b/>
                <w:lang w:val="en-GB"/>
              </w:rPr>
              <w:t>427,238</w:t>
            </w:r>
          </w:p>
        </w:tc>
      </w:tr>
    </w:tbl>
    <w:p w:rsidR="00DE1CA2" w:rsidRPr="00716648" w:rsidRDefault="00DE1CA2" w:rsidP="00D661D7">
      <w:pPr>
        <w:rPr>
          <w:rFonts w:ascii="Arial" w:hAnsi="Arial" w:cs="Arial"/>
          <w:lang w:val="en-GB"/>
        </w:rPr>
      </w:pPr>
    </w:p>
    <w:p w:rsidR="00D661D7" w:rsidRPr="00716648" w:rsidRDefault="00D436ED" w:rsidP="00D661D7">
      <w:pPr>
        <w:jc w:val="both"/>
        <w:rPr>
          <w:rFonts w:ascii="Arial" w:eastAsia="Times New Roman" w:hAnsi="Arial" w:cs="Arial"/>
          <w:b/>
          <w:snapToGrid w:val="0"/>
          <w:color w:val="000000"/>
        </w:rPr>
      </w:pPr>
      <w:r w:rsidRPr="00716648">
        <w:rPr>
          <w:rFonts w:ascii="Arial" w:eastAsia="Times New Roman" w:hAnsi="Arial" w:cs="Arial"/>
          <w:b/>
          <w:snapToGrid w:val="0"/>
          <w:color w:val="000000"/>
        </w:rPr>
        <w:t>Limpopo</w:t>
      </w:r>
      <w:r w:rsidR="00DE1CA2" w:rsidRPr="00716648">
        <w:rPr>
          <w:rFonts w:ascii="Arial" w:eastAsia="Times New Roman" w:hAnsi="Arial" w:cs="Arial"/>
          <w:b/>
          <w:snapToGrid w:val="0"/>
          <w:color w:val="000000"/>
        </w:rPr>
        <w:t xml:space="preserve"> Province</w:t>
      </w:r>
    </w:p>
    <w:p w:rsidR="00DE1CA2" w:rsidRPr="00716648" w:rsidRDefault="00DE1CA2" w:rsidP="00DE1CA2">
      <w:pPr>
        <w:pStyle w:val="ListParagraph"/>
        <w:numPr>
          <w:ilvl w:val="0"/>
          <w:numId w:val="34"/>
        </w:numPr>
        <w:jc w:val="both"/>
        <w:rPr>
          <w:rFonts w:ascii="Arial" w:eastAsia="Times New Roman" w:hAnsi="Arial" w:cs="Arial"/>
          <w:bCs/>
          <w:snapToGrid w:val="0"/>
          <w:color w:val="000000"/>
        </w:rPr>
      </w:pPr>
      <w:r w:rsidRPr="00716648">
        <w:rPr>
          <w:rFonts w:ascii="Arial" w:eastAsia="Times New Roman" w:hAnsi="Arial" w:cs="Arial"/>
          <w:bCs/>
          <w:snapToGrid w:val="0"/>
          <w:color w:val="000000"/>
        </w:rPr>
        <w:t>R 482 686 million</w:t>
      </w:r>
    </w:p>
    <w:p w:rsidR="00DE1CA2" w:rsidRPr="00716648" w:rsidRDefault="00DE1CA2" w:rsidP="00DE1CA2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Cs/>
          <w:snapToGrid w:val="0"/>
          <w:color w:val="000000"/>
        </w:rPr>
      </w:pPr>
      <w:r w:rsidRPr="00716648">
        <w:rPr>
          <w:rFonts w:ascii="Arial" w:hAnsi="Arial" w:cs="Arial"/>
          <w:bCs/>
          <w:snapToGrid w:val="0"/>
          <w:color w:val="000000"/>
        </w:rPr>
        <w:t xml:space="preserve"> Program 1: Administration – R 80,788 million</w:t>
      </w:r>
    </w:p>
    <w:p w:rsidR="00DE1CA2" w:rsidRPr="00716648" w:rsidRDefault="00DE1CA2" w:rsidP="00DE1CA2">
      <w:pPr>
        <w:spacing w:before="100" w:beforeAutospacing="1" w:after="100" w:afterAutospacing="1"/>
        <w:ind w:left="873"/>
        <w:jc w:val="both"/>
        <w:rPr>
          <w:rFonts w:ascii="Arial" w:hAnsi="Arial" w:cs="Arial"/>
          <w:bCs/>
        </w:rPr>
      </w:pPr>
      <w:r w:rsidRPr="00716648">
        <w:rPr>
          <w:rFonts w:ascii="Arial" w:hAnsi="Arial" w:cs="Arial"/>
          <w:bCs/>
        </w:rPr>
        <w:t>Program 2:  Social Welfare Services - R 74,649 million</w:t>
      </w:r>
    </w:p>
    <w:p w:rsidR="00DE1CA2" w:rsidRPr="00716648" w:rsidRDefault="00DE1CA2" w:rsidP="00DE1CA2">
      <w:pPr>
        <w:spacing w:before="100" w:beforeAutospacing="1" w:after="100" w:afterAutospacing="1"/>
        <w:ind w:left="873"/>
        <w:jc w:val="both"/>
        <w:rPr>
          <w:rFonts w:ascii="Arial" w:hAnsi="Arial" w:cs="Arial"/>
          <w:bCs/>
        </w:rPr>
      </w:pPr>
      <w:r w:rsidRPr="00716648">
        <w:rPr>
          <w:rFonts w:ascii="Arial" w:hAnsi="Arial" w:cs="Arial"/>
          <w:bCs/>
        </w:rPr>
        <w:t>Program 3: Children and families – R 225,563 million</w:t>
      </w:r>
    </w:p>
    <w:p w:rsidR="00DE1CA2" w:rsidRPr="00716648" w:rsidRDefault="00DE1CA2" w:rsidP="00DE1CA2">
      <w:pPr>
        <w:spacing w:before="100" w:beforeAutospacing="1" w:after="100" w:afterAutospacing="1"/>
        <w:ind w:left="873"/>
        <w:jc w:val="both"/>
        <w:rPr>
          <w:rFonts w:ascii="Arial" w:hAnsi="Arial" w:cs="Arial"/>
          <w:bCs/>
        </w:rPr>
      </w:pPr>
      <w:r w:rsidRPr="00716648">
        <w:rPr>
          <w:rFonts w:ascii="Arial" w:hAnsi="Arial" w:cs="Arial"/>
          <w:bCs/>
        </w:rPr>
        <w:t>Program 4: Restorative Services – R 56,469 million</w:t>
      </w:r>
    </w:p>
    <w:p w:rsidR="00DE1CA2" w:rsidRPr="00716648" w:rsidRDefault="00DE1CA2" w:rsidP="00DE1CA2">
      <w:pPr>
        <w:spacing w:before="100" w:beforeAutospacing="1" w:after="100" w:afterAutospacing="1"/>
        <w:ind w:left="720" w:firstLine="153"/>
        <w:jc w:val="both"/>
        <w:rPr>
          <w:rFonts w:ascii="Arial" w:hAnsi="Arial" w:cs="Arial"/>
          <w:bCs/>
        </w:rPr>
      </w:pPr>
      <w:r w:rsidRPr="00716648">
        <w:rPr>
          <w:rFonts w:ascii="Arial" w:hAnsi="Arial" w:cs="Arial"/>
          <w:bCs/>
        </w:rPr>
        <w:t xml:space="preserve">Program 5: Development and Research – </w:t>
      </w:r>
    </w:p>
    <w:p w:rsidR="00DE1CA2" w:rsidRPr="00716648" w:rsidRDefault="00DE1CA2" w:rsidP="00DE1CA2">
      <w:pPr>
        <w:pStyle w:val="ListParagraph"/>
        <w:ind w:firstLine="153"/>
        <w:jc w:val="both"/>
        <w:rPr>
          <w:rFonts w:ascii="Arial" w:eastAsia="Times New Roman" w:hAnsi="Arial" w:cs="Arial"/>
          <w:bCs/>
          <w:snapToGrid w:val="0"/>
          <w:color w:val="000000"/>
        </w:rPr>
      </w:pPr>
      <w:r w:rsidRPr="00716648">
        <w:rPr>
          <w:rFonts w:ascii="Arial" w:hAnsi="Arial" w:cs="Arial"/>
          <w:bCs/>
        </w:rPr>
        <w:t>R 45,217 million</w:t>
      </w:r>
    </w:p>
    <w:p w:rsidR="00D436ED" w:rsidRPr="00716648" w:rsidRDefault="00D436ED" w:rsidP="00961E0E">
      <w:pPr>
        <w:spacing w:before="100" w:beforeAutospacing="1" w:after="100" w:afterAutospacing="1"/>
        <w:ind w:left="567"/>
        <w:jc w:val="both"/>
        <w:rPr>
          <w:rFonts w:ascii="Arial" w:hAnsi="Arial" w:cs="Arial"/>
          <w:bCs/>
        </w:rPr>
      </w:pPr>
      <w:r w:rsidRPr="00716648">
        <w:rPr>
          <w:rFonts w:ascii="Arial" w:hAnsi="Arial" w:cs="Arial"/>
          <w:b/>
        </w:rPr>
        <w:t>Mpumalanga</w:t>
      </w:r>
      <w:r w:rsidR="00DE1CA2" w:rsidRPr="00716648">
        <w:rPr>
          <w:rFonts w:ascii="Arial" w:hAnsi="Arial" w:cs="Arial"/>
          <w:b/>
        </w:rPr>
        <w:t xml:space="preserve"> Province</w:t>
      </w:r>
    </w:p>
    <w:p w:rsidR="00D436ED" w:rsidRPr="00716648" w:rsidRDefault="00D436ED" w:rsidP="003C0E7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 xml:space="preserve">There were no budgets cut to any of the programmes made by the National Department for </w:t>
      </w:r>
      <w:r w:rsidR="00961E0E" w:rsidRPr="00716648">
        <w:rPr>
          <w:rFonts w:ascii="Arial" w:hAnsi="Arial" w:cs="Arial"/>
        </w:rPr>
        <w:t xml:space="preserve">the </w:t>
      </w:r>
      <w:r w:rsidRPr="00716648">
        <w:rPr>
          <w:rFonts w:ascii="Arial" w:hAnsi="Arial" w:cs="Arial"/>
        </w:rPr>
        <w:t xml:space="preserve">2021/22 financial year. The departmental overall budget was reduced in </w:t>
      </w:r>
      <w:r w:rsidR="00961E0E" w:rsidRPr="00716648">
        <w:rPr>
          <w:rFonts w:ascii="Arial" w:hAnsi="Arial" w:cs="Arial"/>
        </w:rPr>
        <w:t xml:space="preserve">the </w:t>
      </w:r>
      <w:r w:rsidRPr="00716648">
        <w:rPr>
          <w:rFonts w:ascii="Arial" w:hAnsi="Arial" w:cs="Arial"/>
        </w:rPr>
        <w:t xml:space="preserve">2022/23 financial year following the ECD function shift to the Department of Education See </w:t>
      </w:r>
      <w:r w:rsidR="00961E0E" w:rsidRPr="00716648">
        <w:rPr>
          <w:rFonts w:ascii="Arial" w:hAnsi="Arial" w:cs="Arial"/>
        </w:rPr>
        <w:t xml:space="preserve">the </w:t>
      </w:r>
      <w:r w:rsidRPr="00716648">
        <w:rPr>
          <w:rFonts w:ascii="Arial" w:hAnsi="Arial" w:cs="Arial"/>
        </w:rPr>
        <w:t xml:space="preserve">breakdown of </w:t>
      </w:r>
      <w:r w:rsidR="00DE1CA2" w:rsidRPr="00716648">
        <w:rPr>
          <w:rFonts w:ascii="Arial" w:hAnsi="Arial" w:cs="Arial"/>
        </w:rPr>
        <w:t xml:space="preserve">the </w:t>
      </w:r>
      <w:r w:rsidRPr="00716648">
        <w:rPr>
          <w:rFonts w:ascii="Arial" w:hAnsi="Arial" w:cs="Arial"/>
        </w:rPr>
        <w:t>allocated budget from National to Province below:</w:t>
      </w:r>
    </w:p>
    <w:p w:rsidR="00D436ED" w:rsidRPr="00716648" w:rsidRDefault="00D436ED" w:rsidP="00D436ED">
      <w:pPr>
        <w:pStyle w:val="ListParagraph"/>
        <w:spacing w:after="0" w:line="240" w:lineRule="auto"/>
        <w:ind w:left="408"/>
        <w:jc w:val="both"/>
        <w:rPr>
          <w:rFonts w:ascii="Arial" w:hAnsi="Arial" w:cs="Arial"/>
        </w:rPr>
      </w:pPr>
    </w:p>
    <w:tbl>
      <w:tblPr>
        <w:tblStyle w:val="GridTable1LightAccent1"/>
        <w:tblW w:w="10060" w:type="dxa"/>
        <w:tblLook w:val="04A0"/>
      </w:tblPr>
      <w:tblGrid>
        <w:gridCol w:w="3556"/>
        <w:gridCol w:w="3243"/>
        <w:gridCol w:w="3261"/>
      </w:tblGrid>
      <w:tr w:rsidR="00D436ED" w:rsidRPr="00716648" w:rsidTr="00DE1CA2">
        <w:trPr>
          <w:cnfStyle w:val="100000000000"/>
        </w:trPr>
        <w:tc>
          <w:tcPr>
            <w:cnfStyle w:val="001000000000"/>
            <w:tcW w:w="3556" w:type="dxa"/>
          </w:tcPr>
          <w:p w:rsidR="00D436ED" w:rsidRPr="00716648" w:rsidRDefault="00D436ED" w:rsidP="000A22BE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</w:rPr>
            </w:pPr>
            <w:r w:rsidRPr="00716648">
              <w:rPr>
                <w:rFonts w:ascii="Arial" w:hAnsi="Arial" w:cs="Arial"/>
              </w:rPr>
              <w:t>Programme</w:t>
            </w:r>
          </w:p>
        </w:tc>
        <w:tc>
          <w:tcPr>
            <w:tcW w:w="3243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100000000000"/>
              <w:rPr>
                <w:rFonts w:ascii="Arial" w:hAnsi="Arial" w:cs="Arial"/>
                <w:b w:val="0"/>
              </w:rPr>
            </w:pPr>
            <w:r w:rsidRPr="00716648">
              <w:rPr>
                <w:rFonts w:ascii="Arial" w:hAnsi="Arial" w:cs="Arial"/>
              </w:rPr>
              <w:t>2021/22</w:t>
            </w:r>
          </w:p>
        </w:tc>
        <w:tc>
          <w:tcPr>
            <w:tcW w:w="3261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100000000000"/>
              <w:rPr>
                <w:rFonts w:ascii="Arial" w:hAnsi="Arial" w:cs="Arial"/>
                <w:b w:val="0"/>
              </w:rPr>
            </w:pPr>
            <w:r w:rsidRPr="00716648">
              <w:rPr>
                <w:rFonts w:ascii="Arial" w:hAnsi="Arial" w:cs="Arial"/>
              </w:rPr>
              <w:t>2022/23</w:t>
            </w:r>
          </w:p>
        </w:tc>
      </w:tr>
      <w:tr w:rsidR="00D436ED" w:rsidRPr="00716648" w:rsidTr="00DE1CA2">
        <w:tc>
          <w:tcPr>
            <w:cnfStyle w:val="001000000000"/>
            <w:tcW w:w="3556" w:type="dxa"/>
          </w:tcPr>
          <w:p w:rsidR="00D436ED" w:rsidRPr="00716648" w:rsidRDefault="00D436ED" w:rsidP="000A22BE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</w:rPr>
            </w:pPr>
            <w:r w:rsidRPr="00716648">
              <w:rPr>
                <w:rFonts w:ascii="Arial" w:hAnsi="Arial" w:cs="Arial"/>
              </w:rPr>
              <w:t>Administration</w:t>
            </w:r>
          </w:p>
        </w:tc>
        <w:tc>
          <w:tcPr>
            <w:tcW w:w="3243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</w:t>
            </w:r>
            <w:r w:rsidR="00DE1CA2" w:rsidRPr="00716648">
              <w:rPr>
                <w:rFonts w:ascii="Arial" w:hAnsi="Arial" w:cs="Arial"/>
              </w:rPr>
              <w:t xml:space="preserve"> </w:t>
            </w:r>
            <w:r w:rsidRPr="00716648">
              <w:rPr>
                <w:rFonts w:ascii="Arial" w:hAnsi="Arial" w:cs="Arial"/>
              </w:rPr>
              <w:t>334 631 000</w:t>
            </w:r>
          </w:p>
        </w:tc>
        <w:tc>
          <w:tcPr>
            <w:tcW w:w="3261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</w:t>
            </w:r>
            <w:r w:rsidR="00DE1CA2" w:rsidRPr="00716648">
              <w:rPr>
                <w:rFonts w:ascii="Arial" w:hAnsi="Arial" w:cs="Arial"/>
              </w:rPr>
              <w:t xml:space="preserve"> </w:t>
            </w:r>
            <w:r w:rsidRPr="00716648">
              <w:rPr>
                <w:rFonts w:ascii="Arial" w:hAnsi="Arial" w:cs="Arial"/>
              </w:rPr>
              <w:t>411,885,000</w:t>
            </w:r>
          </w:p>
        </w:tc>
      </w:tr>
      <w:tr w:rsidR="00D436ED" w:rsidRPr="00716648" w:rsidTr="00DE1CA2">
        <w:tc>
          <w:tcPr>
            <w:cnfStyle w:val="001000000000"/>
            <w:tcW w:w="3556" w:type="dxa"/>
          </w:tcPr>
          <w:p w:rsidR="00D436ED" w:rsidRPr="00716648" w:rsidRDefault="00D436ED" w:rsidP="000A22BE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</w:rPr>
            </w:pPr>
            <w:r w:rsidRPr="00716648">
              <w:rPr>
                <w:rFonts w:ascii="Arial" w:hAnsi="Arial" w:cs="Arial"/>
              </w:rPr>
              <w:t>Social Welfare Services</w:t>
            </w:r>
          </w:p>
        </w:tc>
        <w:tc>
          <w:tcPr>
            <w:tcW w:w="3243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</w:t>
            </w:r>
            <w:r w:rsidR="00DE1CA2" w:rsidRPr="00716648">
              <w:rPr>
                <w:rFonts w:ascii="Arial" w:hAnsi="Arial" w:cs="Arial"/>
              </w:rPr>
              <w:t xml:space="preserve"> </w:t>
            </w:r>
            <w:r w:rsidRPr="00716648">
              <w:rPr>
                <w:rFonts w:ascii="Arial" w:hAnsi="Arial" w:cs="Arial"/>
              </w:rPr>
              <w:t>298 595 000</w:t>
            </w:r>
          </w:p>
        </w:tc>
        <w:tc>
          <w:tcPr>
            <w:tcW w:w="3261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</w:t>
            </w:r>
            <w:r w:rsidR="00DE1CA2" w:rsidRPr="00716648">
              <w:rPr>
                <w:rFonts w:ascii="Arial" w:hAnsi="Arial" w:cs="Arial"/>
              </w:rPr>
              <w:t xml:space="preserve"> </w:t>
            </w:r>
            <w:r w:rsidRPr="00716648">
              <w:rPr>
                <w:rFonts w:ascii="Arial" w:hAnsi="Arial" w:cs="Arial"/>
              </w:rPr>
              <w:t>291 548 000</w:t>
            </w:r>
          </w:p>
        </w:tc>
      </w:tr>
      <w:tr w:rsidR="00D436ED" w:rsidRPr="00716648" w:rsidTr="00DE1CA2">
        <w:tc>
          <w:tcPr>
            <w:cnfStyle w:val="001000000000"/>
            <w:tcW w:w="3556" w:type="dxa"/>
          </w:tcPr>
          <w:p w:rsidR="00D436ED" w:rsidRPr="00716648" w:rsidRDefault="00D436ED" w:rsidP="000A22BE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</w:rPr>
            </w:pPr>
            <w:r w:rsidRPr="00716648">
              <w:rPr>
                <w:rFonts w:ascii="Arial" w:hAnsi="Arial" w:cs="Arial"/>
              </w:rPr>
              <w:t>Children and Families</w:t>
            </w:r>
          </w:p>
        </w:tc>
        <w:tc>
          <w:tcPr>
            <w:tcW w:w="3243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</w:t>
            </w:r>
            <w:r w:rsidR="00DE1CA2" w:rsidRPr="00716648">
              <w:rPr>
                <w:rFonts w:ascii="Arial" w:hAnsi="Arial" w:cs="Arial"/>
              </w:rPr>
              <w:t xml:space="preserve"> </w:t>
            </w:r>
            <w:r w:rsidRPr="00716648">
              <w:rPr>
                <w:rFonts w:ascii="Arial" w:hAnsi="Arial" w:cs="Arial"/>
              </w:rPr>
              <w:t>811 255 000</w:t>
            </w:r>
          </w:p>
        </w:tc>
        <w:tc>
          <w:tcPr>
            <w:tcW w:w="3261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</w:t>
            </w:r>
            <w:r w:rsidR="00DE1CA2" w:rsidRPr="00716648">
              <w:rPr>
                <w:rFonts w:ascii="Arial" w:hAnsi="Arial" w:cs="Arial"/>
              </w:rPr>
              <w:t xml:space="preserve"> </w:t>
            </w:r>
            <w:r w:rsidRPr="00716648">
              <w:rPr>
                <w:rFonts w:ascii="Arial" w:hAnsi="Arial" w:cs="Arial"/>
              </w:rPr>
              <w:t>482 218 000</w:t>
            </w:r>
          </w:p>
        </w:tc>
      </w:tr>
      <w:tr w:rsidR="00D436ED" w:rsidRPr="00716648" w:rsidTr="00DE1CA2">
        <w:tc>
          <w:tcPr>
            <w:cnfStyle w:val="001000000000"/>
            <w:tcW w:w="3556" w:type="dxa"/>
          </w:tcPr>
          <w:p w:rsidR="00D436ED" w:rsidRPr="00716648" w:rsidRDefault="00D436ED" w:rsidP="000A22BE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</w:rPr>
            </w:pPr>
            <w:r w:rsidRPr="00716648">
              <w:rPr>
                <w:rFonts w:ascii="Arial" w:hAnsi="Arial" w:cs="Arial"/>
              </w:rPr>
              <w:t>Restorative Services</w:t>
            </w:r>
          </w:p>
        </w:tc>
        <w:tc>
          <w:tcPr>
            <w:tcW w:w="3243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</w:t>
            </w:r>
            <w:r w:rsidR="00DE1CA2" w:rsidRPr="00716648">
              <w:rPr>
                <w:rFonts w:ascii="Arial" w:hAnsi="Arial" w:cs="Arial"/>
              </w:rPr>
              <w:t xml:space="preserve"> </w:t>
            </w:r>
            <w:r w:rsidRPr="00716648">
              <w:rPr>
                <w:rFonts w:ascii="Arial" w:hAnsi="Arial" w:cs="Arial"/>
              </w:rPr>
              <w:t>209 532 000</w:t>
            </w:r>
          </w:p>
        </w:tc>
        <w:tc>
          <w:tcPr>
            <w:tcW w:w="3261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R234 935 000</w:t>
            </w:r>
          </w:p>
        </w:tc>
      </w:tr>
      <w:tr w:rsidR="00D436ED" w:rsidRPr="00716648" w:rsidTr="00DE1CA2">
        <w:tc>
          <w:tcPr>
            <w:cnfStyle w:val="001000000000"/>
            <w:tcW w:w="3556" w:type="dxa"/>
          </w:tcPr>
          <w:p w:rsidR="00D436ED" w:rsidRPr="00716648" w:rsidRDefault="00D436ED" w:rsidP="000A22BE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</w:rPr>
            </w:pPr>
            <w:r w:rsidRPr="00716648">
              <w:rPr>
                <w:rFonts w:ascii="Arial" w:hAnsi="Arial" w:cs="Arial"/>
              </w:rPr>
              <w:t>Development and Research</w:t>
            </w:r>
          </w:p>
        </w:tc>
        <w:tc>
          <w:tcPr>
            <w:tcW w:w="3243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</w:t>
            </w:r>
            <w:r w:rsidR="00DE1CA2" w:rsidRPr="00716648">
              <w:rPr>
                <w:rFonts w:ascii="Arial" w:hAnsi="Arial" w:cs="Arial"/>
              </w:rPr>
              <w:t xml:space="preserve"> </w:t>
            </w:r>
            <w:r w:rsidRPr="00716648">
              <w:rPr>
                <w:rFonts w:ascii="Arial" w:hAnsi="Arial" w:cs="Arial"/>
              </w:rPr>
              <w:t>199 666 000</w:t>
            </w:r>
          </w:p>
        </w:tc>
        <w:tc>
          <w:tcPr>
            <w:tcW w:w="3261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</w:t>
            </w:r>
            <w:r w:rsidR="00DE1CA2" w:rsidRPr="00716648">
              <w:rPr>
                <w:rFonts w:ascii="Arial" w:hAnsi="Arial" w:cs="Arial"/>
              </w:rPr>
              <w:t xml:space="preserve"> </w:t>
            </w:r>
            <w:r w:rsidRPr="00716648">
              <w:rPr>
                <w:rFonts w:ascii="Arial" w:hAnsi="Arial" w:cs="Arial"/>
              </w:rPr>
              <w:t>195 644 000</w:t>
            </w:r>
          </w:p>
        </w:tc>
      </w:tr>
      <w:tr w:rsidR="00D436ED" w:rsidRPr="00716648" w:rsidTr="00DE1CA2">
        <w:tc>
          <w:tcPr>
            <w:cnfStyle w:val="001000000000"/>
            <w:tcW w:w="3556" w:type="dxa"/>
          </w:tcPr>
          <w:p w:rsidR="00D436ED" w:rsidRPr="00716648" w:rsidRDefault="00D436ED" w:rsidP="000A22BE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</w:rPr>
            </w:pPr>
            <w:r w:rsidRPr="00716648">
              <w:rPr>
                <w:rFonts w:ascii="Arial" w:hAnsi="Arial" w:cs="Arial"/>
              </w:rPr>
              <w:t>TOTAL</w:t>
            </w:r>
          </w:p>
        </w:tc>
        <w:tc>
          <w:tcPr>
            <w:tcW w:w="3243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</w:t>
            </w:r>
            <w:r w:rsidR="00DE1CA2" w:rsidRPr="00716648">
              <w:rPr>
                <w:rFonts w:ascii="Arial" w:hAnsi="Arial" w:cs="Arial"/>
              </w:rPr>
              <w:t xml:space="preserve"> </w:t>
            </w:r>
            <w:r w:rsidRPr="00716648">
              <w:rPr>
                <w:rFonts w:ascii="Arial" w:hAnsi="Arial" w:cs="Arial"/>
              </w:rPr>
              <w:t>1,853 679 000</w:t>
            </w:r>
          </w:p>
        </w:tc>
        <w:tc>
          <w:tcPr>
            <w:tcW w:w="3261" w:type="dxa"/>
          </w:tcPr>
          <w:p w:rsidR="00D436ED" w:rsidRPr="00716648" w:rsidRDefault="00D436ED" w:rsidP="000A22BE">
            <w:pPr>
              <w:pStyle w:val="ListParagraph"/>
              <w:ind w:left="0"/>
              <w:jc w:val="right"/>
              <w:cnfStyle w:val="000000000000"/>
              <w:rPr>
                <w:rFonts w:ascii="Arial" w:hAnsi="Arial" w:cs="Arial"/>
              </w:rPr>
            </w:pPr>
            <w:r w:rsidRPr="00716648">
              <w:rPr>
                <w:rFonts w:ascii="Arial" w:hAnsi="Arial" w:cs="Arial"/>
              </w:rPr>
              <w:t>R</w:t>
            </w:r>
            <w:r w:rsidR="00DE1CA2" w:rsidRPr="00716648">
              <w:rPr>
                <w:rFonts w:ascii="Arial" w:hAnsi="Arial" w:cs="Arial"/>
              </w:rPr>
              <w:t xml:space="preserve"> </w:t>
            </w:r>
            <w:r w:rsidRPr="00716648">
              <w:rPr>
                <w:rFonts w:ascii="Arial" w:hAnsi="Arial" w:cs="Arial"/>
              </w:rPr>
              <w:t>1,840,989,000</w:t>
            </w:r>
          </w:p>
        </w:tc>
      </w:tr>
    </w:tbl>
    <w:p w:rsidR="00D436ED" w:rsidRPr="00716648" w:rsidRDefault="00D436ED" w:rsidP="00D436ED">
      <w:pPr>
        <w:spacing w:after="0" w:line="240" w:lineRule="auto"/>
        <w:jc w:val="both"/>
        <w:rPr>
          <w:rFonts w:ascii="Arial" w:hAnsi="Arial" w:cs="Arial"/>
        </w:rPr>
      </w:pPr>
    </w:p>
    <w:p w:rsidR="00D436ED" w:rsidRPr="00716648" w:rsidRDefault="00D436ED" w:rsidP="003C0E7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An amount of R</w:t>
      </w:r>
      <w:r w:rsidR="00DE1CA2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 xml:space="preserve">80.0 million was cut from the budget allocation of the Department at the provincial level during the budget adjustment of </w:t>
      </w:r>
      <w:r w:rsidR="00961E0E" w:rsidRPr="00716648">
        <w:rPr>
          <w:rFonts w:ascii="Arial" w:hAnsi="Arial" w:cs="Arial"/>
        </w:rPr>
        <w:t xml:space="preserve">the </w:t>
      </w:r>
      <w:r w:rsidRPr="00716648">
        <w:rPr>
          <w:rFonts w:ascii="Arial" w:hAnsi="Arial" w:cs="Arial"/>
        </w:rPr>
        <w:t xml:space="preserve">2021/22 financial year. This amount was cut from the budget allocation </w:t>
      </w:r>
      <w:r w:rsidR="00961E0E" w:rsidRPr="00716648">
        <w:rPr>
          <w:rFonts w:ascii="Arial" w:hAnsi="Arial" w:cs="Arial"/>
        </w:rPr>
        <w:t>for</w:t>
      </w:r>
      <w:r w:rsidRPr="00716648">
        <w:rPr>
          <w:rFonts w:ascii="Arial" w:hAnsi="Arial" w:cs="Arial"/>
        </w:rPr>
        <w:t xml:space="preserve"> new social infrastructure projects.</w:t>
      </w:r>
    </w:p>
    <w:p w:rsidR="002F3345" w:rsidRPr="00716648" w:rsidRDefault="002F3345" w:rsidP="002F3345">
      <w:pPr>
        <w:spacing w:after="0" w:line="240" w:lineRule="auto"/>
        <w:jc w:val="both"/>
        <w:rPr>
          <w:rFonts w:ascii="Arial" w:hAnsi="Arial" w:cs="Arial"/>
        </w:rPr>
      </w:pPr>
    </w:p>
    <w:p w:rsidR="002F3345" w:rsidRPr="00716648" w:rsidRDefault="002F3345" w:rsidP="002F3345">
      <w:pPr>
        <w:spacing w:after="0" w:line="240" w:lineRule="auto"/>
        <w:jc w:val="both"/>
        <w:rPr>
          <w:rFonts w:ascii="Arial" w:hAnsi="Arial" w:cs="Arial"/>
        </w:rPr>
      </w:pPr>
    </w:p>
    <w:p w:rsidR="002F3345" w:rsidRPr="00716648" w:rsidRDefault="00DE1CA2" w:rsidP="002F33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t>Northwest Province</w:t>
      </w:r>
    </w:p>
    <w:p w:rsidR="002F3345" w:rsidRPr="00716648" w:rsidRDefault="002F3345" w:rsidP="002F3345">
      <w:pPr>
        <w:spacing w:after="0" w:line="240" w:lineRule="auto"/>
        <w:jc w:val="both"/>
        <w:rPr>
          <w:rFonts w:ascii="Arial" w:hAnsi="Arial" w:cs="Arial"/>
        </w:rPr>
      </w:pPr>
    </w:p>
    <w:p w:rsidR="008E53E8" w:rsidRPr="00716648" w:rsidRDefault="008E53E8" w:rsidP="008E53E8">
      <w:pPr>
        <w:pStyle w:val="NoSpacing"/>
        <w:jc w:val="both"/>
        <w:rPr>
          <w:rFonts w:ascii="Arial" w:eastAsia="Times New Roman" w:hAnsi="Arial" w:cs="Arial"/>
          <w:snapToGrid w:val="0"/>
          <w:color w:val="000000"/>
        </w:rPr>
      </w:pPr>
      <w:r w:rsidRPr="00716648">
        <w:rPr>
          <w:rFonts w:ascii="Arial" w:eastAsia="Times New Roman" w:hAnsi="Arial" w:cs="Arial"/>
          <w:snapToGrid w:val="0"/>
          <w:color w:val="000000"/>
        </w:rPr>
        <w:t xml:space="preserve">The budget reduction implemented in 2021/22 financial was R 228.4 million and in 2022/23 </w:t>
      </w:r>
    </w:p>
    <w:p w:rsidR="008E53E8" w:rsidRPr="00716648" w:rsidRDefault="008E53E8" w:rsidP="008E53E8">
      <w:pPr>
        <w:pStyle w:val="NoSpacing"/>
        <w:jc w:val="both"/>
        <w:rPr>
          <w:rFonts w:ascii="Arial" w:eastAsia="Times New Roman" w:hAnsi="Arial" w:cs="Arial"/>
          <w:snapToGrid w:val="0"/>
          <w:color w:val="000000"/>
        </w:rPr>
      </w:pPr>
      <w:r w:rsidRPr="00716648">
        <w:rPr>
          <w:rFonts w:ascii="Arial" w:eastAsia="Times New Roman" w:hAnsi="Arial" w:cs="Arial"/>
          <w:snapToGrid w:val="0"/>
          <w:color w:val="000000"/>
        </w:rPr>
        <w:t>R 311.5 million and a further transfer of ECD function to the Department of Education amounting to R 192 million.</w:t>
      </w:r>
    </w:p>
    <w:p w:rsidR="008E53E8" w:rsidRPr="00716648" w:rsidRDefault="008E53E8" w:rsidP="008E53E8">
      <w:pPr>
        <w:pStyle w:val="NoSpacing"/>
        <w:jc w:val="both"/>
        <w:rPr>
          <w:rFonts w:ascii="Arial" w:eastAsia="Times New Roman" w:hAnsi="Arial" w:cs="Arial"/>
          <w:snapToGrid w:val="0"/>
          <w:color w:val="000000"/>
        </w:rPr>
      </w:pPr>
      <w:r w:rsidRPr="00716648">
        <w:rPr>
          <w:rFonts w:ascii="Arial" w:eastAsia="Times New Roman" w:hAnsi="Arial" w:cs="Arial"/>
          <w:snapToGrid w:val="0"/>
          <w:color w:val="000000"/>
        </w:rPr>
        <w:t>Budget reduction per program.</w:t>
      </w:r>
    </w:p>
    <w:p w:rsidR="002F3345" w:rsidRPr="00716648" w:rsidRDefault="002F3345" w:rsidP="002F3345">
      <w:pPr>
        <w:spacing w:after="0" w:line="240" w:lineRule="auto"/>
        <w:jc w:val="both"/>
        <w:rPr>
          <w:rFonts w:ascii="Arial" w:hAnsi="Arial" w:cs="Arial"/>
        </w:rPr>
      </w:pPr>
    </w:p>
    <w:p w:rsidR="008E53E8" w:rsidRPr="00716648" w:rsidRDefault="008E53E8" w:rsidP="002F3345">
      <w:pPr>
        <w:spacing w:after="0" w:line="240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  <w:noProof/>
          <w:lang w:eastAsia="en-ZA"/>
        </w:rPr>
        <w:drawing>
          <wp:inline distT="0" distB="0" distL="0" distR="0">
            <wp:extent cx="5731510" cy="21329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E8" w:rsidRPr="00716648" w:rsidRDefault="008E53E8" w:rsidP="00716648">
      <w:pPr>
        <w:spacing w:after="0" w:line="240" w:lineRule="auto"/>
        <w:jc w:val="both"/>
        <w:rPr>
          <w:rFonts w:ascii="Arial" w:hAnsi="Arial" w:cs="Arial"/>
        </w:rPr>
      </w:pPr>
    </w:p>
    <w:p w:rsidR="008E53E8" w:rsidRPr="00716648" w:rsidRDefault="008E53E8" w:rsidP="00961E0E">
      <w:pPr>
        <w:pStyle w:val="ListParagraph"/>
        <w:spacing w:after="0" w:line="240" w:lineRule="auto"/>
        <w:ind w:left="1128"/>
        <w:jc w:val="both"/>
        <w:rPr>
          <w:rFonts w:ascii="Arial" w:hAnsi="Arial" w:cs="Arial"/>
        </w:rPr>
      </w:pPr>
    </w:p>
    <w:p w:rsidR="008E53E8" w:rsidRPr="00716648" w:rsidRDefault="008E53E8" w:rsidP="008E53E8">
      <w:pPr>
        <w:pStyle w:val="NoSpacing"/>
        <w:rPr>
          <w:rFonts w:ascii="Arial" w:hAnsi="Arial" w:cs="Arial"/>
        </w:rPr>
      </w:pPr>
    </w:p>
    <w:p w:rsidR="008E53E8" w:rsidRPr="00716648" w:rsidRDefault="008E53E8" w:rsidP="008E53E8">
      <w:pPr>
        <w:pStyle w:val="NoSpacing"/>
        <w:rPr>
          <w:rFonts w:ascii="Arial" w:hAnsi="Arial" w:cs="Arial"/>
        </w:rPr>
      </w:pPr>
      <w:r w:rsidRPr="00716648">
        <w:rPr>
          <w:rFonts w:ascii="Arial" w:hAnsi="Arial" w:cs="Arial"/>
        </w:rPr>
        <w:t>Allocation per program for 2022/23</w:t>
      </w:r>
    </w:p>
    <w:p w:rsidR="008E53E8" w:rsidRPr="00716648" w:rsidRDefault="008E53E8" w:rsidP="008E53E8">
      <w:pPr>
        <w:pStyle w:val="NoSpacing"/>
        <w:rPr>
          <w:rFonts w:ascii="Arial" w:hAnsi="Arial" w:cs="Arial"/>
        </w:rPr>
      </w:pPr>
    </w:p>
    <w:tbl>
      <w:tblPr>
        <w:tblW w:w="6032" w:type="dxa"/>
        <w:tblInd w:w="108" w:type="dxa"/>
        <w:tblLook w:val="04A0"/>
      </w:tblPr>
      <w:tblGrid>
        <w:gridCol w:w="3672"/>
        <w:gridCol w:w="2360"/>
      </w:tblGrid>
      <w:tr w:rsidR="008E53E8" w:rsidRPr="00716648" w:rsidTr="004F5715">
        <w:trPr>
          <w:trHeight w:val="30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b/>
                <w:lang w:eastAsia="en-ZA"/>
              </w:rPr>
            </w:pPr>
            <w:r w:rsidRPr="00716648">
              <w:rPr>
                <w:rFonts w:ascii="Arial" w:eastAsia="Times New Roman" w:hAnsi="Arial" w:cs="Arial"/>
                <w:b/>
                <w:lang w:eastAsia="en-ZA"/>
              </w:rPr>
              <w:t>PROGRAM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b/>
                <w:lang w:eastAsia="en-ZA"/>
              </w:rPr>
            </w:pPr>
            <w:r w:rsidRPr="00716648">
              <w:rPr>
                <w:rFonts w:ascii="Arial" w:eastAsia="Times New Roman" w:hAnsi="Arial" w:cs="Arial"/>
                <w:b/>
                <w:lang w:eastAsia="en-ZA"/>
              </w:rPr>
              <w:t>2022/23</w:t>
            </w:r>
          </w:p>
        </w:tc>
      </w:tr>
      <w:tr w:rsidR="008E53E8" w:rsidRPr="00716648" w:rsidTr="004F5715">
        <w:trPr>
          <w:trHeight w:val="30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Administration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227 079</w:t>
            </w:r>
          </w:p>
        </w:tc>
      </w:tr>
      <w:tr w:rsidR="008E53E8" w:rsidRPr="00716648" w:rsidTr="004F5715">
        <w:trPr>
          <w:trHeight w:val="30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Social Welfare Services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587 476</w:t>
            </w:r>
          </w:p>
        </w:tc>
      </w:tr>
      <w:tr w:rsidR="008E53E8" w:rsidRPr="00716648" w:rsidTr="004F5715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Children and Families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345 313</w:t>
            </w:r>
          </w:p>
        </w:tc>
      </w:tr>
      <w:tr w:rsidR="008E53E8" w:rsidRPr="00716648" w:rsidTr="004F5715">
        <w:trPr>
          <w:trHeight w:val="30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Restorative Services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303 840</w:t>
            </w:r>
          </w:p>
        </w:tc>
      </w:tr>
      <w:tr w:rsidR="008E53E8" w:rsidRPr="00716648" w:rsidTr="004F5715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Development and Research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190 684</w:t>
            </w:r>
          </w:p>
        </w:tc>
      </w:tr>
      <w:tr w:rsidR="008E53E8" w:rsidRPr="00716648" w:rsidTr="004F5715">
        <w:trPr>
          <w:trHeight w:val="30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Total for Programmes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8" w:rsidRPr="00716648" w:rsidRDefault="008E53E8" w:rsidP="004F5715">
            <w:pPr>
              <w:pStyle w:val="NoSpacing"/>
              <w:rPr>
                <w:rFonts w:ascii="Arial" w:eastAsia="Times New Roman" w:hAnsi="Arial" w:cs="Arial"/>
                <w:lang w:eastAsia="en-ZA"/>
              </w:rPr>
            </w:pPr>
            <w:r w:rsidRPr="00716648">
              <w:rPr>
                <w:rFonts w:ascii="Arial" w:eastAsia="Times New Roman" w:hAnsi="Arial" w:cs="Arial"/>
                <w:lang w:eastAsia="en-ZA"/>
              </w:rPr>
              <w:t>1 654 392</w:t>
            </w:r>
          </w:p>
        </w:tc>
      </w:tr>
    </w:tbl>
    <w:p w:rsidR="008E53E8" w:rsidRPr="00716648" w:rsidRDefault="008E53E8" w:rsidP="008E53E8">
      <w:pPr>
        <w:pStyle w:val="NoSpacing"/>
        <w:rPr>
          <w:rFonts w:ascii="Arial" w:hAnsi="Arial" w:cs="Arial"/>
        </w:rPr>
      </w:pPr>
    </w:p>
    <w:p w:rsidR="00D661D7" w:rsidRPr="00716648" w:rsidRDefault="00D661D7" w:rsidP="00D661D7">
      <w:pPr>
        <w:pStyle w:val="ListParagraph"/>
        <w:ind w:left="1418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D436ED" w:rsidRPr="00716648" w:rsidRDefault="00D436E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t>Northern Cape</w:t>
      </w:r>
      <w:r w:rsidR="00DE1CA2"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Province</w:t>
      </w:r>
    </w:p>
    <w:p w:rsidR="00FB3FA4" w:rsidRPr="00716648" w:rsidRDefault="00FB3FA4" w:rsidP="00FB3FA4">
      <w:pPr>
        <w:pStyle w:val="ListParagraph"/>
        <w:numPr>
          <w:ilvl w:val="0"/>
          <w:numId w:val="30"/>
        </w:numPr>
        <w:spacing w:before="240" w:line="240" w:lineRule="auto"/>
        <w:jc w:val="both"/>
        <w:rPr>
          <w:rFonts w:ascii="Arial" w:hAnsi="Arial" w:cs="Arial"/>
          <w:lang w:val="en-GB"/>
        </w:rPr>
      </w:pPr>
      <w:r w:rsidRPr="00716648">
        <w:rPr>
          <w:rFonts w:ascii="Arial" w:hAnsi="Arial" w:cs="Arial"/>
          <w:lang w:val="en-GB"/>
        </w:rPr>
        <w:t>&amp; b)</w:t>
      </w:r>
    </w:p>
    <w:p w:rsidR="00D436ED" w:rsidRPr="00716648" w:rsidRDefault="00D436ED" w:rsidP="00FB3FA4">
      <w:pPr>
        <w:spacing w:before="240" w:line="240" w:lineRule="auto"/>
        <w:ind w:left="360"/>
        <w:jc w:val="both"/>
        <w:rPr>
          <w:rFonts w:ascii="Arial" w:hAnsi="Arial" w:cs="Arial"/>
          <w:lang w:val="en-GB"/>
        </w:rPr>
      </w:pPr>
      <w:r w:rsidRPr="00716648">
        <w:rPr>
          <w:rFonts w:ascii="Arial" w:hAnsi="Arial" w:cs="Arial"/>
          <w:lang w:val="en-GB"/>
        </w:rPr>
        <w:t>The Department received a budget cut on the EPWP allocation from R 9,3 million to R 5,2 million. The reduction was mostly in Programme 5.</w:t>
      </w:r>
    </w:p>
    <w:p w:rsidR="00D436ED" w:rsidRPr="00716648" w:rsidRDefault="00D436E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D661D7" w:rsidRPr="00716648" w:rsidRDefault="002E3C7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716648">
        <w:rPr>
          <w:rFonts w:ascii="Arial" w:eastAsia="Times New Roman" w:hAnsi="Arial" w:cs="Arial"/>
          <w:b/>
          <w:snapToGrid w:val="0"/>
          <w:color w:val="000000"/>
          <w:lang w:val="en-GB"/>
        </w:rPr>
        <w:t>Western Cape</w:t>
      </w:r>
    </w:p>
    <w:p w:rsidR="002E3C79" w:rsidRPr="00716648" w:rsidRDefault="002E3C79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2E3C79" w:rsidRPr="00716648" w:rsidRDefault="002E3C79" w:rsidP="00FB3FA4">
      <w:pPr>
        <w:pStyle w:val="ListParagraph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The Western Cape DSD has the following budget cuts for the 2022/23 financial year.</w:t>
      </w:r>
    </w:p>
    <w:tbl>
      <w:tblPr>
        <w:tblStyle w:val="GridTable1LightAccent1"/>
        <w:tblW w:w="9026" w:type="dxa"/>
        <w:tblLook w:val="0600"/>
      </w:tblPr>
      <w:tblGrid>
        <w:gridCol w:w="5181"/>
        <w:gridCol w:w="3845"/>
      </w:tblGrid>
      <w:tr w:rsidR="002E3C79" w:rsidRPr="00716648" w:rsidTr="00DE1CA2">
        <w:trPr>
          <w:trHeight w:val="736"/>
        </w:trPr>
        <w:tc>
          <w:tcPr>
            <w:tcW w:w="5181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  <w:b/>
                <w:bCs/>
                <w:lang w:val="en-US"/>
              </w:rPr>
              <w:t>Programmes</w:t>
            </w:r>
          </w:p>
        </w:tc>
        <w:tc>
          <w:tcPr>
            <w:tcW w:w="3845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  <w:b/>
                <w:bCs/>
                <w:lang w:val="en-US"/>
              </w:rPr>
              <w:t>(R’000)</w:t>
            </w:r>
          </w:p>
        </w:tc>
      </w:tr>
      <w:tr w:rsidR="002E3C79" w:rsidRPr="00716648" w:rsidTr="00DE1CA2">
        <w:trPr>
          <w:trHeight w:val="780"/>
        </w:trPr>
        <w:tc>
          <w:tcPr>
            <w:tcW w:w="5181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  <w:lang w:val="en-US"/>
              </w:rPr>
              <w:t>Administration</w:t>
            </w:r>
          </w:p>
        </w:tc>
        <w:tc>
          <w:tcPr>
            <w:tcW w:w="3845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</w:rPr>
              <w:t>1,658</w:t>
            </w:r>
          </w:p>
        </w:tc>
      </w:tr>
      <w:tr w:rsidR="002E3C79" w:rsidRPr="00716648" w:rsidTr="00DE1CA2">
        <w:trPr>
          <w:trHeight w:val="780"/>
        </w:trPr>
        <w:tc>
          <w:tcPr>
            <w:tcW w:w="5181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  <w:lang w:val="en-US"/>
              </w:rPr>
              <w:t>Social Welfare Services</w:t>
            </w:r>
          </w:p>
        </w:tc>
        <w:tc>
          <w:tcPr>
            <w:tcW w:w="3845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</w:rPr>
              <w:t>21,213</w:t>
            </w:r>
          </w:p>
        </w:tc>
      </w:tr>
      <w:tr w:rsidR="002E3C79" w:rsidRPr="00716648" w:rsidTr="00DE1CA2">
        <w:trPr>
          <w:trHeight w:val="780"/>
        </w:trPr>
        <w:tc>
          <w:tcPr>
            <w:tcW w:w="5181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  <w:lang w:val="en-US"/>
              </w:rPr>
              <w:t>Children and Families</w:t>
            </w:r>
          </w:p>
        </w:tc>
        <w:tc>
          <w:tcPr>
            <w:tcW w:w="3845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</w:rPr>
              <w:t xml:space="preserve">(351,604) </w:t>
            </w:r>
          </w:p>
        </w:tc>
      </w:tr>
      <w:tr w:rsidR="002E3C79" w:rsidRPr="00716648" w:rsidTr="00DE1CA2">
        <w:trPr>
          <w:trHeight w:val="780"/>
        </w:trPr>
        <w:tc>
          <w:tcPr>
            <w:tcW w:w="5181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  <w:lang w:val="en-US"/>
              </w:rPr>
              <w:t>Restorative Services</w:t>
            </w:r>
          </w:p>
        </w:tc>
        <w:tc>
          <w:tcPr>
            <w:tcW w:w="3845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</w:rPr>
              <w:t>4,629</w:t>
            </w:r>
          </w:p>
        </w:tc>
      </w:tr>
      <w:tr w:rsidR="002E3C79" w:rsidRPr="00716648" w:rsidTr="00DE1CA2">
        <w:trPr>
          <w:trHeight w:val="780"/>
        </w:trPr>
        <w:tc>
          <w:tcPr>
            <w:tcW w:w="5181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  <w:lang w:val="en-US"/>
              </w:rPr>
              <w:t>Development and Research</w:t>
            </w:r>
          </w:p>
        </w:tc>
        <w:tc>
          <w:tcPr>
            <w:tcW w:w="3845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16648">
              <w:rPr>
                <w:rFonts w:ascii="Arial" w:hAnsi="Arial" w:cs="Arial"/>
              </w:rPr>
              <w:t>30,884</w:t>
            </w:r>
          </w:p>
        </w:tc>
      </w:tr>
      <w:tr w:rsidR="002E3C79" w:rsidRPr="00716648" w:rsidTr="00DE1CA2">
        <w:trPr>
          <w:trHeight w:val="734"/>
        </w:trPr>
        <w:tc>
          <w:tcPr>
            <w:tcW w:w="5181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716648"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</w:tc>
        <w:tc>
          <w:tcPr>
            <w:tcW w:w="3845" w:type="dxa"/>
            <w:hideMark/>
          </w:tcPr>
          <w:p w:rsidR="002E3C79" w:rsidRPr="00716648" w:rsidRDefault="002E3C79" w:rsidP="009C625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16648">
              <w:rPr>
                <w:rFonts w:ascii="Arial" w:hAnsi="Arial" w:cs="Arial"/>
                <w:b/>
                <w:bCs/>
              </w:rPr>
              <w:t>(293,220)</w:t>
            </w:r>
          </w:p>
        </w:tc>
      </w:tr>
    </w:tbl>
    <w:p w:rsidR="002E3C79" w:rsidRPr="00716648" w:rsidRDefault="002E3C79" w:rsidP="002E3C79">
      <w:pPr>
        <w:rPr>
          <w:rFonts w:ascii="Arial" w:hAnsi="Arial" w:cs="Arial"/>
        </w:rPr>
      </w:pPr>
    </w:p>
    <w:p w:rsidR="002E3C79" w:rsidRPr="00716648" w:rsidRDefault="002E3C79" w:rsidP="002E3C79">
      <w:pPr>
        <w:rPr>
          <w:rFonts w:ascii="Arial" w:hAnsi="Arial" w:cs="Arial"/>
        </w:rPr>
      </w:pPr>
      <w:r w:rsidRPr="00716648">
        <w:rPr>
          <w:rFonts w:ascii="Arial" w:hAnsi="Arial" w:cs="Arial"/>
        </w:rPr>
        <w:t xml:space="preserve">The </w:t>
      </w:r>
      <w:r w:rsidR="00961E0E" w:rsidRPr="00716648">
        <w:rPr>
          <w:rFonts w:ascii="Arial" w:hAnsi="Arial" w:cs="Arial"/>
        </w:rPr>
        <w:t>department</w:t>
      </w:r>
      <w:r w:rsidRPr="00716648">
        <w:rPr>
          <w:rFonts w:ascii="Arial" w:hAnsi="Arial" w:cs="Arial"/>
        </w:rPr>
        <w:t xml:space="preserve"> allocation for 2022/23 was reduced by R</w:t>
      </w:r>
      <w:r w:rsidR="00FB3FA4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>391.531 million for the Early Childhood Development (ECD) function shift from Vote 7: Social Development to Vote 5: Education.</w:t>
      </w:r>
    </w:p>
    <w:p w:rsidR="002E3C79" w:rsidRPr="00716648" w:rsidRDefault="002E3C79" w:rsidP="002E3C79">
      <w:pPr>
        <w:rPr>
          <w:rFonts w:ascii="Arial" w:hAnsi="Arial" w:cs="Arial"/>
        </w:rPr>
      </w:pPr>
      <w:r w:rsidRPr="00716648">
        <w:rPr>
          <w:rFonts w:ascii="Arial" w:hAnsi="Arial" w:cs="Arial"/>
        </w:rPr>
        <w:t xml:space="preserve">The department </w:t>
      </w:r>
      <w:r w:rsidR="00961E0E" w:rsidRPr="00716648">
        <w:rPr>
          <w:rFonts w:ascii="Arial" w:hAnsi="Arial" w:cs="Arial"/>
        </w:rPr>
        <w:t>reprioritised</w:t>
      </w:r>
      <w:r w:rsidRPr="00716648">
        <w:rPr>
          <w:rFonts w:ascii="Arial" w:hAnsi="Arial" w:cs="Arial"/>
        </w:rPr>
        <w:t xml:space="preserve"> allocations to mitigate budget shortfalls as follows:</w:t>
      </w:r>
    </w:p>
    <w:p w:rsidR="002E3C79" w:rsidRPr="00716648" w:rsidRDefault="002E3C79" w:rsidP="002E3C79">
      <w:pPr>
        <w:rPr>
          <w:rFonts w:ascii="Arial" w:hAnsi="Arial" w:cs="Arial"/>
        </w:rPr>
      </w:pPr>
    </w:p>
    <w:p w:rsidR="002E3C79" w:rsidRPr="00716648" w:rsidRDefault="002E3C79" w:rsidP="002E3C79">
      <w:pPr>
        <w:rPr>
          <w:rFonts w:ascii="Arial" w:hAnsi="Arial" w:cs="Arial"/>
          <w:u w:val="single"/>
        </w:rPr>
      </w:pPr>
      <w:r w:rsidRPr="00716648">
        <w:rPr>
          <w:rFonts w:ascii="Arial" w:hAnsi="Arial" w:cs="Arial"/>
          <w:u w:val="single"/>
        </w:rPr>
        <w:t>Compensation of Employees (CoE)</w:t>
      </w:r>
    </w:p>
    <w:p w:rsidR="002E3C79" w:rsidRPr="00716648" w:rsidRDefault="002E3C79" w:rsidP="002E3C79">
      <w:pPr>
        <w:rPr>
          <w:rFonts w:ascii="Arial" w:hAnsi="Arial" w:cs="Arial"/>
        </w:rPr>
      </w:pPr>
      <w:r w:rsidRPr="00716648">
        <w:rPr>
          <w:rFonts w:ascii="Arial" w:hAnsi="Arial" w:cs="Arial"/>
        </w:rPr>
        <w:t>The department received an additional R</w:t>
      </w:r>
      <w:r w:rsidR="00FB3FA4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>40 million to provide for the 2022/23 Wage agreement. However, the additional funding will not cover the department’s CoE budget requirements and therefore, the department had to reduce its Recruitment Plan (Filling of vacant posts) by R</w:t>
      </w:r>
      <w:r w:rsidR="00FB3FA4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 xml:space="preserve">25 million to cover the shortfall. This compromise will hamper the filling of critical posts and </w:t>
      </w:r>
      <w:r w:rsidR="00961E0E" w:rsidRPr="00716648">
        <w:rPr>
          <w:rFonts w:ascii="Arial" w:hAnsi="Arial" w:cs="Arial"/>
        </w:rPr>
        <w:t>effective</w:t>
      </w:r>
      <w:r w:rsidRPr="00716648">
        <w:rPr>
          <w:rFonts w:ascii="Arial" w:hAnsi="Arial" w:cs="Arial"/>
        </w:rPr>
        <w:t xml:space="preserve"> service delivery.</w:t>
      </w:r>
    </w:p>
    <w:p w:rsidR="002E3C79" w:rsidRPr="00716648" w:rsidRDefault="002E3C79" w:rsidP="002E3C79">
      <w:pPr>
        <w:rPr>
          <w:rFonts w:ascii="Arial" w:hAnsi="Arial" w:cs="Arial"/>
          <w:u w:val="single"/>
        </w:rPr>
      </w:pPr>
      <w:r w:rsidRPr="00716648">
        <w:rPr>
          <w:rFonts w:ascii="Arial" w:hAnsi="Arial" w:cs="Arial"/>
          <w:u w:val="single"/>
        </w:rPr>
        <w:t>Goods and Services</w:t>
      </w:r>
    </w:p>
    <w:p w:rsidR="002E3C79" w:rsidRPr="00716648" w:rsidRDefault="002E3C79" w:rsidP="002E3C79">
      <w:pPr>
        <w:rPr>
          <w:rFonts w:ascii="Arial" w:hAnsi="Arial" w:cs="Arial"/>
        </w:rPr>
      </w:pPr>
      <w:r w:rsidRPr="00716648">
        <w:rPr>
          <w:rFonts w:ascii="Arial" w:hAnsi="Arial" w:cs="Arial"/>
        </w:rPr>
        <w:t>The departments received an additional R</w:t>
      </w:r>
      <w:r w:rsidR="002F3345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 xml:space="preserve">1 million for </w:t>
      </w:r>
      <w:r w:rsidR="002F3345" w:rsidRPr="00716648">
        <w:rPr>
          <w:rFonts w:ascii="Arial" w:hAnsi="Arial" w:cs="Arial"/>
        </w:rPr>
        <w:t>digitizing</w:t>
      </w:r>
      <w:r w:rsidRPr="00716648">
        <w:rPr>
          <w:rFonts w:ascii="Arial" w:hAnsi="Arial" w:cs="Arial"/>
        </w:rPr>
        <w:t xml:space="preserve"> the Non-profit organisation management systems (NPOMS) and R</w:t>
      </w:r>
      <w:r w:rsidR="002F3345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>1 million for the development of a Mobile Client Service System to support Social Workers to deliver more efficient services.</w:t>
      </w:r>
    </w:p>
    <w:p w:rsidR="002E3C79" w:rsidRPr="00716648" w:rsidRDefault="002E3C79" w:rsidP="002E3C79">
      <w:pPr>
        <w:rPr>
          <w:rFonts w:ascii="Arial" w:hAnsi="Arial" w:cs="Arial"/>
        </w:rPr>
      </w:pPr>
      <w:r w:rsidRPr="00716648">
        <w:rPr>
          <w:rFonts w:ascii="Arial" w:hAnsi="Arial" w:cs="Arial"/>
        </w:rPr>
        <w:t>Considering baseline budget reductions, the department implemented additional budget cuts.</w:t>
      </w:r>
    </w:p>
    <w:p w:rsidR="002E3C79" w:rsidRPr="00716648" w:rsidRDefault="002E3C79" w:rsidP="002E3C79">
      <w:pPr>
        <w:pStyle w:val="ListParagraph"/>
        <w:numPr>
          <w:ilvl w:val="0"/>
          <w:numId w:val="23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No new staff bursaries can be awarded</w:t>
      </w:r>
    </w:p>
    <w:p w:rsidR="002E3C79" w:rsidRPr="00716648" w:rsidRDefault="002E3C79" w:rsidP="002E3C79">
      <w:pPr>
        <w:pStyle w:val="ListParagraph"/>
        <w:numPr>
          <w:ilvl w:val="0"/>
          <w:numId w:val="23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Training budget was reduced</w:t>
      </w:r>
    </w:p>
    <w:p w:rsidR="002E3C79" w:rsidRPr="00716648" w:rsidRDefault="002E3C79" w:rsidP="002E3C79">
      <w:pPr>
        <w:pStyle w:val="ListParagraph"/>
        <w:numPr>
          <w:ilvl w:val="0"/>
          <w:numId w:val="23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 xml:space="preserve">Maintenance of offices and facilities </w:t>
      </w:r>
      <w:r w:rsidR="00961E0E" w:rsidRPr="00716648">
        <w:rPr>
          <w:rFonts w:ascii="Arial" w:hAnsi="Arial" w:cs="Arial"/>
        </w:rPr>
        <w:t>was</w:t>
      </w:r>
      <w:r w:rsidRPr="00716648">
        <w:rPr>
          <w:rFonts w:ascii="Arial" w:hAnsi="Arial" w:cs="Arial"/>
        </w:rPr>
        <w:t xml:space="preserve"> reduced</w:t>
      </w:r>
    </w:p>
    <w:p w:rsidR="002E3C79" w:rsidRPr="00716648" w:rsidRDefault="002E3C79" w:rsidP="002E3C79">
      <w:pPr>
        <w:pStyle w:val="ListParagraph"/>
        <w:numPr>
          <w:ilvl w:val="0"/>
          <w:numId w:val="23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Austerity measures for Stationery, printing</w:t>
      </w:r>
      <w:r w:rsidR="00961E0E" w:rsidRPr="00716648">
        <w:rPr>
          <w:rFonts w:ascii="Arial" w:hAnsi="Arial" w:cs="Arial"/>
        </w:rPr>
        <w:t>,</w:t>
      </w:r>
      <w:r w:rsidRPr="00716648">
        <w:rPr>
          <w:rFonts w:ascii="Arial" w:hAnsi="Arial" w:cs="Arial"/>
        </w:rPr>
        <w:t xml:space="preserve"> and office supplies</w:t>
      </w:r>
    </w:p>
    <w:p w:rsidR="002F3345" w:rsidRPr="00716648" w:rsidRDefault="002F3345" w:rsidP="002E3C79">
      <w:pPr>
        <w:rPr>
          <w:rFonts w:ascii="Arial" w:hAnsi="Arial" w:cs="Arial"/>
          <w:u w:val="single"/>
        </w:rPr>
      </w:pPr>
    </w:p>
    <w:p w:rsidR="002E3C79" w:rsidRPr="00716648" w:rsidRDefault="002E3C79" w:rsidP="002E3C79">
      <w:pPr>
        <w:rPr>
          <w:rFonts w:ascii="Arial" w:hAnsi="Arial" w:cs="Arial"/>
          <w:u w:val="single"/>
        </w:rPr>
      </w:pPr>
      <w:r w:rsidRPr="00716648">
        <w:rPr>
          <w:rFonts w:ascii="Arial" w:hAnsi="Arial" w:cs="Arial"/>
          <w:u w:val="single"/>
        </w:rPr>
        <w:t>Transfer Payments and Subsidy Payments</w:t>
      </w:r>
    </w:p>
    <w:p w:rsidR="002E3C79" w:rsidRPr="00716648" w:rsidRDefault="002E3C79" w:rsidP="002E3C79">
      <w:pPr>
        <w:pStyle w:val="ListParagraph"/>
        <w:numPr>
          <w:ilvl w:val="0"/>
          <w:numId w:val="23"/>
        </w:numPr>
        <w:spacing w:after="0" w:line="312" w:lineRule="auto"/>
        <w:jc w:val="both"/>
        <w:rPr>
          <w:rFonts w:ascii="Arial" w:hAnsi="Arial" w:cs="Arial"/>
          <w:u w:val="single"/>
        </w:rPr>
      </w:pPr>
      <w:r w:rsidRPr="00716648">
        <w:rPr>
          <w:rFonts w:ascii="Arial" w:hAnsi="Arial" w:cs="Arial"/>
          <w:u w:val="single"/>
        </w:rPr>
        <w:t>Non-Profit Institutions</w:t>
      </w:r>
    </w:p>
    <w:p w:rsidR="002E3C79" w:rsidRPr="00716648" w:rsidRDefault="002E3C79" w:rsidP="002E3C79">
      <w:pPr>
        <w:pStyle w:val="ListParagraph"/>
        <w:rPr>
          <w:rFonts w:ascii="Arial" w:hAnsi="Arial" w:cs="Arial"/>
        </w:rPr>
      </w:pPr>
      <w:r w:rsidRPr="00716648">
        <w:rPr>
          <w:rFonts w:ascii="Arial" w:hAnsi="Arial" w:cs="Arial"/>
        </w:rPr>
        <w:t>The departments received an additional,</w:t>
      </w:r>
      <w:r w:rsidRPr="00716648">
        <w:rPr>
          <w:rFonts w:ascii="Arial" w:hAnsi="Arial" w:cs="Arial"/>
        </w:rPr>
        <w:tab/>
      </w:r>
    </w:p>
    <w:p w:rsidR="002E3C79" w:rsidRPr="00716648" w:rsidRDefault="002E3C79" w:rsidP="00FB3FA4">
      <w:pPr>
        <w:pStyle w:val="ListParagraph"/>
        <w:numPr>
          <w:ilvl w:val="1"/>
          <w:numId w:val="32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R</w:t>
      </w:r>
      <w:r w:rsidR="00FB3FA4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>4.978 million for the Social Sector EPWP Incentive Grant for Provinces.</w:t>
      </w:r>
    </w:p>
    <w:p w:rsidR="002E3C79" w:rsidRPr="00716648" w:rsidRDefault="002E3C79" w:rsidP="00FB3FA4">
      <w:pPr>
        <w:pStyle w:val="ListParagraph"/>
        <w:numPr>
          <w:ilvl w:val="1"/>
          <w:numId w:val="32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R</w:t>
      </w:r>
      <w:r w:rsidR="00FB3FA4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>3 million for the conversion of Robbie Nurock community health centre into a homeless shelter.</w:t>
      </w:r>
    </w:p>
    <w:p w:rsidR="002E3C79" w:rsidRPr="00716648" w:rsidRDefault="002E3C79" w:rsidP="00FB3FA4">
      <w:pPr>
        <w:pStyle w:val="ListParagraph"/>
        <w:numPr>
          <w:ilvl w:val="1"/>
          <w:numId w:val="32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R</w:t>
      </w:r>
      <w:r w:rsidR="00FB3FA4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>21.333 for Social Development - Welfare NGOs</w:t>
      </w:r>
    </w:p>
    <w:p w:rsidR="002E3C79" w:rsidRPr="00716648" w:rsidRDefault="002E3C79" w:rsidP="002E3C79">
      <w:pPr>
        <w:ind w:left="720"/>
        <w:rPr>
          <w:rFonts w:ascii="Arial" w:hAnsi="Arial" w:cs="Arial"/>
        </w:rPr>
      </w:pPr>
      <w:r w:rsidRPr="00716648">
        <w:rPr>
          <w:rFonts w:ascii="Arial" w:hAnsi="Arial" w:cs="Arial"/>
        </w:rPr>
        <w:t>The impact of baseline budget reductions will have the following consequences</w:t>
      </w:r>
    </w:p>
    <w:p w:rsidR="002E3C79" w:rsidRPr="00716648" w:rsidRDefault="002E3C79" w:rsidP="00FB3FA4">
      <w:pPr>
        <w:pStyle w:val="ListParagraph"/>
        <w:numPr>
          <w:ilvl w:val="1"/>
          <w:numId w:val="33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Reductions to payments for Older Persons will lead to the termination of all transport costs to service centres; 14 non-compliant service centres will not be funded, and termination of awareness programmes in old age homes.</w:t>
      </w:r>
    </w:p>
    <w:p w:rsidR="002E3C79" w:rsidRPr="00716648" w:rsidRDefault="002E3C79" w:rsidP="00FB3FA4">
      <w:pPr>
        <w:pStyle w:val="ListParagraph"/>
        <w:numPr>
          <w:ilvl w:val="1"/>
          <w:numId w:val="33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 xml:space="preserve">The reduction of payments to the disabled will lead to </w:t>
      </w:r>
      <w:r w:rsidR="00961E0E" w:rsidRPr="00716648">
        <w:rPr>
          <w:rFonts w:ascii="Arial" w:hAnsi="Arial" w:cs="Arial"/>
        </w:rPr>
        <w:t>a</w:t>
      </w:r>
      <w:r w:rsidRPr="00716648">
        <w:rPr>
          <w:rFonts w:ascii="Arial" w:hAnsi="Arial" w:cs="Arial"/>
        </w:rPr>
        <w:t xml:space="preserve"> reduction in disability training and awareness programmes. Funds to Disability Forums will be reduced.</w:t>
      </w:r>
    </w:p>
    <w:p w:rsidR="002E3C79" w:rsidRPr="00716648" w:rsidRDefault="002E3C79" w:rsidP="00FB3FA4">
      <w:pPr>
        <w:pStyle w:val="ListParagraph"/>
        <w:numPr>
          <w:ilvl w:val="1"/>
          <w:numId w:val="33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Funding will have to be reduced to all 33 shelters. There will be a reduction in funding of 40 Families Social Service Organisations’. This will lead to no parent, teenage, father /boys programme can continue in any of the Safety Hotspot areas and placing Families at higher risk.</w:t>
      </w:r>
    </w:p>
    <w:p w:rsidR="002E3C79" w:rsidRPr="00716648" w:rsidRDefault="002E3C79" w:rsidP="00FB3FA4">
      <w:pPr>
        <w:pStyle w:val="ListParagraph"/>
        <w:numPr>
          <w:ilvl w:val="1"/>
          <w:numId w:val="33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 xml:space="preserve">Fewer practitioners in Substance Abuse NPO's will be trained.  Reduction in early intervention services. Reduction of 80 youth beds. The reduction of </w:t>
      </w:r>
      <w:r w:rsidR="00961E0E" w:rsidRPr="00716648">
        <w:rPr>
          <w:rFonts w:ascii="Arial" w:hAnsi="Arial" w:cs="Arial"/>
        </w:rPr>
        <w:t>bed</w:t>
      </w:r>
      <w:r w:rsidRPr="00716648">
        <w:rPr>
          <w:rFonts w:ascii="Arial" w:hAnsi="Arial" w:cs="Arial"/>
        </w:rPr>
        <w:t xml:space="preserve"> space across the other Substance Abuse Centres. Reduction in </w:t>
      </w:r>
      <w:r w:rsidR="00961E0E" w:rsidRPr="00716648">
        <w:rPr>
          <w:rFonts w:ascii="Arial" w:hAnsi="Arial" w:cs="Arial"/>
        </w:rPr>
        <w:t>aftercare</w:t>
      </w:r>
      <w:r w:rsidRPr="00716648">
        <w:rPr>
          <w:rFonts w:ascii="Arial" w:hAnsi="Arial" w:cs="Arial"/>
        </w:rPr>
        <w:t xml:space="preserve"> services rendered by </w:t>
      </w:r>
      <w:r w:rsidR="00961E0E" w:rsidRPr="00716648">
        <w:rPr>
          <w:rFonts w:ascii="Arial" w:hAnsi="Arial" w:cs="Arial"/>
        </w:rPr>
        <w:t xml:space="preserve">the </w:t>
      </w:r>
      <w:r w:rsidRPr="00716648">
        <w:rPr>
          <w:rFonts w:ascii="Arial" w:hAnsi="Arial" w:cs="Arial"/>
        </w:rPr>
        <w:t>NPO sector and more pressure on DSD to render aftercare services. Impact on operational cost and a decrease in student intake for universities</w:t>
      </w:r>
    </w:p>
    <w:p w:rsidR="002E3C79" w:rsidRPr="00716648" w:rsidRDefault="002E3C79" w:rsidP="00FB3FA4">
      <w:pPr>
        <w:pStyle w:val="ListParagraph"/>
        <w:numPr>
          <w:ilvl w:val="1"/>
          <w:numId w:val="33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>Reduction in EPWP Programme</w:t>
      </w:r>
    </w:p>
    <w:p w:rsidR="002E3C79" w:rsidRPr="00716648" w:rsidRDefault="002E3C79" w:rsidP="00FB3FA4">
      <w:pPr>
        <w:pStyle w:val="ListParagraph"/>
        <w:numPr>
          <w:ilvl w:val="1"/>
          <w:numId w:val="33"/>
        </w:numPr>
        <w:spacing w:after="0" w:line="312" w:lineRule="auto"/>
        <w:jc w:val="both"/>
        <w:rPr>
          <w:rFonts w:ascii="Arial" w:hAnsi="Arial" w:cs="Arial"/>
        </w:rPr>
      </w:pPr>
      <w:r w:rsidRPr="00716648">
        <w:rPr>
          <w:rFonts w:ascii="Arial" w:hAnsi="Arial" w:cs="Arial"/>
        </w:rPr>
        <w:t xml:space="preserve">Reduction in project budgets for Youth Cafés. No expansion of Youth Cafes. </w:t>
      </w:r>
    </w:p>
    <w:p w:rsidR="002E3C79" w:rsidRPr="00716648" w:rsidRDefault="002E3C79" w:rsidP="002E3C79">
      <w:pPr>
        <w:pStyle w:val="ListParagraph"/>
        <w:numPr>
          <w:ilvl w:val="0"/>
          <w:numId w:val="23"/>
        </w:numPr>
        <w:spacing w:after="0" w:line="312" w:lineRule="auto"/>
        <w:jc w:val="both"/>
        <w:rPr>
          <w:rFonts w:ascii="Arial" w:hAnsi="Arial" w:cs="Arial"/>
          <w:u w:val="single"/>
        </w:rPr>
      </w:pPr>
      <w:r w:rsidRPr="00716648">
        <w:rPr>
          <w:rFonts w:ascii="Arial" w:hAnsi="Arial" w:cs="Arial"/>
          <w:u w:val="single"/>
        </w:rPr>
        <w:t>Households</w:t>
      </w:r>
    </w:p>
    <w:p w:rsidR="002E3C79" w:rsidRPr="00716648" w:rsidRDefault="002E3C79" w:rsidP="002E3C79">
      <w:pPr>
        <w:ind w:left="720"/>
        <w:contextualSpacing/>
        <w:rPr>
          <w:rFonts w:ascii="Arial" w:hAnsi="Arial" w:cs="Arial"/>
          <w:bCs/>
        </w:rPr>
      </w:pPr>
      <w:r w:rsidRPr="00716648">
        <w:rPr>
          <w:rFonts w:ascii="Arial" w:hAnsi="Arial" w:cs="Arial"/>
          <w:bCs/>
        </w:rPr>
        <w:t>No new External Bursaries can be awarded</w:t>
      </w:r>
    </w:p>
    <w:p w:rsidR="002E3C79" w:rsidRPr="00716648" w:rsidRDefault="002E3C79" w:rsidP="002E3C79">
      <w:pPr>
        <w:rPr>
          <w:rFonts w:ascii="Arial" w:hAnsi="Arial" w:cs="Arial"/>
          <w:u w:val="single"/>
        </w:rPr>
      </w:pPr>
    </w:p>
    <w:p w:rsidR="002E3C79" w:rsidRPr="00716648" w:rsidRDefault="002E3C79" w:rsidP="002E3C79">
      <w:pPr>
        <w:rPr>
          <w:rFonts w:ascii="Arial" w:hAnsi="Arial" w:cs="Arial"/>
          <w:u w:val="single"/>
        </w:rPr>
      </w:pPr>
      <w:r w:rsidRPr="00716648">
        <w:rPr>
          <w:rFonts w:ascii="Arial" w:hAnsi="Arial" w:cs="Arial"/>
          <w:u w:val="single"/>
        </w:rPr>
        <w:t>Capital Assets.</w:t>
      </w:r>
    </w:p>
    <w:p w:rsidR="002E3C79" w:rsidRPr="00716648" w:rsidRDefault="002E3C79" w:rsidP="002E3C79">
      <w:pPr>
        <w:rPr>
          <w:rFonts w:ascii="Arial" w:hAnsi="Arial" w:cs="Arial"/>
        </w:rPr>
      </w:pPr>
      <w:r w:rsidRPr="00716648">
        <w:rPr>
          <w:rFonts w:ascii="Arial" w:hAnsi="Arial" w:cs="Arial"/>
        </w:rPr>
        <w:t xml:space="preserve">The department received an additional R2 million to enable Mobile connectivity. However, the procurement of IT equipment was reduced and thus affecting the departmental Technology Refresh. </w:t>
      </w:r>
    </w:p>
    <w:p w:rsidR="002E3041" w:rsidRPr="00716648" w:rsidRDefault="002E3041" w:rsidP="002E3041">
      <w:pPr>
        <w:pStyle w:val="ListParagraph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</w:p>
    <w:p w:rsidR="002E3C79" w:rsidRPr="00716648" w:rsidRDefault="002E3C79" w:rsidP="002E3041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716648">
        <w:rPr>
          <w:rFonts w:ascii="Arial" w:hAnsi="Arial" w:cs="Arial"/>
          <w:b/>
          <w:bCs/>
          <w:lang w:val="en-US"/>
        </w:rPr>
        <w:t>Programme 1: Administration</w:t>
      </w:r>
    </w:p>
    <w:p w:rsidR="002E3C79" w:rsidRPr="00716648" w:rsidRDefault="002E3C79" w:rsidP="002E3C79">
      <w:pPr>
        <w:numPr>
          <w:ilvl w:val="1"/>
          <w:numId w:val="22"/>
        </w:numPr>
        <w:tabs>
          <w:tab w:val="clear" w:pos="1440"/>
        </w:tabs>
        <w:spacing w:before="100" w:beforeAutospacing="1" w:after="100" w:afterAutospacing="1"/>
        <w:ind w:left="720" w:hanging="630"/>
        <w:jc w:val="both"/>
        <w:rPr>
          <w:rFonts w:ascii="Arial" w:hAnsi="Arial" w:cs="Arial"/>
          <w:lang w:val="en-US"/>
        </w:rPr>
      </w:pPr>
      <w:r w:rsidRPr="00716648">
        <w:rPr>
          <w:rFonts w:ascii="Arial" w:hAnsi="Arial" w:cs="Arial"/>
          <w:lang w:val="en-US"/>
        </w:rPr>
        <w:t xml:space="preserve">The reduction in COE severely impacted service delivery monitoring and performance of </w:t>
      </w:r>
      <w:r w:rsidR="00961E0E" w:rsidRPr="00716648">
        <w:rPr>
          <w:rFonts w:ascii="Arial" w:hAnsi="Arial" w:cs="Arial"/>
          <w:lang w:val="en-US"/>
        </w:rPr>
        <w:t>administrative</w:t>
      </w:r>
      <w:r w:rsidRPr="00716648">
        <w:rPr>
          <w:rFonts w:ascii="Arial" w:hAnsi="Arial" w:cs="Arial"/>
          <w:lang w:val="en-US"/>
        </w:rPr>
        <w:t xml:space="preserve"> duties. </w:t>
      </w:r>
    </w:p>
    <w:p w:rsidR="002E3C79" w:rsidRPr="00716648" w:rsidRDefault="002E3C79" w:rsidP="002E3C79">
      <w:pPr>
        <w:numPr>
          <w:ilvl w:val="1"/>
          <w:numId w:val="22"/>
        </w:numPr>
        <w:tabs>
          <w:tab w:val="clear" w:pos="1440"/>
        </w:tabs>
        <w:spacing w:before="100" w:beforeAutospacing="1" w:after="100" w:afterAutospacing="1"/>
        <w:ind w:left="720" w:hanging="630"/>
        <w:jc w:val="both"/>
        <w:rPr>
          <w:rFonts w:ascii="Arial" w:hAnsi="Arial" w:cs="Arial"/>
          <w:lang w:val="en-US"/>
        </w:rPr>
      </w:pPr>
      <w:r w:rsidRPr="00716648">
        <w:rPr>
          <w:rFonts w:ascii="Arial" w:hAnsi="Arial" w:cs="Arial"/>
          <w:lang w:val="en-US"/>
        </w:rPr>
        <w:t xml:space="preserve">IT refresh was scaled down. </w:t>
      </w:r>
    </w:p>
    <w:p w:rsidR="002E3C79" w:rsidRPr="00716648" w:rsidRDefault="002E3C79" w:rsidP="002E3C79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716648">
        <w:rPr>
          <w:rFonts w:ascii="Arial" w:hAnsi="Arial" w:cs="Arial"/>
          <w:b/>
          <w:bCs/>
          <w:lang w:val="en-US"/>
        </w:rPr>
        <w:t>Programme 2: Social Welfare Services</w:t>
      </w:r>
    </w:p>
    <w:p w:rsidR="002E3C79" w:rsidRPr="00716648" w:rsidRDefault="002E3C79" w:rsidP="002E3C79">
      <w:pPr>
        <w:numPr>
          <w:ilvl w:val="1"/>
          <w:numId w:val="22"/>
        </w:numPr>
        <w:tabs>
          <w:tab w:val="clear" w:pos="1440"/>
        </w:tabs>
        <w:spacing w:before="100" w:beforeAutospacing="1" w:after="100" w:afterAutospacing="1"/>
        <w:ind w:left="720" w:hanging="630"/>
        <w:jc w:val="both"/>
        <w:rPr>
          <w:rFonts w:ascii="Arial" w:hAnsi="Arial" w:cs="Arial"/>
          <w:lang w:val="en-US"/>
        </w:rPr>
      </w:pPr>
      <w:r w:rsidRPr="00716648">
        <w:rPr>
          <w:rFonts w:ascii="Arial" w:hAnsi="Arial" w:cs="Arial"/>
          <w:lang w:val="en-US"/>
        </w:rPr>
        <w:t xml:space="preserve">The reduction in COE resulted in the downscaling of services and outputs within the department. </w:t>
      </w:r>
    </w:p>
    <w:p w:rsidR="002E3041" w:rsidRPr="00716648" w:rsidRDefault="002E3C79" w:rsidP="002E3041">
      <w:pPr>
        <w:numPr>
          <w:ilvl w:val="1"/>
          <w:numId w:val="22"/>
        </w:numPr>
        <w:tabs>
          <w:tab w:val="clear" w:pos="1440"/>
        </w:tabs>
        <w:spacing w:before="100" w:beforeAutospacing="1" w:after="100" w:afterAutospacing="1"/>
        <w:ind w:left="720" w:hanging="630"/>
        <w:jc w:val="both"/>
        <w:rPr>
          <w:rFonts w:ascii="Arial" w:hAnsi="Arial" w:cs="Arial"/>
          <w:lang w:val="en-US"/>
        </w:rPr>
      </w:pPr>
      <w:r w:rsidRPr="00716648">
        <w:rPr>
          <w:rFonts w:ascii="Arial" w:hAnsi="Arial" w:cs="Arial"/>
          <w:lang w:val="en-US"/>
        </w:rPr>
        <w:t xml:space="preserve">2021/22 Adjusted Budget for transfer payments </w:t>
      </w:r>
      <w:r w:rsidR="00961E0E" w:rsidRPr="00716648">
        <w:rPr>
          <w:rFonts w:ascii="Arial" w:hAnsi="Arial" w:cs="Arial"/>
          <w:lang w:val="en-US"/>
        </w:rPr>
        <w:t>was</w:t>
      </w:r>
      <w:r w:rsidRPr="00716648">
        <w:rPr>
          <w:rFonts w:ascii="Arial" w:hAnsi="Arial" w:cs="Arial"/>
          <w:lang w:val="en-US"/>
        </w:rPr>
        <w:t xml:space="preserve"> maintained, thus no increases in </w:t>
      </w:r>
      <w:r w:rsidR="00961E0E" w:rsidRPr="00716648">
        <w:rPr>
          <w:rFonts w:ascii="Arial" w:hAnsi="Arial" w:cs="Arial"/>
          <w:lang w:val="en-US"/>
        </w:rPr>
        <w:t>post-funding</w:t>
      </w:r>
      <w:r w:rsidRPr="00716648">
        <w:rPr>
          <w:rFonts w:ascii="Arial" w:hAnsi="Arial" w:cs="Arial"/>
          <w:lang w:val="en-US"/>
        </w:rPr>
        <w:t>, subsidies</w:t>
      </w:r>
      <w:r w:rsidR="00961E0E" w:rsidRPr="00716648">
        <w:rPr>
          <w:rFonts w:ascii="Arial" w:hAnsi="Arial" w:cs="Arial"/>
          <w:lang w:val="en-US"/>
        </w:rPr>
        <w:t>,</w:t>
      </w:r>
      <w:r w:rsidRPr="00716648">
        <w:rPr>
          <w:rFonts w:ascii="Arial" w:hAnsi="Arial" w:cs="Arial"/>
          <w:lang w:val="en-US"/>
        </w:rPr>
        <w:t xml:space="preserve"> and programmes funding. This resulted in downscaling of services within the NGO sector. Certain service offerings were suspended or terminated. </w:t>
      </w:r>
    </w:p>
    <w:p w:rsidR="002E3C79" w:rsidRPr="00716648" w:rsidRDefault="002E3C79" w:rsidP="002E3C79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n-US"/>
        </w:rPr>
      </w:pPr>
      <w:r w:rsidRPr="00716648">
        <w:rPr>
          <w:rFonts w:ascii="Arial" w:hAnsi="Arial" w:cs="Arial"/>
          <w:b/>
          <w:bCs/>
          <w:lang w:val="en-US"/>
        </w:rPr>
        <w:t>Programme 3: Children and Families</w:t>
      </w:r>
    </w:p>
    <w:p w:rsidR="002E3C79" w:rsidRPr="00716648" w:rsidRDefault="002E3C79" w:rsidP="002E3041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716648">
        <w:rPr>
          <w:rFonts w:ascii="Arial" w:hAnsi="Arial" w:cs="Arial"/>
          <w:lang w:val="en-US"/>
        </w:rPr>
        <w:t xml:space="preserve">Reduction in CoE severely </w:t>
      </w:r>
      <w:r w:rsidR="00961E0E" w:rsidRPr="00716648">
        <w:rPr>
          <w:rFonts w:ascii="Arial" w:hAnsi="Arial" w:cs="Arial"/>
          <w:lang w:val="en-US"/>
        </w:rPr>
        <w:t>impacts</w:t>
      </w:r>
      <w:r w:rsidRPr="00716648">
        <w:rPr>
          <w:rFonts w:ascii="Arial" w:hAnsi="Arial" w:cs="Arial"/>
          <w:lang w:val="en-US"/>
        </w:rPr>
        <w:t xml:space="preserve"> services offered by the department. </w:t>
      </w:r>
    </w:p>
    <w:p w:rsidR="002F3345" w:rsidRPr="00716648" w:rsidRDefault="002E3C79" w:rsidP="002E304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716648">
        <w:rPr>
          <w:rFonts w:ascii="Arial" w:hAnsi="Arial" w:cs="Arial"/>
        </w:rPr>
        <w:t xml:space="preserve">The allocation for 2022/23 was reduced by </w:t>
      </w:r>
    </w:p>
    <w:p w:rsidR="002E3C79" w:rsidRPr="00716648" w:rsidRDefault="002E3C79" w:rsidP="002E3041">
      <w:pPr>
        <w:pStyle w:val="ListParagraph"/>
        <w:rPr>
          <w:rFonts w:ascii="Arial" w:hAnsi="Arial" w:cs="Arial"/>
        </w:rPr>
      </w:pPr>
      <w:r w:rsidRPr="00716648">
        <w:rPr>
          <w:rFonts w:ascii="Arial" w:hAnsi="Arial" w:cs="Arial"/>
        </w:rPr>
        <w:t>R</w:t>
      </w:r>
      <w:r w:rsidR="002F3345" w:rsidRPr="00716648">
        <w:rPr>
          <w:rFonts w:ascii="Arial" w:hAnsi="Arial" w:cs="Arial"/>
        </w:rPr>
        <w:t xml:space="preserve"> </w:t>
      </w:r>
      <w:r w:rsidRPr="00716648">
        <w:rPr>
          <w:rFonts w:ascii="Arial" w:hAnsi="Arial" w:cs="Arial"/>
        </w:rPr>
        <w:t>391.531 million for the Early Childhood Development (ECD) function shift from Vote 7: Social Development to Vote 5: Education.</w:t>
      </w:r>
    </w:p>
    <w:p w:rsidR="002E3C79" w:rsidRPr="00716648" w:rsidRDefault="002E3C79" w:rsidP="002E3C79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n-US"/>
        </w:rPr>
      </w:pPr>
      <w:r w:rsidRPr="00716648">
        <w:rPr>
          <w:rFonts w:ascii="Arial" w:hAnsi="Arial" w:cs="Arial"/>
          <w:b/>
          <w:bCs/>
          <w:lang w:val="en-US"/>
        </w:rPr>
        <w:t>Programme 4: Restorative Services</w:t>
      </w:r>
    </w:p>
    <w:p w:rsidR="002E3C79" w:rsidRPr="00716648" w:rsidRDefault="002E3C79" w:rsidP="002E3041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716648">
        <w:rPr>
          <w:rFonts w:ascii="Arial" w:hAnsi="Arial" w:cs="Arial"/>
          <w:lang w:val="en-US"/>
        </w:rPr>
        <w:t xml:space="preserve">The reduction in CoE severely impacted services offered at facilities. Norms and standards ratio for </w:t>
      </w:r>
      <w:r w:rsidR="00961E0E" w:rsidRPr="00716648">
        <w:rPr>
          <w:rFonts w:ascii="Arial" w:hAnsi="Arial" w:cs="Arial"/>
          <w:lang w:val="en-US"/>
        </w:rPr>
        <w:t xml:space="preserve">a </w:t>
      </w:r>
      <w:r w:rsidRPr="00716648">
        <w:rPr>
          <w:rFonts w:ascii="Arial" w:hAnsi="Arial" w:cs="Arial"/>
          <w:lang w:val="en-US"/>
        </w:rPr>
        <w:t xml:space="preserve">child vs care worker </w:t>
      </w:r>
      <w:r w:rsidR="00961E0E" w:rsidRPr="00716648">
        <w:rPr>
          <w:rFonts w:ascii="Arial" w:hAnsi="Arial" w:cs="Arial"/>
          <w:lang w:val="en-US"/>
        </w:rPr>
        <w:t>was</w:t>
      </w:r>
      <w:r w:rsidRPr="00716648">
        <w:rPr>
          <w:rFonts w:ascii="Arial" w:hAnsi="Arial" w:cs="Arial"/>
          <w:lang w:val="en-US"/>
        </w:rPr>
        <w:t xml:space="preserve"> not met and increased absenteeism.</w:t>
      </w:r>
    </w:p>
    <w:p w:rsidR="002E3C79" w:rsidRPr="00716648" w:rsidRDefault="002E3C79" w:rsidP="002E3041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716648">
        <w:rPr>
          <w:rFonts w:ascii="Arial" w:hAnsi="Arial" w:cs="Arial"/>
          <w:lang w:val="en-US"/>
        </w:rPr>
        <w:t xml:space="preserve">2021/22 Adjusted Budget for transfer payments </w:t>
      </w:r>
      <w:r w:rsidR="00961E0E" w:rsidRPr="00716648">
        <w:rPr>
          <w:rFonts w:ascii="Arial" w:hAnsi="Arial" w:cs="Arial"/>
          <w:lang w:val="en-US"/>
        </w:rPr>
        <w:t>was</w:t>
      </w:r>
      <w:r w:rsidRPr="00716648">
        <w:rPr>
          <w:rFonts w:ascii="Arial" w:hAnsi="Arial" w:cs="Arial"/>
          <w:lang w:val="en-US"/>
        </w:rPr>
        <w:t xml:space="preserve"> maintained, thus no increases in </w:t>
      </w:r>
      <w:r w:rsidR="00961E0E" w:rsidRPr="00716648">
        <w:rPr>
          <w:rFonts w:ascii="Arial" w:hAnsi="Arial" w:cs="Arial"/>
          <w:lang w:val="en-US"/>
        </w:rPr>
        <w:t>post-funding</w:t>
      </w:r>
      <w:r w:rsidRPr="00716648">
        <w:rPr>
          <w:rFonts w:ascii="Arial" w:hAnsi="Arial" w:cs="Arial"/>
          <w:lang w:val="en-US"/>
        </w:rPr>
        <w:t>, subsidies</w:t>
      </w:r>
      <w:r w:rsidR="00961E0E" w:rsidRPr="00716648">
        <w:rPr>
          <w:rFonts w:ascii="Arial" w:hAnsi="Arial" w:cs="Arial"/>
          <w:lang w:val="en-US"/>
        </w:rPr>
        <w:t>,</w:t>
      </w:r>
      <w:r w:rsidRPr="00716648">
        <w:rPr>
          <w:rFonts w:ascii="Arial" w:hAnsi="Arial" w:cs="Arial"/>
          <w:lang w:val="en-US"/>
        </w:rPr>
        <w:t xml:space="preserve"> and programmes funding. This resulted in downscaling of services within the NGO sector. Certain service offerings were suspended or terminated. </w:t>
      </w:r>
    </w:p>
    <w:p w:rsidR="002E3041" w:rsidRPr="00716648" w:rsidRDefault="002E3041" w:rsidP="002E3041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</w:p>
    <w:p w:rsidR="002E3C79" w:rsidRPr="00716648" w:rsidRDefault="002E3C79" w:rsidP="002E3C79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n-US"/>
        </w:rPr>
      </w:pPr>
      <w:r w:rsidRPr="00716648">
        <w:rPr>
          <w:rFonts w:ascii="Arial" w:hAnsi="Arial" w:cs="Arial"/>
          <w:b/>
          <w:bCs/>
          <w:lang w:val="en-US"/>
        </w:rPr>
        <w:t>Programme 5: Restorative Services</w:t>
      </w:r>
    </w:p>
    <w:p w:rsidR="002E3C79" w:rsidRPr="00716648" w:rsidRDefault="002E3C79" w:rsidP="002E3041">
      <w:pPr>
        <w:pStyle w:val="ListParagraph"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716648">
        <w:rPr>
          <w:rFonts w:ascii="Arial" w:hAnsi="Arial" w:cs="Arial"/>
          <w:lang w:val="en-US"/>
        </w:rPr>
        <w:t xml:space="preserve">The reduction in CoE severely impacted services offered by the Department. </w:t>
      </w:r>
    </w:p>
    <w:p w:rsidR="002E3C79" w:rsidRPr="00716648" w:rsidRDefault="002E3C79" w:rsidP="002E3041">
      <w:pPr>
        <w:pStyle w:val="ListParagraph"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716648">
        <w:rPr>
          <w:rFonts w:ascii="Arial" w:hAnsi="Arial" w:cs="Arial"/>
          <w:lang w:val="en-US"/>
        </w:rPr>
        <w:t>Ability to respond to disasters and humanitarian relief was severely impacted. There was limited ability to address food insecurity where SASSA didn't have additional funding.</w:t>
      </w:r>
    </w:p>
    <w:p w:rsidR="002F3345" w:rsidRPr="00716648" w:rsidRDefault="002F3345" w:rsidP="002F3345">
      <w:pPr>
        <w:spacing w:before="100" w:beforeAutospacing="1" w:after="100" w:afterAutospacing="1"/>
        <w:ind w:left="720"/>
        <w:jc w:val="both"/>
        <w:rPr>
          <w:rFonts w:ascii="Arial" w:hAnsi="Arial" w:cs="Arial"/>
          <w:lang w:val="en-US"/>
        </w:rPr>
      </w:pPr>
    </w:p>
    <w:p w:rsidR="00FB3FA4" w:rsidRPr="00FB3FA4" w:rsidRDefault="00FB3FA4" w:rsidP="00FB3FA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FB3FA4" w:rsidRPr="00FB3FA4" w:rsidRDefault="00FB3FA4" w:rsidP="00FB3FA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FB3FA4" w:rsidRPr="00FB3FA4" w:rsidRDefault="00FB3FA4" w:rsidP="00FB3FA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FB3FA4" w:rsidRPr="00FB3FA4" w:rsidRDefault="00FB3FA4" w:rsidP="00FB3FA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FB3FA4" w:rsidRDefault="00FB3FA4" w:rsidP="00FB3FA4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  <w:lang w:val="en-US"/>
        </w:rPr>
      </w:pPr>
    </w:p>
    <w:sectPr w:rsidR="00FB3FA4" w:rsidSect="0045257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CC" w:rsidRDefault="00D175CC">
      <w:pPr>
        <w:spacing w:after="0" w:line="240" w:lineRule="auto"/>
      </w:pPr>
      <w:r>
        <w:separator/>
      </w:r>
    </w:p>
  </w:endnote>
  <w:endnote w:type="continuationSeparator" w:id="0">
    <w:p w:rsidR="00D175CC" w:rsidRDefault="00D1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45257C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D17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CC" w:rsidRDefault="00D175CC">
      <w:pPr>
        <w:spacing w:after="0" w:line="240" w:lineRule="auto"/>
      </w:pPr>
      <w:r>
        <w:separator/>
      </w:r>
    </w:p>
  </w:footnote>
  <w:footnote w:type="continuationSeparator" w:id="0">
    <w:p w:rsidR="00D175CC" w:rsidRDefault="00D1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E5579"/>
    <w:multiLevelType w:val="hybridMultilevel"/>
    <w:tmpl w:val="91EEC0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051"/>
    <w:multiLevelType w:val="hybridMultilevel"/>
    <w:tmpl w:val="8A403400"/>
    <w:lvl w:ilvl="0" w:tplc="EBACC2B8">
      <w:start w:val="1"/>
      <w:numFmt w:val="lowerLetter"/>
      <w:lvlText w:val="(%1)"/>
      <w:lvlJc w:val="left"/>
      <w:pPr>
        <w:ind w:left="1128" w:hanging="40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40B27"/>
    <w:multiLevelType w:val="hybridMultilevel"/>
    <w:tmpl w:val="DA9296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F2C44"/>
    <w:multiLevelType w:val="hybridMultilevel"/>
    <w:tmpl w:val="BEF8E7E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61F32"/>
    <w:multiLevelType w:val="hybridMultilevel"/>
    <w:tmpl w:val="106C66DE"/>
    <w:lvl w:ilvl="0" w:tplc="DA1AB9E2">
      <w:start w:val="1"/>
      <w:numFmt w:val="bullet"/>
      <w:lvlText w:val="⁻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9E2732"/>
    <w:multiLevelType w:val="hybridMultilevel"/>
    <w:tmpl w:val="8242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70844"/>
    <w:multiLevelType w:val="hybridMultilevel"/>
    <w:tmpl w:val="C52A7652"/>
    <w:lvl w:ilvl="0" w:tplc="052E3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27D47"/>
    <w:multiLevelType w:val="hybridMultilevel"/>
    <w:tmpl w:val="3B4887A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E1918"/>
    <w:multiLevelType w:val="hybridMultilevel"/>
    <w:tmpl w:val="A2841678"/>
    <w:lvl w:ilvl="0" w:tplc="822EC0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344A7"/>
    <w:multiLevelType w:val="hybridMultilevel"/>
    <w:tmpl w:val="DD4C36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93367"/>
    <w:multiLevelType w:val="hybridMultilevel"/>
    <w:tmpl w:val="BABC62A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0">
    <w:nsid w:val="53BB03AF"/>
    <w:multiLevelType w:val="hybridMultilevel"/>
    <w:tmpl w:val="032AAAA8"/>
    <w:lvl w:ilvl="0" w:tplc="72583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22F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48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C9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07D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0A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2C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88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CB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41028AC"/>
    <w:multiLevelType w:val="hybridMultilevel"/>
    <w:tmpl w:val="36FCBE1E"/>
    <w:lvl w:ilvl="0" w:tplc="7870EA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0B8"/>
    <w:multiLevelType w:val="hybridMultilevel"/>
    <w:tmpl w:val="9D80B638"/>
    <w:lvl w:ilvl="0" w:tplc="305E0B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0F385F"/>
    <w:multiLevelType w:val="hybridMultilevel"/>
    <w:tmpl w:val="7E0C30A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1032F"/>
    <w:multiLevelType w:val="hybridMultilevel"/>
    <w:tmpl w:val="B1B85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62088"/>
    <w:multiLevelType w:val="hybridMultilevel"/>
    <w:tmpl w:val="6F06B484"/>
    <w:lvl w:ilvl="0" w:tplc="1C9CD55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E30FE"/>
    <w:multiLevelType w:val="hybridMultilevel"/>
    <w:tmpl w:val="E62E0C3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8E45B5"/>
    <w:multiLevelType w:val="hybridMultilevel"/>
    <w:tmpl w:val="EBF4B9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913F0"/>
    <w:multiLevelType w:val="hybridMultilevel"/>
    <w:tmpl w:val="2CA4F3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22E10"/>
    <w:multiLevelType w:val="hybridMultilevel"/>
    <w:tmpl w:val="93EAF858"/>
    <w:lvl w:ilvl="0" w:tplc="3586B56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36"/>
  </w:num>
  <w:num w:numId="4">
    <w:abstractNumId w:val="5"/>
  </w:num>
  <w:num w:numId="5">
    <w:abstractNumId w:val="25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12"/>
  </w:num>
  <w:num w:numId="11">
    <w:abstractNumId w:val="15"/>
  </w:num>
  <w:num w:numId="12">
    <w:abstractNumId w:val="32"/>
  </w:num>
  <w:num w:numId="13">
    <w:abstractNumId w:val="23"/>
  </w:num>
  <w:num w:numId="14">
    <w:abstractNumId w:val="16"/>
  </w:num>
  <w:num w:numId="15">
    <w:abstractNumId w:val="31"/>
  </w:num>
  <w:num w:numId="16">
    <w:abstractNumId w:val="28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35"/>
  </w:num>
  <w:num w:numId="22">
    <w:abstractNumId w:val="20"/>
  </w:num>
  <w:num w:numId="23">
    <w:abstractNumId w:val="7"/>
  </w:num>
  <w:num w:numId="24">
    <w:abstractNumId w:val="2"/>
  </w:num>
  <w:num w:numId="25">
    <w:abstractNumId w:val="29"/>
  </w:num>
  <w:num w:numId="26">
    <w:abstractNumId w:val="26"/>
  </w:num>
  <w:num w:numId="27">
    <w:abstractNumId w:val="1"/>
  </w:num>
  <w:num w:numId="28">
    <w:abstractNumId w:val="4"/>
  </w:num>
  <w:num w:numId="29">
    <w:abstractNumId w:val="17"/>
  </w:num>
  <w:num w:numId="30">
    <w:abstractNumId w:val="30"/>
  </w:num>
  <w:num w:numId="31">
    <w:abstractNumId w:val="9"/>
  </w:num>
  <w:num w:numId="32">
    <w:abstractNumId w:val="33"/>
  </w:num>
  <w:num w:numId="33">
    <w:abstractNumId w:val="34"/>
  </w:num>
  <w:num w:numId="34">
    <w:abstractNumId w:val="22"/>
  </w:num>
  <w:num w:numId="35">
    <w:abstractNumId w:val="3"/>
  </w:num>
  <w:num w:numId="36">
    <w:abstractNumId w:val="1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E6DA3"/>
    <w:rsid w:val="001F1C3B"/>
    <w:rsid w:val="00205109"/>
    <w:rsid w:val="002052D4"/>
    <w:rsid w:val="00207160"/>
    <w:rsid w:val="00207F9C"/>
    <w:rsid w:val="00214E66"/>
    <w:rsid w:val="00224843"/>
    <w:rsid w:val="0022619E"/>
    <w:rsid w:val="00232C7D"/>
    <w:rsid w:val="002346B4"/>
    <w:rsid w:val="00237C88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4162"/>
    <w:rsid w:val="002A66E4"/>
    <w:rsid w:val="002B0E00"/>
    <w:rsid w:val="002B1DA6"/>
    <w:rsid w:val="002B25C8"/>
    <w:rsid w:val="002B3395"/>
    <w:rsid w:val="002B387B"/>
    <w:rsid w:val="002B5B12"/>
    <w:rsid w:val="002B5DEF"/>
    <w:rsid w:val="002B63D8"/>
    <w:rsid w:val="002B6874"/>
    <w:rsid w:val="002B7F4E"/>
    <w:rsid w:val="002D4C7A"/>
    <w:rsid w:val="002E3041"/>
    <w:rsid w:val="002E3C79"/>
    <w:rsid w:val="002E7AA7"/>
    <w:rsid w:val="002F0131"/>
    <w:rsid w:val="002F04B7"/>
    <w:rsid w:val="002F17AE"/>
    <w:rsid w:val="002F1B57"/>
    <w:rsid w:val="002F3345"/>
    <w:rsid w:val="003055D8"/>
    <w:rsid w:val="00306CD5"/>
    <w:rsid w:val="00310F71"/>
    <w:rsid w:val="00314EB9"/>
    <w:rsid w:val="00317C62"/>
    <w:rsid w:val="00322453"/>
    <w:rsid w:val="003313F7"/>
    <w:rsid w:val="00340511"/>
    <w:rsid w:val="00343A08"/>
    <w:rsid w:val="00347050"/>
    <w:rsid w:val="00351E70"/>
    <w:rsid w:val="0035762D"/>
    <w:rsid w:val="00357D50"/>
    <w:rsid w:val="003620F4"/>
    <w:rsid w:val="003677F8"/>
    <w:rsid w:val="003678C9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0E7B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257C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1D35"/>
    <w:rsid w:val="0050367D"/>
    <w:rsid w:val="00505A71"/>
    <w:rsid w:val="00506466"/>
    <w:rsid w:val="00512601"/>
    <w:rsid w:val="00514645"/>
    <w:rsid w:val="00515132"/>
    <w:rsid w:val="00524296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5BA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16648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BA8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3E8"/>
    <w:rsid w:val="008E5698"/>
    <w:rsid w:val="0090785A"/>
    <w:rsid w:val="00907F57"/>
    <w:rsid w:val="00913103"/>
    <w:rsid w:val="009157B3"/>
    <w:rsid w:val="00920B4A"/>
    <w:rsid w:val="00923C66"/>
    <w:rsid w:val="00925A2E"/>
    <w:rsid w:val="00926BB8"/>
    <w:rsid w:val="009311E4"/>
    <w:rsid w:val="00932950"/>
    <w:rsid w:val="00943310"/>
    <w:rsid w:val="00947DCC"/>
    <w:rsid w:val="00950A52"/>
    <w:rsid w:val="0095259B"/>
    <w:rsid w:val="00954A50"/>
    <w:rsid w:val="0095691B"/>
    <w:rsid w:val="00961E0E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B24C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0E9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6606F"/>
    <w:rsid w:val="00B70939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0C2"/>
    <w:rsid w:val="00C01144"/>
    <w:rsid w:val="00C0555F"/>
    <w:rsid w:val="00C10464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EF3"/>
    <w:rsid w:val="00C62623"/>
    <w:rsid w:val="00C6342B"/>
    <w:rsid w:val="00C650E0"/>
    <w:rsid w:val="00C66339"/>
    <w:rsid w:val="00C71E9C"/>
    <w:rsid w:val="00C72B34"/>
    <w:rsid w:val="00C765EF"/>
    <w:rsid w:val="00C76B85"/>
    <w:rsid w:val="00C91C34"/>
    <w:rsid w:val="00C923CA"/>
    <w:rsid w:val="00C92871"/>
    <w:rsid w:val="00C9310E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175CC"/>
    <w:rsid w:val="00D2120F"/>
    <w:rsid w:val="00D27368"/>
    <w:rsid w:val="00D33C41"/>
    <w:rsid w:val="00D4048F"/>
    <w:rsid w:val="00D436ED"/>
    <w:rsid w:val="00D450FC"/>
    <w:rsid w:val="00D51239"/>
    <w:rsid w:val="00D61A84"/>
    <w:rsid w:val="00D661D7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CA2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171F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60AB"/>
    <w:rsid w:val="00F37E84"/>
    <w:rsid w:val="00F43329"/>
    <w:rsid w:val="00F468FA"/>
    <w:rsid w:val="00F56AFA"/>
    <w:rsid w:val="00F6119F"/>
    <w:rsid w:val="00F709AB"/>
    <w:rsid w:val="00F732A3"/>
    <w:rsid w:val="00F77743"/>
    <w:rsid w:val="00F77BA6"/>
    <w:rsid w:val="00F86AA7"/>
    <w:rsid w:val="00F8736C"/>
    <w:rsid w:val="00F913BE"/>
    <w:rsid w:val="00F92F9F"/>
    <w:rsid w:val="00F93622"/>
    <w:rsid w:val="00FA2E51"/>
    <w:rsid w:val="00FB3FA4"/>
    <w:rsid w:val="00FB4659"/>
    <w:rsid w:val="00FB557D"/>
    <w:rsid w:val="00FB5F56"/>
    <w:rsid w:val="00FC2C79"/>
    <w:rsid w:val="00FC68FF"/>
    <w:rsid w:val="00FD0D94"/>
    <w:rsid w:val="00FD1C03"/>
    <w:rsid w:val="00FD5267"/>
    <w:rsid w:val="00FD6A84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table" w:customStyle="1" w:styleId="GridTable5DarkAccent1">
    <w:name w:val="Grid Table 5 Dark Accent 1"/>
    <w:basedOn w:val="TableNormal"/>
    <w:uiPriority w:val="50"/>
    <w:rsid w:val="00D661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C765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C765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765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2E15-1D57-4F42-9841-8BBF5450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2022-06-20T12:14:00Z</cp:lastPrinted>
  <dcterms:created xsi:type="dcterms:W3CDTF">2022-07-25T07:32:00Z</dcterms:created>
  <dcterms:modified xsi:type="dcterms:W3CDTF">2022-07-25T07:32:00Z</dcterms:modified>
</cp:coreProperties>
</file>