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63" w:rsidRPr="007340CC" w:rsidRDefault="00E91463" w:rsidP="00E91463">
      <w:pPr>
        <w:spacing w:before="100" w:beforeAutospacing="1" w:after="100" w:afterAutospacing="1" w:line="240" w:lineRule="auto"/>
        <w:ind w:left="816" w:hanging="816"/>
        <w:rPr>
          <w:rFonts w:ascii="Arial" w:hAnsi="Arial" w:cs="Arial"/>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77D52">
        <w:rPr>
          <w:rFonts w:ascii="Times New Roman" w:hAnsi="Times New Roman" w:cs="Times New Roman"/>
          <w:b/>
          <w:sz w:val="24"/>
          <w:szCs w:val="24"/>
        </w:rPr>
        <w:t xml:space="preserve">  </w:t>
      </w:r>
      <w:r w:rsidRPr="007340CC">
        <w:rPr>
          <w:rFonts w:ascii="Arial" w:hAnsi="Arial" w:cs="Arial"/>
          <w:b/>
          <w:sz w:val="24"/>
          <w:szCs w:val="24"/>
        </w:rPr>
        <w:t>THE NATIONAL ASSEMBLY</w:t>
      </w:r>
    </w:p>
    <w:p w:rsidR="00E91463" w:rsidRPr="007340CC" w:rsidRDefault="00E91463" w:rsidP="00295174">
      <w:pPr>
        <w:spacing w:before="100" w:beforeAutospacing="1" w:after="100" w:afterAutospacing="1" w:line="240" w:lineRule="auto"/>
        <w:ind w:left="816" w:hanging="816"/>
        <w:rPr>
          <w:rFonts w:ascii="Arial" w:hAnsi="Arial" w:cs="Arial"/>
          <w:b/>
          <w:sz w:val="24"/>
          <w:szCs w:val="24"/>
        </w:rPr>
      </w:pPr>
      <w:r w:rsidRPr="007340CC">
        <w:rPr>
          <w:rFonts w:ascii="Arial" w:hAnsi="Arial" w:cs="Arial"/>
          <w:b/>
          <w:sz w:val="24"/>
          <w:szCs w:val="24"/>
        </w:rPr>
        <w:tab/>
      </w:r>
      <w:r w:rsidRPr="007340CC">
        <w:rPr>
          <w:rFonts w:ascii="Arial" w:hAnsi="Arial" w:cs="Arial"/>
          <w:b/>
          <w:sz w:val="24"/>
          <w:szCs w:val="24"/>
        </w:rPr>
        <w:tab/>
      </w:r>
      <w:r w:rsidRPr="007340CC">
        <w:rPr>
          <w:rFonts w:ascii="Arial" w:hAnsi="Arial" w:cs="Arial"/>
          <w:b/>
          <w:sz w:val="24"/>
          <w:szCs w:val="24"/>
        </w:rPr>
        <w:tab/>
      </w:r>
      <w:r w:rsidRPr="007340CC">
        <w:rPr>
          <w:rFonts w:ascii="Arial" w:hAnsi="Arial" w:cs="Arial"/>
          <w:b/>
          <w:sz w:val="24"/>
          <w:szCs w:val="24"/>
        </w:rPr>
        <w:tab/>
        <w:t xml:space="preserve">QUESTION FOR WRITTEN </w:t>
      </w:r>
      <w:r w:rsidR="00477D52">
        <w:rPr>
          <w:rFonts w:ascii="Arial" w:hAnsi="Arial" w:cs="Arial"/>
          <w:b/>
          <w:sz w:val="24"/>
          <w:szCs w:val="24"/>
        </w:rPr>
        <w:t xml:space="preserve">REPLY </w:t>
      </w:r>
    </w:p>
    <w:p w:rsidR="00E91463" w:rsidRPr="005D770C" w:rsidRDefault="00E91463" w:rsidP="00E91463">
      <w:pPr>
        <w:spacing w:before="100" w:beforeAutospacing="1" w:after="100" w:afterAutospacing="1" w:line="240" w:lineRule="auto"/>
        <w:ind w:left="816" w:hanging="816"/>
        <w:rPr>
          <w:rFonts w:ascii="Arial" w:hAnsi="Arial" w:cs="Arial"/>
          <w:b/>
        </w:rPr>
      </w:pPr>
    </w:p>
    <w:p w:rsidR="00477D52" w:rsidRDefault="00477D52" w:rsidP="007340CC">
      <w:pPr>
        <w:spacing w:before="100" w:beforeAutospacing="1" w:after="100" w:afterAutospacing="1" w:line="360" w:lineRule="auto"/>
        <w:ind w:left="816" w:hanging="816"/>
        <w:rPr>
          <w:rFonts w:ascii="Arial" w:hAnsi="Arial" w:cs="Arial"/>
          <w:b/>
          <w:sz w:val="24"/>
          <w:szCs w:val="24"/>
        </w:rPr>
      </w:pPr>
      <w:r>
        <w:rPr>
          <w:rFonts w:ascii="Arial" w:hAnsi="Arial" w:cs="Arial"/>
          <w:b/>
          <w:sz w:val="24"/>
          <w:szCs w:val="24"/>
        </w:rPr>
        <w:t xml:space="preserve">Question </w:t>
      </w:r>
      <w:r w:rsidR="003279E8">
        <w:rPr>
          <w:rFonts w:ascii="Arial" w:hAnsi="Arial" w:cs="Arial"/>
          <w:b/>
          <w:sz w:val="24"/>
          <w:szCs w:val="24"/>
        </w:rPr>
        <w:t>2079</w:t>
      </w:r>
    </w:p>
    <w:p w:rsidR="00E91463" w:rsidRPr="00E47971" w:rsidRDefault="00E91463" w:rsidP="007340CC">
      <w:pPr>
        <w:spacing w:before="100" w:beforeAutospacing="1" w:after="100" w:afterAutospacing="1" w:line="360" w:lineRule="auto"/>
        <w:ind w:left="816" w:hanging="816"/>
        <w:rPr>
          <w:rFonts w:ascii="Arial" w:hAnsi="Arial" w:cs="Arial"/>
          <w:sz w:val="24"/>
          <w:szCs w:val="24"/>
        </w:rPr>
      </w:pPr>
      <w:r w:rsidRPr="00E47971">
        <w:rPr>
          <w:rFonts w:ascii="Arial" w:hAnsi="Arial" w:cs="Arial"/>
          <w:b/>
          <w:sz w:val="24"/>
          <w:szCs w:val="24"/>
        </w:rPr>
        <w:t xml:space="preserve">Mr N F </w:t>
      </w:r>
      <w:proofErr w:type="spellStart"/>
      <w:r w:rsidRPr="00E47971">
        <w:rPr>
          <w:rFonts w:ascii="Arial" w:hAnsi="Arial" w:cs="Arial"/>
          <w:b/>
          <w:sz w:val="24"/>
          <w:szCs w:val="24"/>
        </w:rPr>
        <w:t>Shivambu</w:t>
      </w:r>
      <w:proofErr w:type="spellEnd"/>
      <w:r w:rsidRPr="00E47971">
        <w:rPr>
          <w:rFonts w:ascii="Arial" w:hAnsi="Arial" w:cs="Arial"/>
          <w:b/>
          <w:sz w:val="24"/>
          <w:szCs w:val="24"/>
        </w:rPr>
        <w:t xml:space="preserve"> (EFF) to ask the Minister of Trade and Industry:</w:t>
      </w:r>
      <w:r w:rsidRPr="00E47971">
        <w:rPr>
          <w:rFonts w:ascii="Arial" w:hAnsi="Arial" w:cs="Arial"/>
          <w:b/>
          <w:sz w:val="24"/>
          <w:szCs w:val="24"/>
          <w:lang w:val="af-ZA"/>
        </w:rPr>
        <w:t xml:space="preserve"> </w:t>
      </w:r>
    </w:p>
    <w:p w:rsidR="00E91463" w:rsidRPr="00E47971" w:rsidRDefault="00E91463" w:rsidP="007340CC">
      <w:pPr>
        <w:spacing w:before="100" w:beforeAutospacing="1" w:after="100" w:afterAutospacing="1" w:line="360" w:lineRule="auto"/>
        <w:ind w:left="851"/>
        <w:jc w:val="both"/>
        <w:rPr>
          <w:rFonts w:ascii="Arial" w:hAnsi="Arial" w:cs="Arial"/>
          <w:sz w:val="24"/>
          <w:szCs w:val="24"/>
        </w:rPr>
      </w:pPr>
      <w:r w:rsidRPr="00E47971">
        <w:rPr>
          <w:rFonts w:ascii="Arial" w:hAnsi="Arial" w:cs="Arial"/>
          <w:sz w:val="24"/>
          <w:szCs w:val="24"/>
        </w:rPr>
        <w:t>Whether (a) his department and/or (b) any entities reporting to him are funding, including by way of discretionary funding, any institution of research and development (i) domestically and/or (ii) internationally; if so, (</w:t>
      </w:r>
      <w:proofErr w:type="spellStart"/>
      <w:r w:rsidRPr="00E47971">
        <w:rPr>
          <w:rFonts w:ascii="Arial" w:hAnsi="Arial" w:cs="Arial"/>
          <w:sz w:val="24"/>
          <w:szCs w:val="24"/>
        </w:rPr>
        <w:t>aa</w:t>
      </w:r>
      <w:proofErr w:type="spellEnd"/>
      <w:r w:rsidRPr="00E47971">
        <w:rPr>
          <w:rFonts w:ascii="Arial" w:hAnsi="Arial" w:cs="Arial"/>
          <w:sz w:val="24"/>
          <w:szCs w:val="24"/>
        </w:rPr>
        <w:t>)(</w:t>
      </w:r>
      <w:proofErr w:type="spellStart"/>
      <w:r w:rsidRPr="00E47971">
        <w:rPr>
          <w:rFonts w:ascii="Arial" w:hAnsi="Arial" w:cs="Arial"/>
          <w:sz w:val="24"/>
          <w:szCs w:val="24"/>
        </w:rPr>
        <w:t>aaa</w:t>
      </w:r>
      <w:proofErr w:type="spellEnd"/>
      <w:r w:rsidRPr="00E47971">
        <w:rPr>
          <w:rFonts w:ascii="Arial" w:hAnsi="Arial" w:cs="Arial"/>
          <w:sz w:val="24"/>
          <w:szCs w:val="24"/>
        </w:rPr>
        <w:t>) what are the names of the specified institutions and (</w:t>
      </w:r>
      <w:proofErr w:type="spellStart"/>
      <w:r w:rsidRPr="00E47971">
        <w:rPr>
          <w:rFonts w:ascii="Arial" w:hAnsi="Arial" w:cs="Arial"/>
          <w:sz w:val="24"/>
          <w:szCs w:val="24"/>
        </w:rPr>
        <w:t>bbb</w:t>
      </w:r>
      <w:proofErr w:type="spellEnd"/>
      <w:r w:rsidRPr="00E47971">
        <w:rPr>
          <w:rFonts w:ascii="Arial" w:hAnsi="Arial" w:cs="Arial"/>
          <w:sz w:val="24"/>
          <w:szCs w:val="24"/>
        </w:rPr>
        <w:t>) what are their functions, (bb) from what date has his department or any entity reporting to him been funding them and (cc) what amount has his department contributed towards such funding?</w:t>
      </w:r>
      <w:r w:rsidR="00EC3DB3" w:rsidRPr="00E47971">
        <w:rPr>
          <w:rFonts w:ascii="Arial" w:hAnsi="Arial" w:cs="Arial"/>
          <w:sz w:val="24"/>
          <w:szCs w:val="24"/>
        </w:rPr>
        <w:t xml:space="preserve"> </w:t>
      </w:r>
      <w:r w:rsidRPr="00E47971">
        <w:rPr>
          <w:rFonts w:ascii="Arial" w:hAnsi="Arial" w:cs="Arial"/>
          <w:sz w:val="24"/>
          <w:szCs w:val="24"/>
        </w:rPr>
        <w:t>NW2301E</w:t>
      </w:r>
    </w:p>
    <w:p w:rsidR="005D770C" w:rsidRPr="00E47971" w:rsidRDefault="005D770C" w:rsidP="007340CC">
      <w:pPr>
        <w:pStyle w:val="ListParagraph"/>
        <w:spacing w:before="120" w:after="0" w:line="360" w:lineRule="auto"/>
        <w:ind w:hanging="720"/>
        <w:jc w:val="both"/>
        <w:rPr>
          <w:rFonts w:ascii="Arial" w:hAnsi="Arial" w:cs="Arial"/>
          <w:b/>
          <w:sz w:val="24"/>
          <w:szCs w:val="24"/>
        </w:rPr>
      </w:pPr>
      <w:r w:rsidRPr="00E47971">
        <w:rPr>
          <w:rFonts w:ascii="Arial" w:hAnsi="Arial" w:cs="Arial"/>
          <w:b/>
          <w:sz w:val="24"/>
          <w:szCs w:val="24"/>
        </w:rPr>
        <w:t>Response:</w:t>
      </w:r>
      <w:r w:rsidRPr="00E47971">
        <w:rPr>
          <w:rFonts w:ascii="Arial" w:hAnsi="Arial" w:cs="Arial"/>
          <w:b/>
          <w:sz w:val="24"/>
          <w:szCs w:val="24"/>
        </w:rPr>
        <w:tab/>
      </w:r>
    </w:p>
    <w:p w:rsidR="005D770C" w:rsidRPr="00E47971" w:rsidRDefault="005D770C" w:rsidP="007340CC">
      <w:pPr>
        <w:pStyle w:val="ListParagraph"/>
        <w:spacing w:before="120" w:after="0" w:line="360" w:lineRule="auto"/>
        <w:ind w:hanging="720"/>
        <w:jc w:val="both"/>
        <w:rPr>
          <w:rFonts w:ascii="Arial" w:hAnsi="Arial" w:cs="Arial"/>
          <w:sz w:val="24"/>
          <w:szCs w:val="24"/>
        </w:rPr>
      </w:pPr>
    </w:p>
    <w:p w:rsidR="00642995" w:rsidRPr="00E47971" w:rsidRDefault="005D770C" w:rsidP="007340CC">
      <w:pPr>
        <w:pStyle w:val="ListParagraph"/>
        <w:spacing w:before="120" w:after="0" w:line="360" w:lineRule="auto"/>
        <w:ind w:hanging="294"/>
        <w:jc w:val="both"/>
        <w:rPr>
          <w:rFonts w:ascii="Arial" w:hAnsi="Arial" w:cs="Arial"/>
          <w:sz w:val="24"/>
          <w:szCs w:val="24"/>
        </w:rPr>
      </w:pPr>
      <w:r w:rsidRPr="00E47971">
        <w:rPr>
          <w:rFonts w:ascii="Arial" w:hAnsi="Arial" w:cs="Arial"/>
          <w:sz w:val="24"/>
          <w:szCs w:val="24"/>
        </w:rPr>
        <w:t xml:space="preserve">a) </w:t>
      </w:r>
      <w:r w:rsidR="00642995" w:rsidRPr="00E47971">
        <w:rPr>
          <w:rFonts w:ascii="Arial" w:hAnsi="Arial" w:cs="Arial"/>
          <w:sz w:val="24"/>
          <w:szCs w:val="24"/>
        </w:rPr>
        <w:t xml:space="preserve">No institutions are funded by way of ‘discretionary funding’. </w:t>
      </w:r>
    </w:p>
    <w:p w:rsidR="00642995" w:rsidRPr="00E47971" w:rsidRDefault="005D770C" w:rsidP="007340CC">
      <w:pPr>
        <w:pStyle w:val="ListParagraph"/>
        <w:spacing w:before="120" w:after="0" w:line="360" w:lineRule="auto"/>
        <w:ind w:hanging="294"/>
        <w:jc w:val="both"/>
        <w:rPr>
          <w:rFonts w:ascii="Arial" w:hAnsi="Arial" w:cs="Arial"/>
          <w:sz w:val="24"/>
          <w:szCs w:val="24"/>
        </w:rPr>
      </w:pPr>
      <w:r w:rsidRPr="00E47971">
        <w:rPr>
          <w:rFonts w:ascii="Arial" w:hAnsi="Arial" w:cs="Arial"/>
          <w:sz w:val="24"/>
          <w:szCs w:val="24"/>
        </w:rPr>
        <w:t xml:space="preserve">b) </w:t>
      </w:r>
      <w:r w:rsidR="00642995" w:rsidRPr="00E47971">
        <w:rPr>
          <w:rFonts w:ascii="Arial" w:hAnsi="Arial" w:cs="Arial"/>
          <w:sz w:val="24"/>
          <w:szCs w:val="24"/>
        </w:rPr>
        <w:t xml:space="preserve">No </w:t>
      </w:r>
      <w:proofErr w:type="spellStart"/>
      <w:r w:rsidR="00642995" w:rsidRPr="00E47971">
        <w:rPr>
          <w:rFonts w:ascii="Arial" w:hAnsi="Arial" w:cs="Arial"/>
          <w:b/>
          <w:sz w:val="24"/>
          <w:szCs w:val="24"/>
        </w:rPr>
        <w:t>dti</w:t>
      </w:r>
      <w:proofErr w:type="spellEnd"/>
      <w:r w:rsidR="00642995" w:rsidRPr="00E47971">
        <w:rPr>
          <w:rFonts w:ascii="Arial" w:hAnsi="Arial" w:cs="Arial"/>
          <w:b/>
          <w:sz w:val="24"/>
          <w:szCs w:val="24"/>
        </w:rPr>
        <w:t xml:space="preserve"> </w:t>
      </w:r>
      <w:r w:rsidR="00642995" w:rsidRPr="00E47971">
        <w:rPr>
          <w:rFonts w:ascii="Arial" w:hAnsi="Arial" w:cs="Arial"/>
          <w:sz w:val="24"/>
          <w:szCs w:val="24"/>
        </w:rPr>
        <w:t>entities fund insti</w:t>
      </w:r>
      <w:r w:rsidR="00B56AF4" w:rsidRPr="00E47971">
        <w:rPr>
          <w:rFonts w:ascii="Arial" w:hAnsi="Arial" w:cs="Arial"/>
          <w:sz w:val="24"/>
          <w:szCs w:val="24"/>
        </w:rPr>
        <w:t>t</w:t>
      </w:r>
      <w:r w:rsidR="00642995" w:rsidRPr="00E47971">
        <w:rPr>
          <w:rFonts w:ascii="Arial" w:hAnsi="Arial" w:cs="Arial"/>
          <w:sz w:val="24"/>
          <w:szCs w:val="24"/>
        </w:rPr>
        <w:t>utions by way of ‘discretionary funding’</w:t>
      </w:r>
      <w:r w:rsidR="00477D52">
        <w:rPr>
          <w:rFonts w:ascii="Arial" w:hAnsi="Arial" w:cs="Arial"/>
          <w:sz w:val="24"/>
          <w:szCs w:val="24"/>
        </w:rPr>
        <w:t>.</w:t>
      </w:r>
    </w:p>
    <w:p w:rsidR="009E017A" w:rsidRDefault="00F723B0" w:rsidP="00477D52">
      <w:pPr>
        <w:pStyle w:val="CommentText"/>
        <w:ind w:firstLine="720"/>
      </w:pPr>
      <w:r>
        <w:rPr>
          <w:rFonts w:ascii="Arial" w:hAnsi="Arial" w:cs="Arial"/>
          <w:sz w:val="24"/>
          <w:szCs w:val="24"/>
        </w:rPr>
        <w:t>(</w:t>
      </w:r>
      <w:proofErr w:type="gramStart"/>
      <w:r w:rsidR="005D770C" w:rsidRPr="00E47971">
        <w:rPr>
          <w:rFonts w:ascii="Arial" w:hAnsi="Arial" w:cs="Arial"/>
          <w:sz w:val="24"/>
          <w:szCs w:val="24"/>
        </w:rPr>
        <w:t>i</w:t>
      </w:r>
      <w:proofErr w:type="gramEnd"/>
      <w:r w:rsidR="005D770C" w:rsidRPr="00E47971">
        <w:rPr>
          <w:rFonts w:ascii="Arial" w:hAnsi="Arial" w:cs="Arial"/>
          <w:sz w:val="24"/>
          <w:szCs w:val="24"/>
        </w:rPr>
        <w:t>)</w:t>
      </w:r>
      <w:r>
        <w:rPr>
          <w:rFonts w:ascii="Arial" w:hAnsi="Arial" w:cs="Arial"/>
          <w:sz w:val="24"/>
          <w:szCs w:val="24"/>
        </w:rPr>
        <w:t>(</w:t>
      </w:r>
      <w:proofErr w:type="spellStart"/>
      <w:proofErr w:type="gramStart"/>
      <w:r>
        <w:rPr>
          <w:rFonts w:ascii="Arial" w:hAnsi="Arial" w:cs="Arial"/>
          <w:sz w:val="24"/>
          <w:szCs w:val="24"/>
        </w:rPr>
        <w:t>aa</w:t>
      </w:r>
      <w:proofErr w:type="spellEnd"/>
      <w:proofErr w:type="gramEnd"/>
      <w:r>
        <w:rPr>
          <w:rFonts w:ascii="Arial" w:hAnsi="Arial" w:cs="Arial"/>
          <w:sz w:val="24"/>
          <w:szCs w:val="24"/>
        </w:rPr>
        <w:t>)(</w:t>
      </w:r>
      <w:proofErr w:type="spellStart"/>
      <w:proofErr w:type="gramStart"/>
      <w:r w:rsidR="00642995" w:rsidRPr="00E47971">
        <w:rPr>
          <w:rFonts w:ascii="Arial" w:hAnsi="Arial" w:cs="Arial"/>
          <w:sz w:val="24"/>
          <w:szCs w:val="24"/>
        </w:rPr>
        <w:t>aaa</w:t>
      </w:r>
      <w:proofErr w:type="spellEnd"/>
      <w:proofErr w:type="gramEnd"/>
      <w:r w:rsidR="00642995" w:rsidRPr="00E47971">
        <w:rPr>
          <w:rFonts w:ascii="Arial" w:hAnsi="Arial" w:cs="Arial"/>
          <w:sz w:val="24"/>
          <w:szCs w:val="24"/>
        </w:rPr>
        <w:t>)</w:t>
      </w:r>
      <w:r>
        <w:rPr>
          <w:rFonts w:ascii="Arial" w:hAnsi="Arial" w:cs="Arial"/>
          <w:sz w:val="24"/>
          <w:szCs w:val="24"/>
        </w:rPr>
        <w:t>(</w:t>
      </w:r>
      <w:proofErr w:type="spellStart"/>
      <w:proofErr w:type="gramStart"/>
      <w:r>
        <w:rPr>
          <w:rFonts w:ascii="Arial" w:hAnsi="Arial" w:cs="Arial"/>
          <w:sz w:val="24"/>
          <w:szCs w:val="24"/>
        </w:rPr>
        <w:t>bbb</w:t>
      </w:r>
      <w:proofErr w:type="spellEnd"/>
      <w:proofErr w:type="gramEnd"/>
      <w:r>
        <w:rPr>
          <w:rFonts w:ascii="Arial" w:hAnsi="Arial" w:cs="Arial"/>
          <w:sz w:val="24"/>
          <w:szCs w:val="24"/>
        </w:rPr>
        <w:t>)(</w:t>
      </w:r>
      <w:proofErr w:type="gramStart"/>
      <w:r>
        <w:rPr>
          <w:rFonts w:ascii="Arial" w:hAnsi="Arial" w:cs="Arial"/>
          <w:sz w:val="24"/>
          <w:szCs w:val="24"/>
        </w:rPr>
        <w:t>bb</w:t>
      </w:r>
      <w:proofErr w:type="gramEnd"/>
      <w:r>
        <w:rPr>
          <w:rFonts w:ascii="Arial" w:hAnsi="Arial" w:cs="Arial"/>
          <w:sz w:val="24"/>
          <w:szCs w:val="24"/>
        </w:rPr>
        <w:t>)(cc)</w:t>
      </w:r>
      <w:r w:rsidR="009E017A" w:rsidRPr="009E017A">
        <w:rPr>
          <w:rStyle w:val="CommentReference"/>
        </w:rPr>
        <w:t xml:space="preserve"> </w:t>
      </w:r>
    </w:p>
    <w:p w:rsidR="00477D52" w:rsidRDefault="00477D52" w:rsidP="009E017A">
      <w:pPr>
        <w:spacing w:before="120" w:after="0" w:line="360" w:lineRule="auto"/>
        <w:ind w:left="450" w:hanging="24"/>
        <w:jc w:val="both"/>
        <w:rPr>
          <w:rFonts w:ascii="Arial" w:hAnsi="Arial" w:cs="Arial"/>
          <w:sz w:val="24"/>
          <w:szCs w:val="24"/>
        </w:rPr>
      </w:pPr>
    </w:p>
    <w:p w:rsidR="004A6367" w:rsidRDefault="00F723B0" w:rsidP="009E017A">
      <w:pPr>
        <w:spacing w:before="120" w:after="0" w:line="360" w:lineRule="auto"/>
        <w:ind w:left="450" w:hanging="24"/>
        <w:jc w:val="both"/>
        <w:rPr>
          <w:rFonts w:ascii="Arial" w:hAnsi="Arial" w:cs="Arial"/>
          <w:sz w:val="24"/>
          <w:szCs w:val="24"/>
        </w:rPr>
      </w:pPr>
      <w:r>
        <w:rPr>
          <w:rFonts w:ascii="Arial" w:hAnsi="Arial" w:cs="Arial"/>
          <w:sz w:val="24"/>
          <w:szCs w:val="24"/>
        </w:rPr>
        <w:t>The department works to promote industrialisation and transformation and respond to unemployment, poverty and inequality. The strategic direction of this work is derived from the National Development plan and is underpinned by outcome 4, outcome 7 and outcome 11</w:t>
      </w:r>
      <w:r w:rsidR="00642995" w:rsidRPr="00E47971">
        <w:rPr>
          <w:rFonts w:ascii="Arial" w:hAnsi="Arial" w:cs="Arial"/>
          <w:sz w:val="24"/>
          <w:szCs w:val="24"/>
        </w:rPr>
        <w:t xml:space="preserve">. </w:t>
      </w:r>
      <w:r>
        <w:rPr>
          <w:rFonts w:ascii="Arial" w:hAnsi="Arial" w:cs="Arial"/>
          <w:sz w:val="24"/>
          <w:szCs w:val="24"/>
        </w:rPr>
        <w:t xml:space="preserve">In </w:t>
      </w:r>
      <w:r w:rsidR="004A6367">
        <w:rPr>
          <w:rFonts w:ascii="Arial" w:hAnsi="Arial" w:cs="Arial"/>
          <w:sz w:val="24"/>
          <w:szCs w:val="24"/>
        </w:rPr>
        <w:t xml:space="preserve">supporting the </w:t>
      </w:r>
      <w:r>
        <w:rPr>
          <w:rFonts w:ascii="Arial" w:hAnsi="Arial" w:cs="Arial"/>
          <w:sz w:val="24"/>
          <w:szCs w:val="24"/>
        </w:rPr>
        <w:t>implementation of the higher-impact industrial policy action plan</w:t>
      </w:r>
      <w:r w:rsidR="004A6367">
        <w:rPr>
          <w:rFonts w:ascii="Arial" w:hAnsi="Arial" w:cs="Arial"/>
          <w:sz w:val="24"/>
          <w:szCs w:val="24"/>
        </w:rPr>
        <w:t>,</w:t>
      </w:r>
      <w:r>
        <w:rPr>
          <w:rFonts w:ascii="Arial" w:hAnsi="Arial" w:cs="Arial"/>
          <w:sz w:val="24"/>
          <w:szCs w:val="24"/>
        </w:rPr>
        <w:t xml:space="preserve"> t</w:t>
      </w:r>
      <w:r w:rsidR="004A6367">
        <w:rPr>
          <w:rFonts w:ascii="Arial" w:hAnsi="Arial" w:cs="Arial"/>
          <w:sz w:val="24"/>
          <w:szCs w:val="24"/>
        </w:rPr>
        <w:t>he department conducts research on industrial development, growth and equity through the following institutions.</w:t>
      </w:r>
    </w:p>
    <w:p w:rsidR="00795826" w:rsidRPr="00E47971" w:rsidRDefault="00795826" w:rsidP="007340CC">
      <w:pPr>
        <w:pStyle w:val="ListParagraph"/>
        <w:spacing w:before="120" w:after="0" w:line="360" w:lineRule="auto"/>
        <w:jc w:val="both"/>
        <w:rPr>
          <w:rFonts w:ascii="Arial" w:hAnsi="Arial" w:cs="Arial"/>
          <w:sz w:val="24"/>
          <w:szCs w:val="24"/>
        </w:rPr>
      </w:pPr>
    </w:p>
    <w:p w:rsidR="00477D52" w:rsidRDefault="00795826" w:rsidP="00477D52">
      <w:pPr>
        <w:pStyle w:val="ListParagraph"/>
        <w:numPr>
          <w:ilvl w:val="0"/>
          <w:numId w:val="8"/>
        </w:numPr>
        <w:spacing w:before="120" w:after="0" w:line="360" w:lineRule="auto"/>
        <w:ind w:left="900"/>
        <w:jc w:val="both"/>
        <w:rPr>
          <w:rFonts w:ascii="Arial" w:hAnsi="Arial" w:cs="Arial"/>
          <w:sz w:val="24"/>
          <w:szCs w:val="24"/>
        </w:rPr>
      </w:pPr>
      <w:r w:rsidRPr="00F45F4F">
        <w:rPr>
          <w:rFonts w:ascii="Arial" w:hAnsi="Arial" w:cs="Arial"/>
          <w:sz w:val="24"/>
          <w:szCs w:val="24"/>
        </w:rPr>
        <w:t>The Industrial Policy Support Fund (IPSF)</w:t>
      </w:r>
      <w:r w:rsidR="00F45F4F">
        <w:rPr>
          <w:rFonts w:ascii="Arial" w:hAnsi="Arial" w:cs="Arial"/>
          <w:sz w:val="24"/>
          <w:szCs w:val="24"/>
        </w:rPr>
        <w:t>,</w:t>
      </w:r>
      <w:r w:rsidR="00F45F4F" w:rsidRPr="00F45F4F">
        <w:rPr>
          <w:rFonts w:ascii="Arial" w:hAnsi="Arial" w:cs="Arial"/>
          <w:sz w:val="24"/>
          <w:szCs w:val="24"/>
        </w:rPr>
        <w:t xml:space="preserve"> </w:t>
      </w:r>
      <w:r w:rsidRPr="00F45F4F">
        <w:rPr>
          <w:rFonts w:ascii="Arial" w:hAnsi="Arial" w:cs="Arial"/>
          <w:sz w:val="24"/>
          <w:szCs w:val="24"/>
        </w:rPr>
        <w:t>is a fund administ</w:t>
      </w:r>
      <w:r w:rsidR="00B56AF4" w:rsidRPr="00F45F4F">
        <w:rPr>
          <w:rFonts w:ascii="Arial" w:hAnsi="Arial" w:cs="Arial"/>
          <w:sz w:val="24"/>
          <w:szCs w:val="24"/>
        </w:rPr>
        <w:t>e</w:t>
      </w:r>
      <w:r w:rsidRPr="00F45F4F">
        <w:rPr>
          <w:rFonts w:ascii="Arial" w:hAnsi="Arial" w:cs="Arial"/>
          <w:sz w:val="24"/>
          <w:szCs w:val="24"/>
        </w:rPr>
        <w:t xml:space="preserve">red by the Industrial Development Corporation </w:t>
      </w:r>
      <w:r w:rsidR="000F3A0D" w:rsidRPr="00F45F4F">
        <w:rPr>
          <w:rFonts w:ascii="Arial" w:hAnsi="Arial" w:cs="Arial"/>
          <w:sz w:val="24"/>
          <w:szCs w:val="24"/>
        </w:rPr>
        <w:t>(IDC)</w:t>
      </w:r>
      <w:r w:rsidR="00F45F4F">
        <w:rPr>
          <w:rFonts w:ascii="Arial" w:hAnsi="Arial" w:cs="Arial"/>
          <w:sz w:val="24"/>
          <w:szCs w:val="24"/>
        </w:rPr>
        <w:t>.</w:t>
      </w:r>
      <w:r w:rsidRPr="00F45F4F">
        <w:rPr>
          <w:rFonts w:ascii="Arial" w:hAnsi="Arial" w:cs="Arial"/>
          <w:sz w:val="24"/>
          <w:szCs w:val="24"/>
        </w:rPr>
        <w:t xml:space="preserve"> The fund is utilised for a range of industrial development research programmes and projects to support the work set out in successive iterations of the Industrial Policy Action Plan. </w:t>
      </w:r>
    </w:p>
    <w:p w:rsidR="00AA3B74" w:rsidRPr="00477D52" w:rsidRDefault="00795826" w:rsidP="00477D52">
      <w:pPr>
        <w:pStyle w:val="ListParagraph"/>
        <w:numPr>
          <w:ilvl w:val="0"/>
          <w:numId w:val="8"/>
        </w:numPr>
        <w:spacing w:before="120" w:after="0" w:line="360" w:lineRule="auto"/>
        <w:ind w:left="900"/>
        <w:jc w:val="both"/>
        <w:rPr>
          <w:rFonts w:ascii="Arial" w:hAnsi="Arial" w:cs="Arial"/>
          <w:sz w:val="24"/>
          <w:szCs w:val="24"/>
        </w:rPr>
      </w:pPr>
      <w:r w:rsidRPr="00477D52">
        <w:rPr>
          <w:rFonts w:ascii="Arial" w:hAnsi="Arial" w:cs="Arial"/>
          <w:sz w:val="24"/>
          <w:szCs w:val="24"/>
        </w:rPr>
        <w:t>Tr</w:t>
      </w:r>
      <w:r w:rsidR="005D770C" w:rsidRPr="00477D52">
        <w:rPr>
          <w:rFonts w:ascii="Arial" w:hAnsi="Arial" w:cs="Arial"/>
          <w:sz w:val="24"/>
          <w:szCs w:val="24"/>
        </w:rPr>
        <w:t>ade and Industrial Policy Strategie</w:t>
      </w:r>
      <w:r w:rsidRPr="00477D52">
        <w:rPr>
          <w:rFonts w:ascii="Arial" w:hAnsi="Arial" w:cs="Arial"/>
          <w:sz w:val="24"/>
          <w:szCs w:val="24"/>
        </w:rPr>
        <w:t xml:space="preserve">s (TIPS) is a </w:t>
      </w:r>
      <w:r w:rsidR="00477D52" w:rsidRPr="00477D52">
        <w:rPr>
          <w:rFonts w:ascii="Arial" w:hAnsi="Arial" w:cs="Arial"/>
          <w:sz w:val="24"/>
          <w:szCs w:val="24"/>
        </w:rPr>
        <w:t>non-profit</w:t>
      </w:r>
      <w:r w:rsidRPr="00477D52">
        <w:rPr>
          <w:rFonts w:ascii="Arial" w:hAnsi="Arial" w:cs="Arial"/>
          <w:sz w:val="24"/>
          <w:szCs w:val="24"/>
        </w:rPr>
        <w:t xml:space="preserve"> organisation</w:t>
      </w:r>
      <w:r w:rsidR="00DB54F5" w:rsidRPr="00477D52">
        <w:rPr>
          <w:rFonts w:ascii="Arial" w:hAnsi="Arial" w:cs="Arial"/>
          <w:sz w:val="24"/>
          <w:szCs w:val="24"/>
        </w:rPr>
        <w:t>,</w:t>
      </w:r>
      <w:r w:rsidRPr="00477D52">
        <w:rPr>
          <w:rFonts w:ascii="Arial" w:hAnsi="Arial" w:cs="Arial"/>
          <w:sz w:val="24"/>
          <w:szCs w:val="24"/>
        </w:rPr>
        <w:t xml:space="preserve"> which undertakes a wide range of economic and industrial research, training and support work for </w:t>
      </w:r>
      <w:r w:rsidR="00F45F4F" w:rsidRPr="00477D52">
        <w:rPr>
          <w:rFonts w:ascii="Arial" w:hAnsi="Arial" w:cs="Arial"/>
          <w:sz w:val="24"/>
          <w:szCs w:val="24"/>
        </w:rPr>
        <w:t>government</w:t>
      </w:r>
      <w:r w:rsidR="00DB54F5" w:rsidRPr="00477D52">
        <w:rPr>
          <w:rFonts w:ascii="Arial" w:hAnsi="Arial" w:cs="Arial"/>
          <w:sz w:val="24"/>
          <w:szCs w:val="24"/>
        </w:rPr>
        <w:t>-wide initiatives.</w:t>
      </w:r>
      <w:r w:rsidR="000F3A0D" w:rsidRPr="00477D52">
        <w:rPr>
          <w:rFonts w:ascii="Arial" w:hAnsi="Arial" w:cs="Arial"/>
          <w:sz w:val="24"/>
          <w:szCs w:val="24"/>
        </w:rPr>
        <w:t xml:space="preserve"> This work is not ‘discretionary’ but conforms in general to the research needs and imperatives of the department as part of governments industrialisation effort and as </w:t>
      </w:r>
      <w:r w:rsidRPr="00477D52">
        <w:rPr>
          <w:rFonts w:ascii="Arial" w:hAnsi="Arial" w:cs="Arial"/>
          <w:sz w:val="24"/>
          <w:szCs w:val="24"/>
        </w:rPr>
        <w:t>set out in successive iterations of the Industrial Policy Action Plan. All TIPS expenditure is subject to external independent audit</w:t>
      </w:r>
      <w:r w:rsidR="00DB54F5" w:rsidRPr="00477D52">
        <w:rPr>
          <w:rFonts w:ascii="Arial" w:hAnsi="Arial" w:cs="Arial"/>
          <w:sz w:val="24"/>
          <w:szCs w:val="24"/>
        </w:rPr>
        <w:t xml:space="preserve"> as required </w:t>
      </w:r>
      <w:r w:rsidRPr="00477D52">
        <w:rPr>
          <w:rFonts w:ascii="Arial" w:hAnsi="Arial" w:cs="Arial"/>
          <w:sz w:val="24"/>
          <w:szCs w:val="24"/>
        </w:rPr>
        <w:t>under the Companies Act.</w:t>
      </w:r>
      <w:r w:rsidR="00642995" w:rsidRPr="00477D52">
        <w:rPr>
          <w:rFonts w:ascii="Arial" w:hAnsi="Arial" w:cs="Arial"/>
          <w:sz w:val="24"/>
          <w:szCs w:val="24"/>
        </w:rPr>
        <w:t xml:space="preserve"> </w:t>
      </w:r>
      <w:r w:rsidR="00560623" w:rsidRPr="00477D52">
        <w:rPr>
          <w:rFonts w:ascii="Arial" w:hAnsi="Arial" w:cs="Arial"/>
          <w:sz w:val="24"/>
          <w:szCs w:val="24"/>
        </w:rPr>
        <w:t>F</w:t>
      </w:r>
      <w:r w:rsidR="00AA3B74" w:rsidRPr="00477D52">
        <w:rPr>
          <w:rFonts w:ascii="Arial" w:hAnsi="Arial" w:cs="Arial"/>
          <w:sz w:val="24"/>
          <w:szCs w:val="24"/>
        </w:rPr>
        <w:t>unds have been transferred to TIPS on an annual basis as set out in Table 1</w:t>
      </w:r>
      <w:r w:rsidR="00560623" w:rsidRPr="00477D52">
        <w:rPr>
          <w:rFonts w:ascii="Arial" w:hAnsi="Arial" w:cs="Arial"/>
          <w:sz w:val="24"/>
          <w:szCs w:val="24"/>
        </w:rPr>
        <w:t xml:space="preserve"> from 2013.</w:t>
      </w:r>
    </w:p>
    <w:p w:rsidR="00EC3DB3" w:rsidRPr="00E47971" w:rsidRDefault="00EC3DB3" w:rsidP="007340CC">
      <w:pPr>
        <w:pStyle w:val="ListParagraph"/>
        <w:widowControl w:val="0"/>
        <w:numPr>
          <w:ilvl w:val="0"/>
          <w:numId w:val="7"/>
        </w:numPr>
        <w:autoSpaceDE w:val="0"/>
        <w:autoSpaceDN w:val="0"/>
        <w:adjustRightInd w:val="0"/>
        <w:spacing w:before="120" w:after="0" w:line="360" w:lineRule="auto"/>
        <w:jc w:val="both"/>
        <w:rPr>
          <w:rFonts w:ascii="Arial" w:hAnsi="Arial" w:cs="Arial"/>
          <w:sz w:val="24"/>
          <w:szCs w:val="24"/>
        </w:rPr>
      </w:pPr>
      <w:r w:rsidRPr="00477D52">
        <w:rPr>
          <w:rFonts w:ascii="Arial" w:hAnsi="Arial" w:cs="Arial"/>
          <w:sz w:val="24"/>
          <w:szCs w:val="24"/>
        </w:rPr>
        <w:t>NEDLAC</w:t>
      </w:r>
      <w:r w:rsidR="00295174" w:rsidRPr="00477D52">
        <w:rPr>
          <w:rFonts w:ascii="Arial" w:hAnsi="Arial" w:cs="Arial"/>
          <w:sz w:val="24"/>
          <w:szCs w:val="24"/>
        </w:rPr>
        <w:t xml:space="preserve"> Trade and Industry Chamber</w:t>
      </w:r>
      <w:r w:rsidR="00295174" w:rsidRPr="00E47971">
        <w:rPr>
          <w:rFonts w:ascii="Arial" w:hAnsi="Arial" w:cs="Arial"/>
          <w:b/>
          <w:sz w:val="24"/>
          <w:szCs w:val="24"/>
        </w:rPr>
        <w:t>:</w:t>
      </w:r>
      <w:r w:rsidR="00295174" w:rsidRPr="00E47971">
        <w:rPr>
          <w:rFonts w:ascii="Arial" w:hAnsi="Arial" w:cs="Arial"/>
          <w:sz w:val="24"/>
          <w:szCs w:val="24"/>
        </w:rPr>
        <w:t xml:space="preserve"> TIC is a NEDLAC’s Chamber that is responsible for processing legislation with a</w:t>
      </w:r>
      <w:r w:rsidR="004461F9" w:rsidRPr="00E47971">
        <w:rPr>
          <w:rFonts w:ascii="Arial" w:hAnsi="Arial" w:cs="Arial"/>
          <w:sz w:val="24"/>
          <w:szCs w:val="24"/>
        </w:rPr>
        <w:t xml:space="preserve"> potential</w:t>
      </w:r>
      <w:r w:rsidR="00295174" w:rsidRPr="00E47971">
        <w:rPr>
          <w:rFonts w:ascii="Arial" w:hAnsi="Arial" w:cs="Arial"/>
          <w:sz w:val="24"/>
          <w:szCs w:val="24"/>
        </w:rPr>
        <w:t xml:space="preserve"> socio-economic</w:t>
      </w:r>
      <w:r w:rsidR="004461F9" w:rsidRPr="00E47971">
        <w:rPr>
          <w:rFonts w:ascii="Arial" w:hAnsi="Arial" w:cs="Arial"/>
          <w:sz w:val="24"/>
          <w:szCs w:val="24"/>
        </w:rPr>
        <w:t xml:space="preserve"> impact</w:t>
      </w:r>
      <w:r w:rsidR="00295174" w:rsidRPr="00E47971">
        <w:rPr>
          <w:rFonts w:ascii="Arial" w:hAnsi="Arial" w:cs="Arial"/>
          <w:sz w:val="24"/>
          <w:szCs w:val="24"/>
        </w:rPr>
        <w:t xml:space="preserve"> prior to introduction to Parliament. </w:t>
      </w:r>
      <w:r w:rsidR="004461F9" w:rsidRPr="00E47971">
        <w:rPr>
          <w:rFonts w:ascii="Arial" w:hAnsi="Arial" w:cs="Arial"/>
          <w:sz w:val="24"/>
          <w:szCs w:val="24"/>
        </w:rPr>
        <w:t xml:space="preserve">In 1998, </w:t>
      </w:r>
      <w:r w:rsidR="000B59DD" w:rsidRPr="00E47971">
        <w:rPr>
          <w:rFonts w:ascii="Arial" w:hAnsi="Arial" w:cs="Arial"/>
          <w:sz w:val="24"/>
          <w:szCs w:val="24"/>
        </w:rPr>
        <w:t>TIC established t</w:t>
      </w:r>
      <w:r w:rsidR="000B59DD" w:rsidRPr="00E47971">
        <w:rPr>
          <w:rFonts w:ascii="Arial" w:eastAsia="Times New Roman" w:hAnsi="Arial" w:cs="Arial"/>
          <w:sz w:val="24"/>
          <w:szCs w:val="24"/>
        </w:rPr>
        <w:t xml:space="preserve">he Fund for </w:t>
      </w:r>
      <w:r w:rsidR="000B59DD" w:rsidRPr="00E47971">
        <w:rPr>
          <w:rFonts w:ascii="Arial" w:eastAsia="Times New Roman" w:hAnsi="Arial" w:cs="Times New Roman"/>
          <w:sz w:val="24"/>
          <w:szCs w:val="24"/>
        </w:rPr>
        <w:t>Research</w:t>
      </w:r>
      <w:r w:rsidR="000B59DD" w:rsidRPr="00E47971">
        <w:rPr>
          <w:rFonts w:ascii="Arial" w:eastAsia="Times New Roman" w:hAnsi="Arial" w:cs="Arial"/>
          <w:sz w:val="24"/>
          <w:szCs w:val="24"/>
        </w:rPr>
        <w:t xml:space="preserve"> into Industrial Development, Growth and Equity (FRIDGE) with the objective of funding research into the competitiveness of local industries and firms in order to access international markets and attract investment into the South African economy. </w:t>
      </w:r>
      <w:r w:rsidR="000B59DD" w:rsidRPr="00E47971">
        <w:rPr>
          <w:rFonts w:ascii="Arial" w:hAnsi="Arial" w:cs="Arial"/>
          <w:sz w:val="24"/>
          <w:szCs w:val="24"/>
        </w:rPr>
        <w:t xml:space="preserve">The initial funding </w:t>
      </w:r>
      <w:r w:rsidR="000B59DD" w:rsidRPr="00E47971">
        <w:rPr>
          <w:rFonts w:ascii="Arial" w:hAnsi="Arial"/>
          <w:sz w:val="24"/>
          <w:szCs w:val="24"/>
        </w:rPr>
        <w:t>was</w:t>
      </w:r>
      <w:r w:rsidR="000B59DD" w:rsidRPr="00E47971">
        <w:rPr>
          <w:rFonts w:ascii="Arial" w:hAnsi="Arial" w:cs="Arial"/>
          <w:sz w:val="24"/>
          <w:szCs w:val="24"/>
        </w:rPr>
        <w:t xml:space="preserve"> provided by the Japanese government. When </w:t>
      </w:r>
      <w:r w:rsidR="004461F9" w:rsidRPr="00E47971">
        <w:rPr>
          <w:rFonts w:ascii="Arial" w:hAnsi="Arial" w:cs="Arial"/>
          <w:sz w:val="24"/>
          <w:szCs w:val="24"/>
        </w:rPr>
        <w:t xml:space="preserve">the Japanese funding ended in 2003, </w:t>
      </w:r>
      <w:r w:rsidR="00E47971" w:rsidRPr="00E47971">
        <w:rPr>
          <w:rFonts w:ascii="Arial" w:hAnsi="Arial" w:cs="Arial"/>
          <w:b/>
          <w:sz w:val="24"/>
          <w:szCs w:val="24"/>
        </w:rPr>
        <w:t xml:space="preserve">the </w:t>
      </w:r>
      <w:proofErr w:type="spellStart"/>
      <w:r w:rsidR="00E47971" w:rsidRPr="00E47971">
        <w:rPr>
          <w:rFonts w:ascii="Arial" w:hAnsi="Arial" w:cs="Arial"/>
          <w:b/>
          <w:sz w:val="24"/>
          <w:szCs w:val="24"/>
        </w:rPr>
        <w:t>dti</w:t>
      </w:r>
      <w:proofErr w:type="spellEnd"/>
      <w:r w:rsidR="004461F9" w:rsidRPr="00E47971">
        <w:rPr>
          <w:rFonts w:ascii="Arial" w:hAnsi="Arial" w:cs="Arial"/>
          <w:sz w:val="24"/>
          <w:szCs w:val="24"/>
        </w:rPr>
        <w:t xml:space="preserve"> </w:t>
      </w:r>
      <w:r w:rsidR="00DB54F5">
        <w:rPr>
          <w:rFonts w:ascii="Arial" w:hAnsi="Arial" w:cs="Arial"/>
          <w:sz w:val="24"/>
          <w:szCs w:val="24"/>
        </w:rPr>
        <w:t xml:space="preserve">was tasked to provide support </w:t>
      </w:r>
      <w:r w:rsidR="004461F9" w:rsidRPr="00E47971">
        <w:rPr>
          <w:rFonts w:ascii="Arial" w:hAnsi="Arial" w:cs="Arial"/>
          <w:sz w:val="24"/>
          <w:szCs w:val="24"/>
        </w:rPr>
        <w:t xml:space="preserve">because </w:t>
      </w:r>
      <w:r w:rsidR="00DB54F5">
        <w:rPr>
          <w:rFonts w:ascii="Arial" w:hAnsi="Arial" w:cs="Arial"/>
          <w:sz w:val="24"/>
          <w:szCs w:val="24"/>
        </w:rPr>
        <w:t xml:space="preserve">of </w:t>
      </w:r>
      <w:r w:rsidR="004461F9" w:rsidRPr="00E47971">
        <w:rPr>
          <w:rFonts w:ascii="Arial" w:hAnsi="Arial" w:cs="Arial"/>
          <w:sz w:val="24"/>
          <w:szCs w:val="24"/>
        </w:rPr>
        <w:t>the type of research produced</w:t>
      </w:r>
      <w:r w:rsidR="00DB54F5">
        <w:rPr>
          <w:rFonts w:ascii="Arial" w:hAnsi="Arial" w:cs="Arial"/>
          <w:sz w:val="24"/>
          <w:szCs w:val="24"/>
        </w:rPr>
        <w:t>, which</w:t>
      </w:r>
      <w:r w:rsidR="004461F9" w:rsidRPr="00E47971">
        <w:rPr>
          <w:rFonts w:ascii="Arial" w:hAnsi="Arial" w:cs="Arial"/>
          <w:sz w:val="24"/>
          <w:szCs w:val="24"/>
        </w:rPr>
        <w:t xml:space="preserve"> was in line with its </w:t>
      </w:r>
      <w:r w:rsidR="00477D52">
        <w:rPr>
          <w:rFonts w:ascii="Arial" w:hAnsi="Arial" w:cs="Arial"/>
          <w:sz w:val="24"/>
          <w:szCs w:val="24"/>
        </w:rPr>
        <w:t>mandate t</w:t>
      </w:r>
      <w:r w:rsidR="00477D52" w:rsidRPr="00E47971">
        <w:rPr>
          <w:rFonts w:ascii="Arial" w:hAnsi="Arial" w:cs="Arial"/>
          <w:sz w:val="24"/>
          <w:szCs w:val="24"/>
        </w:rPr>
        <w:t>he</w:t>
      </w:r>
      <w:r w:rsidR="00135DC5" w:rsidRPr="00E47971">
        <w:rPr>
          <w:rFonts w:ascii="Arial" w:hAnsi="Arial" w:cs="Arial"/>
          <w:sz w:val="24"/>
          <w:szCs w:val="24"/>
        </w:rPr>
        <w:t xml:space="preserve"> </w:t>
      </w:r>
      <w:proofErr w:type="spellStart"/>
      <w:r w:rsidR="00135DC5" w:rsidRPr="00E47971">
        <w:rPr>
          <w:rFonts w:ascii="Arial" w:hAnsi="Arial" w:cs="Arial"/>
          <w:sz w:val="24"/>
          <w:szCs w:val="24"/>
        </w:rPr>
        <w:t>MoA</w:t>
      </w:r>
      <w:proofErr w:type="spellEnd"/>
      <w:r w:rsidR="00135DC5" w:rsidRPr="00E47971">
        <w:rPr>
          <w:rFonts w:ascii="Arial" w:hAnsi="Arial" w:cs="Arial"/>
          <w:sz w:val="24"/>
          <w:szCs w:val="24"/>
        </w:rPr>
        <w:t xml:space="preserve"> was terminated in September 2014</w:t>
      </w:r>
    </w:p>
    <w:p w:rsidR="00795826" w:rsidRPr="00E47971" w:rsidRDefault="00795826" w:rsidP="007340CC">
      <w:pPr>
        <w:pStyle w:val="ListParagraph"/>
        <w:widowControl w:val="0"/>
        <w:autoSpaceDE w:val="0"/>
        <w:autoSpaceDN w:val="0"/>
        <w:adjustRightInd w:val="0"/>
        <w:spacing w:before="120" w:after="0" w:line="360" w:lineRule="auto"/>
        <w:jc w:val="both"/>
        <w:rPr>
          <w:rFonts w:ascii="Arial" w:hAnsi="Arial" w:cs="Arial"/>
          <w:sz w:val="24"/>
          <w:szCs w:val="24"/>
        </w:rPr>
      </w:pPr>
    </w:p>
    <w:p w:rsidR="00E47971" w:rsidRPr="007340CC" w:rsidRDefault="00795826" w:rsidP="007340CC">
      <w:pPr>
        <w:pStyle w:val="ListParagraph"/>
        <w:widowControl w:val="0"/>
        <w:numPr>
          <w:ilvl w:val="0"/>
          <w:numId w:val="10"/>
        </w:numPr>
        <w:autoSpaceDE w:val="0"/>
        <w:autoSpaceDN w:val="0"/>
        <w:adjustRightInd w:val="0"/>
        <w:spacing w:before="120" w:after="0" w:line="360" w:lineRule="auto"/>
        <w:jc w:val="both"/>
        <w:rPr>
          <w:rFonts w:ascii="Arial" w:hAnsi="Arial" w:cs="Arial"/>
          <w:sz w:val="24"/>
          <w:szCs w:val="24"/>
        </w:rPr>
      </w:pPr>
      <w:r w:rsidRPr="007340CC">
        <w:rPr>
          <w:rFonts w:ascii="Arial" w:hAnsi="Arial" w:cs="Arial"/>
          <w:sz w:val="24"/>
          <w:szCs w:val="24"/>
        </w:rPr>
        <w:t xml:space="preserve">ii) No international institutions are funded for the purposes of research and </w:t>
      </w:r>
    </w:p>
    <w:p w:rsidR="00795826" w:rsidRPr="007340CC" w:rsidRDefault="00795826" w:rsidP="007340CC">
      <w:pPr>
        <w:pStyle w:val="ListParagraph"/>
        <w:widowControl w:val="0"/>
        <w:autoSpaceDE w:val="0"/>
        <w:autoSpaceDN w:val="0"/>
        <w:adjustRightInd w:val="0"/>
        <w:spacing w:before="120" w:after="0" w:line="360" w:lineRule="auto"/>
        <w:jc w:val="both"/>
        <w:rPr>
          <w:rFonts w:ascii="Arial" w:hAnsi="Arial" w:cs="Arial"/>
          <w:sz w:val="24"/>
          <w:szCs w:val="24"/>
        </w:rPr>
      </w:pPr>
      <w:r w:rsidRPr="007340CC">
        <w:rPr>
          <w:rFonts w:ascii="Arial" w:hAnsi="Arial" w:cs="Arial"/>
          <w:sz w:val="24"/>
          <w:szCs w:val="24"/>
        </w:rPr>
        <w:t>development.</w:t>
      </w:r>
    </w:p>
    <w:p w:rsidR="00795826" w:rsidRPr="007340CC" w:rsidRDefault="00642995" w:rsidP="007340CC">
      <w:pPr>
        <w:pStyle w:val="Caption"/>
        <w:numPr>
          <w:ilvl w:val="0"/>
          <w:numId w:val="9"/>
        </w:numPr>
        <w:spacing w:line="360" w:lineRule="auto"/>
        <w:rPr>
          <w:rFonts w:ascii="Times New Roman" w:hAnsi="Times New Roman" w:cs="Times New Roman"/>
          <w:b w:val="0"/>
          <w:sz w:val="24"/>
          <w:szCs w:val="24"/>
        </w:rPr>
      </w:pPr>
      <w:r w:rsidRPr="007340CC">
        <w:rPr>
          <w:b w:val="0"/>
          <w:sz w:val="24"/>
          <w:szCs w:val="24"/>
        </w:rPr>
        <w:t>bb</w:t>
      </w:r>
      <w:r w:rsidRPr="007340CC">
        <w:rPr>
          <w:b w:val="0"/>
          <w:color w:val="1F497D" w:themeColor="text2"/>
          <w:sz w:val="24"/>
          <w:szCs w:val="24"/>
        </w:rPr>
        <w:t>)</w:t>
      </w:r>
      <w:r w:rsidRPr="007340CC">
        <w:rPr>
          <w:b w:val="0"/>
          <w:sz w:val="24"/>
          <w:szCs w:val="24"/>
        </w:rPr>
        <w:t xml:space="preserve"> </w:t>
      </w:r>
      <w:r w:rsidR="00795826" w:rsidRPr="007340CC">
        <w:rPr>
          <w:b w:val="0"/>
          <w:sz w:val="24"/>
          <w:szCs w:val="24"/>
        </w:rPr>
        <w:t xml:space="preserve">Table </w:t>
      </w:r>
      <w:r w:rsidR="003F083F" w:rsidRPr="007340CC">
        <w:rPr>
          <w:b w:val="0"/>
          <w:sz w:val="24"/>
          <w:szCs w:val="24"/>
        </w:rPr>
        <w:fldChar w:fldCharType="begin"/>
      </w:r>
      <w:r w:rsidR="003F083F" w:rsidRPr="007340CC">
        <w:rPr>
          <w:b w:val="0"/>
          <w:sz w:val="24"/>
          <w:szCs w:val="24"/>
        </w:rPr>
        <w:instrText xml:space="preserve"> SEQ Table \* ARABIC </w:instrText>
      </w:r>
      <w:r w:rsidR="003F083F" w:rsidRPr="007340CC">
        <w:rPr>
          <w:b w:val="0"/>
          <w:sz w:val="24"/>
          <w:szCs w:val="24"/>
        </w:rPr>
        <w:fldChar w:fldCharType="separate"/>
      </w:r>
      <w:r w:rsidR="00937FC0">
        <w:rPr>
          <w:b w:val="0"/>
          <w:noProof/>
          <w:sz w:val="24"/>
          <w:szCs w:val="24"/>
        </w:rPr>
        <w:t>1</w:t>
      </w:r>
      <w:r w:rsidR="003F083F" w:rsidRPr="007340CC">
        <w:rPr>
          <w:b w:val="0"/>
          <w:noProof/>
          <w:sz w:val="24"/>
          <w:szCs w:val="24"/>
        </w:rPr>
        <w:fldChar w:fldCharType="end"/>
      </w:r>
      <w:r w:rsidR="00795826" w:rsidRPr="007340CC">
        <w:rPr>
          <w:b w:val="0"/>
          <w:sz w:val="24"/>
          <w:szCs w:val="24"/>
        </w:rPr>
        <w:t>: Institutions of research and development funded by the Department of Trade and Industry</w:t>
      </w:r>
    </w:p>
    <w:tbl>
      <w:tblPr>
        <w:tblStyle w:val="TableGrid"/>
        <w:tblW w:w="4582" w:type="pct"/>
        <w:tblInd w:w="421" w:type="dxa"/>
        <w:tblLook w:val="04A0" w:firstRow="1" w:lastRow="0" w:firstColumn="1" w:lastColumn="0" w:noHBand="0" w:noVBand="1"/>
      </w:tblPr>
      <w:tblGrid>
        <w:gridCol w:w="2387"/>
        <w:gridCol w:w="2261"/>
        <w:gridCol w:w="2014"/>
        <w:gridCol w:w="2240"/>
      </w:tblGrid>
      <w:tr w:rsidR="009E017A" w:rsidRPr="00EC3DB3" w:rsidTr="006775EB">
        <w:trPr>
          <w:trHeight w:val="281"/>
        </w:trPr>
        <w:tc>
          <w:tcPr>
            <w:tcW w:w="1341" w:type="pct"/>
            <w:vMerge w:val="restart"/>
            <w:vAlign w:val="center"/>
          </w:tcPr>
          <w:p w:rsidR="00DB54F5" w:rsidRPr="00EC3DB3" w:rsidRDefault="00DB54F5" w:rsidP="00795826">
            <w:pPr>
              <w:spacing w:before="100" w:beforeAutospacing="1" w:after="100" w:afterAutospacing="1" w:line="240" w:lineRule="auto"/>
              <w:rPr>
                <w:rFonts w:ascii="Arial" w:hAnsi="Arial" w:cs="Arial"/>
                <w:b/>
                <w:sz w:val="20"/>
                <w:szCs w:val="20"/>
              </w:rPr>
            </w:pPr>
            <w:r>
              <w:rPr>
                <w:rFonts w:ascii="Arial" w:hAnsi="Arial" w:cs="Arial"/>
                <w:b/>
                <w:sz w:val="20"/>
                <w:szCs w:val="20"/>
              </w:rPr>
              <w:t>Institutions</w:t>
            </w:r>
          </w:p>
        </w:tc>
        <w:tc>
          <w:tcPr>
            <w:tcW w:w="3659" w:type="pct"/>
            <w:gridSpan w:val="3"/>
          </w:tcPr>
          <w:p w:rsidR="00DB54F5" w:rsidRPr="00EC3DB3" w:rsidRDefault="00DB54F5" w:rsidP="00795826">
            <w:pPr>
              <w:spacing w:before="120" w:after="0" w:line="240" w:lineRule="auto"/>
              <w:jc w:val="center"/>
              <w:rPr>
                <w:rFonts w:ascii="Arial" w:hAnsi="Arial" w:cs="Arial"/>
                <w:b/>
                <w:sz w:val="20"/>
                <w:szCs w:val="20"/>
              </w:rPr>
            </w:pPr>
            <w:r w:rsidRPr="00EC3DB3">
              <w:rPr>
                <w:rFonts w:ascii="Arial" w:hAnsi="Arial" w:cs="Arial"/>
                <w:b/>
                <w:sz w:val="20"/>
                <w:szCs w:val="20"/>
              </w:rPr>
              <w:t>PERIOD &amp; TOTAL AMOUNT</w:t>
            </w:r>
          </w:p>
        </w:tc>
      </w:tr>
      <w:tr w:rsidR="009E017A" w:rsidRPr="00EC3DB3" w:rsidTr="006775EB">
        <w:trPr>
          <w:trHeight w:val="294"/>
        </w:trPr>
        <w:tc>
          <w:tcPr>
            <w:tcW w:w="1341" w:type="pct"/>
            <w:vMerge/>
            <w:tcBorders>
              <w:bottom w:val="single" w:sz="12" w:space="0" w:color="auto"/>
            </w:tcBorders>
          </w:tcPr>
          <w:p w:rsidR="00DB54F5" w:rsidRPr="00EC3DB3" w:rsidRDefault="00DB54F5" w:rsidP="00795826">
            <w:pPr>
              <w:spacing w:before="100" w:beforeAutospacing="1" w:after="100" w:afterAutospacing="1" w:line="240" w:lineRule="auto"/>
              <w:rPr>
                <w:rFonts w:ascii="Arial" w:hAnsi="Arial" w:cs="Arial"/>
                <w:b/>
                <w:sz w:val="20"/>
                <w:szCs w:val="20"/>
              </w:rPr>
            </w:pPr>
          </w:p>
        </w:tc>
        <w:tc>
          <w:tcPr>
            <w:tcW w:w="1270" w:type="pct"/>
            <w:tcBorders>
              <w:bottom w:val="single" w:sz="12" w:space="0" w:color="auto"/>
            </w:tcBorders>
          </w:tcPr>
          <w:p w:rsidR="00DB54F5" w:rsidRPr="00EC3DB3" w:rsidRDefault="00DB54F5" w:rsidP="006775EB">
            <w:pPr>
              <w:spacing w:before="120" w:after="0" w:line="240" w:lineRule="auto"/>
              <w:rPr>
                <w:rFonts w:ascii="Arial" w:hAnsi="Arial" w:cs="Arial"/>
                <w:b/>
                <w:sz w:val="20"/>
                <w:szCs w:val="20"/>
              </w:rPr>
            </w:pPr>
            <w:r w:rsidRPr="00EC3DB3">
              <w:rPr>
                <w:rFonts w:ascii="Arial" w:hAnsi="Arial" w:cs="Arial"/>
                <w:b/>
                <w:sz w:val="20"/>
                <w:szCs w:val="20"/>
              </w:rPr>
              <w:t>2014-2015</w:t>
            </w:r>
          </w:p>
        </w:tc>
        <w:tc>
          <w:tcPr>
            <w:tcW w:w="1131" w:type="pct"/>
            <w:tcBorders>
              <w:bottom w:val="single" w:sz="12" w:space="0" w:color="auto"/>
            </w:tcBorders>
          </w:tcPr>
          <w:p w:rsidR="00DB54F5" w:rsidRPr="00EC3DB3" w:rsidRDefault="00DB54F5" w:rsidP="006775EB">
            <w:pPr>
              <w:spacing w:before="120" w:after="0" w:line="240" w:lineRule="auto"/>
              <w:rPr>
                <w:rFonts w:ascii="Arial" w:hAnsi="Arial" w:cs="Arial"/>
                <w:b/>
                <w:sz w:val="20"/>
                <w:szCs w:val="20"/>
              </w:rPr>
            </w:pPr>
            <w:r w:rsidRPr="00EC3DB3">
              <w:rPr>
                <w:rFonts w:ascii="Arial" w:hAnsi="Arial" w:cs="Arial"/>
                <w:b/>
                <w:sz w:val="20"/>
                <w:szCs w:val="20"/>
              </w:rPr>
              <w:t>2015-2016</w:t>
            </w:r>
          </w:p>
        </w:tc>
        <w:tc>
          <w:tcPr>
            <w:tcW w:w="1258" w:type="pct"/>
            <w:tcBorders>
              <w:bottom w:val="single" w:sz="12" w:space="0" w:color="auto"/>
            </w:tcBorders>
          </w:tcPr>
          <w:p w:rsidR="00DB54F5" w:rsidRPr="00EC3DB3" w:rsidRDefault="00DB54F5" w:rsidP="006775EB">
            <w:pPr>
              <w:spacing w:before="120" w:after="0" w:line="240" w:lineRule="auto"/>
              <w:rPr>
                <w:rFonts w:ascii="Arial" w:hAnsi="Arial" w:cs="Arial"/>
                <w:b/>
                <w:sz w:val="20"/>
                <w:szCs w:val="20"/>
              </w:rPr>
            </w:pPr>
            <w:r w:rsidRPr="00EC3DB3">
              <w:rPr>
                <w:rFonts w:ascii="Arial" w:hAnsi="Arial" w:cs="Arial"/>
                <w:b/>
                <w:sz w:val="20"/>
                <w:szCs w:val="20"/>
              </w:rPr>
              <w:t>2016-2017</w:t>
            </w:r>
          </w:p>
        </w:tc>
      </w:tr>
      <w:tr w:rsidR="009E017A" w:rsidRPr="00EC3DB3" w:rsidTr="006775EB">
        <w:trPr>
          <w:trHeight w:val="661"/>
        </w:trPr>
        <w:tc>
          <w:tcPr>
            <w:tcW w:w="1341" w:type="pct"/>
            <w:tcBorders>
              <w:top w:val="single" w:sz="12" w:space="0" w:color="auto"/>
            </w:tcBorders>
          </w:tcPr>
          <w:p w:rsidR="00DB54F5" w:rsidRPr="00EC3DB3" w:rsidRDefault="00DB54F5" w:rsidP="00795826">
            <w:pPr>
              <w:spacing w:before="120" w:after="0" w:line="240" w:lineRule="auto"/>
              <w:rPr>
                <w:rFonts w:ascii="Arial" w:hAnsi="Arial" w:cs="Arial"/>
                <w:sz w:val="20"/>
                <w:szCs w:val="20"/>
              </w:rPr>
            </w:pPr>
            <w:r w:rsidRPr="00EC3DB3">
              <w:rPr>
                <w:rFonts w:ascii="Arial" w:hAnsi="Arial" w:cs="Arial"/>
                <w:sz w:val="20"/>
                <w:szCs w:val="20"/>
              </w:rPr>
              <w:t>Industrial Policy Support Fund</w:t>
            </w:r>
            <w:r>
              <w:rPr>
                <w:rFonts w:ascii="Arial" w:hAnsi="Arial" w:cs="Arial"/>
                <w:sz w:val="20"/>
                <w:szCs w:val="20"/>
              </w:rPr>
              <w:t xml:space="preserve"> (IPSF), IDC</w:t>
            </w:r>
          </w:p>
        </w:tc>
        <w:tc>
          <w:tcPr>
            <w:tcW w:w="1270" w:type="pct"/>
            <w:tcBorders>
              <w:top w:val="single" w:sz="12" w:space="0" w:color="auto"/>
            </w:tcBorders>
          </w:tcPr>
          <w:p w:rsidR="00DB54F5" w:rsidRPr="00642995" w:rsidRDefault="00DB54F5" w:rsidP="003506B7">
            <w:pPr>
              <w:spacing w:before="120" w:after="0" w:line="240" w:lineRule="auto"/>
              <w:rPr>
                <w:rFonts w:ascii="Arial" w:hAnsi="Arial" w:cs="Arial"/>
                <w:color w:val="C0504D" w:themeColor="accent2"/>
                <w:sz w:val="20"/>
                <w:szCs w:val="20"/>
              </w:rPr>
            </w:pPr>
            <w:r w:rsidRPr="003904F9">
              <w:rPr>
                <w:rFonts w:ascii="Arial" w:hAnsi="Arial" w:cs="Arial"/>
                <w:color w:val="000000" w:themeColor="text1"/>
                <w:sz w:val="20"/>
                <w:szCs w:val="20"/>
              </w:rPr>
              <w:t>R1</w:t>
            </w:r>
            <w:r>
              <w:rPr>
                <w:rFonts w:ascii="Arial" w:hAnsi="Arial" w:cs="Arial"/>
                <w:color w:val="000000" w:themeColor="text1"/>
                <w:sz w:val="20"/>
                <w:szCs w:val="20"/>
              </w:rPr>
              <w:t>6</w:t>
            </w:r>
            <w:r w:rsidRPr="003904F9">
              <w:rPr>
                <w:rFonts w:ascii="Arial" w:hAnsi="Arial" w:cs="Arial"/>
                <w:color w:val="000000" w:themeColor="text1"/>
                <w:sz w:val="20"/>
                <w:szCs w:val="20"/>
              </w:rPr>
              <w:t> </w:t>
            </w:r>
            <w:r>
              <w:rPr>
                <w:rFonts w:ascii="Arial" w:hAnsi="Arial" w:cs="Arial"/>
                <w:color w:val="000000" w:themeColor="text1"/>
                <w:sz w:val="20"/>
                <w:szCs w:val="20"/>
              </w:rPr>
              <w:t>000</w:t>
            </w:r>
            <w:r w:rsidRPr="003904F9">
              <w:rPr>
                <w:rFonts w:ascii="Arial" w:hAnsi="Arial" w:cs="Arial"/>
                <w:color w:val="000000" w:themeColor="text1"/>
                <w:sz w:val="20"/>
                <w:szCs w:val="20"/>
              </w:rPr>
              <w:t> 000.00</w:t>
            </w:r>
          </w:p>
        </w:tc>
        <w:tc>
          <w:tcPr>
            <w:tcW w:w="1131" w:type="pct"/>
            <w:tcBorders>
              <w:top w:val="single" w:sz="12" w:space="0" w:color="auto"/>
            </w:tcBorders>
          </w:tcPr>
          <w:p w:rsidR="00DB54F5" w:rsidRPr="00A51287" w:rsidRDefault="00DB54F5" w:rsidP="007340CC">
            <w:pPr>
              <w:spacing w:before="120" w:after="0" w:line="240" w:lineRule="auto"/>
              <w:rPr>
                <w:rFonts w:ascii="Arial" w:hAnsi="Arial" w:cs="Arial"/>
                <w:color w:val="000000" w:themeColor="text1"/>
                <w:sz w:val="20"/>
                <w:szCs w:val="20"/>
              </w:rPr>
            </w:pPr>
            <w:r w:rsidRPr="00A51287">
              <w:rPr>
                <w:rFonts w:ascii="Arial" w:hAnsi="Arial" w:cs="Arial"/>
                <w:color w:val="000000" w:themeColor="text1"/>
                <w:sz w:val="20"/>
                <w:szCs w:val="20"/>
              </w:rPr>
              <w:t>R</w:t>
            </w:r>
            <w:r>
              <w:rPr>
                <w:rFonts w:ascii="Arial" w:hAnsi="Arial" w:cs="Arial"/>
                <w:color w:val="000000" w:themeColor="text1"/>
                <w:sz w:val="20"/>
                <w:szCs w:val="20"/>
              </w:rPr>
              <w:t>10</w:t>
            </w:r>
            <w:r w:rsidRPr="00A51287">
              <w:rPr>
                <w:rFonts w:ascii="Arial" w:hAnsi="Arial" w:cs="Arial"/>
                <w:color w:val="000000" w:themeColor="text1"/>
                <w:sz w:val="20"/>
                <w:szCs w:val="20"/>
              </w:rPr>
              <w:t> </w:t>
            </w:r>
            <w:r>
              <w:rPr>
                <w:rFonts w:ascii="Arial" w:hAnsi="Arial" w:cs="Arial"/>
                <w:color w:val="000000" w:themeColor="text1"/>
                <w:sz w:val="20"/>
                <w:szCs w:val="20"/>
              </w:rPr>
              <w:t>046</w:t>
            </w:r>
            <w:r w:rsidRPr="00A51287">
              <w:rPr>
                <w:rFonts w:ascii="Arial" w:hAnsi="Arial" w:cs="Arial"/>
                <w:color w:val="000000" w:themeColor="text1"/>
                <w:sz w:val="20"/>
                <w:szCs w:val="20"/>
              </w:rPr>
              <w:t> 000.00</w:t>
            </w:r>
          </w:p>
        </w:tc>
        <w:tc>
          <w:tcPr>
            <w:tcW w:w="1258" w:type="pct"/>
            <w:tcBorders>
              <w:top w:val="single" w:sz="12" w:space="0" w:color="auto"/>
            </w:tcBorders>
          </w:tcPr>
          <w:p w:rsidR="00DB54F5" w:rsidRPr="00A51287" w:rsidRDefault="00DB54F5" w:rsidP="007340CC">
            <w:pPr>
              <w:spacing w:before="120" w:after="0" w:line="240" w:lineRule="auto"/>
              <w:rPr>
                <w:rFonts w:ascii="Arial" w:hAnsi="Arial" w:cs="Arial"/>
                <w:color w:val="000000" w:themeColor="text1"/>
                <w:sz w:val="20"/>
                <w:szCs w:val="20"/>
              </w:rPr>
            </w:pPr>
            <w:r w:rsidRPr="00A51287">
              <w:rPr>
                <w:rFonts w:ascii="Arial" w:hAnsi="Arial" w:cs="Arial"/>
                <w:color w:val="000000" w:themeColor="text1"/>
                <w:sz w:val="20"/>
                <w:szCs w:val="20"/>
              </w:rPr>
              <w:t>R1</w:t>
            </w:r>
            <w:r>
              <w:rPr>
                <w:rFonts w:ascii="Arial" w:hAnsi="Arial" w:cs="Arial"/>
                <w:color w:val="000000" w:themeColor="text1"/>
                <w:sz w:val="20"/>
                <w:szCs w:val="20"/>
              </w:rPr>
              <w:t>4</w:t>
            </w:r>
            <w:r w:rsidRPr="00A51287">
              <w:rPr>
                <w:rFonts w:ascii="Arial" w:hAnsi="Arial" w:cs="Arial"/>
                <w:color w:val="000000" w:themeColor="text1"/>
                <w:sz w:val="20"/>
                <w:szCs w:val="20"/>
              </w:rPr>
              <w:t> 111 000.00</w:t>
            </w:r>
          </w:p>
        </w:tc>
      </w:tr>
      <w:tr w:rsidR="009E017A" w:rsidRPr="00EC3DB3" w:rsidTr="006775EB">
        <w:trPr>
          <w:trHeight w:val="947"/>
        </w:trPr>
        <w:tc>
          <w:tcPr>
            <w:tcW w:w="1341" w:type="pct"/>
          </w:tcPr>
          <w:p w:rsidR="009E017A" w:rsidRPr="00EC3DB3" w:rsidRDefault="009E017A" w:rsidP="00795826">
            <w:pPr>
              <w:spacing w:before="120" w:after="0" w:line="240" w:lineRule="auto"/>
              <w:rPr>
                <w:rFonts w:ascii="Arial" w:hAnsi="Arial" w:cs="Arial"/>
                <w:sz w:val="20"/>
                <w:szCs w:val="20"/>
              </w:rPr>
            </w:pPr>
            <w:r>
              <w:rPr>
                <w:rFonts w:ascii="Arial" w:hAnsi="Arial" w:cs="Arial"/>
                <w:sz w:val="20"/>
                <w:szCs w:val="20"/>
              </w:rPr>
              <w:t>Trade &amp; Industrial Policies Strategies (TIPS)</w:t>
            </w:r>
          </w:p>
        </w:tc>
        <w:tc>
          <w:tcPr>
            <w:tcW w:w="1270" w:type="pct"/>
          </w:tcPr>
          <w:p w:rsidR="009E017A" w:rsidRPr="00A51287" w:rsidRDefault="009E017A" w:rsidP="007340CC">
            <w:pPr>
              <w:spacing w:before="120" w:after="0" w:line="240" w:lineRule="auto"/>
              <w:rPr>
                <w:rFonts w:ascii="Arial" w:hAnsi="Arial" w:cs="Arial"/>
                <w:color w:val="000000" w:themeColor="text1"/>
                <w:sz w:val="20"/>
                <w:szCs w:val="20"/>
              </w:rPr>
            </w:pPr>
            <w:r w:rsidRPr="00A51287">
              <w:rPr>
                <w:rFonts w:ascii="Arial" w:hAnsi="Arial" w:cs="Arial"/>
                <w:color w:val="000000" w:themeColor="text1"/>
                <w:sz w:val="20"/>
                <w:szCs w:val="20"/>
              </w:rPr>
              <w:t>R 14 570 000.00</w:t>
            </w:r>
          </w:p>
        </w:tc>
        <w:tc>
          <w:tcPr>
            <w:tcW w:w="1131" w:type="pct"/>
          </w:tcPr>
          <w:p w:rsidR="009E017A" w:rsidRPr="00A51287" w:rsidRDefault="009E017A" w:rsidP="007340CC">
            <w:pPr>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R 22745 684.21</w:t>
            </w:r>
          </w:p>
        </w:tc>
        <w:tc>
          <w:tcPr>
            <w:tcW w:w="1258" w:type="pct"/>
          </w:tcPr>
          <w:p w:rsidR="009E017A" w:rsidRPr="00A51287" w:rsidRDefault="004A0A67" w:rsidP="007340CC">
            <w:pPr>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R</w:t>
            </w:r>
            <w:r w:rsidR="009E017A">
              <w:rPr>
                <w:rFonts w:ascii="Arial" w:hAnsi="Arial" w:cs="Arial"/>
                <w:color w:val="000000" w:themeColor="text1"/>
                <w:sz w:val="20"/>
                <w:szCs w:val="20"/>
              </w:rPr>
              <w:t>26</w:t>
            </w:r>
            <w:r>
              <w:rPr>
                <w:rFonts w:ascii="Arial" w:hAnsi="Arial" w:cs="Arial"/>
                <w:color w:val="000000" w:themeColor="text1"/>
                <w:sz w:val="20"/>
                <w:szCs w:val="20"/>
              </w:rPr>
              <w:t> </w:t>
            </w:r>
            <w:r w:rsidR="009E017A">
              <w:rPr>
                <w:rFonts w:ascii="Arial" w:hAnsi="Arial" w:cs="Arial"/>
                <w:color w:val="000000" w:themeColor="text1"/>
                <w:sz w:val="20"/>
                <w:szCs w:val="20"/>
              </w:rPr>
              <w:t>220</w:t>
            </w:r>
            <w:r>
              <w:rPr>
                <w:rFonts w:ascii="Arial" w:hAnsi="Arial" w:cs="Arial"/>
                <w:color w:val="000000" w:themeColor="text1"/>
                <w:sz w:val="20"/>
                <w:szCs w:val="20"/>
              </w:rPr>
              <w:t xml:space="preserve"> </w:t>
            </w:r>
            <w:r w:rsidR="009E017A">
              <w:rPr>
                <w:rFonts w:ascii="Arial" w:hAnsi="Arial" w:cs="Arial"/>
                <w:color w:val="000000" w:themeColor="text1"/>
                <w:sz w:val="20"/>
                <w:szCs w:val="20"/>
              </w:rPr>
              <w:t>771.93</w:t>
            </w:r>
          </w:p>
          <w:p w:rsidR="009E017A" w:rsidRPr="00A51287" w:rsidRDefault="009E017A" w:rsidP="007340CC">
            <w:pPr>
              <w:spacing w:before="120" w:after="0" w:line="240" w:lineRule="auto"/>
              <w:rPr>
                <w:rFonts w:ascii="Arial" w:hAnsi="Arial" w:cs="Arial"/>
                <w:color w:val="000000" w:themeColor="text1"/>
                <w:sz w:val="20"/>
                <w:szCs w:val="20"/>
              </w:rPr>
            </w:pPr>
          </w:p>
        </w:tc>
      </w:tr>
      <w:tr w:rsidR="00937FC0" w:rsidRPr="00EC3DB3" w:rsidTr="006775EB">
        <w:trPr>
          <w:trHeight w:val="947"/>
        </w:trPr>
        <w:tc>
          <w:tcPr>
            <w:tcW w:w="1341" w:type="pct"/>
          </w:tcPr>
          <w:p w:rsidR="00937FC0" w:rsidRDefault="00937FC0" w:rsidP="00795826">
            <w:pPr>
              <w:spacing w:before="120" w:after="0" w:line="240" w:lineRule="auto"/>
              <w:rPr>
                <w:rFonts w:ascii="Arial" w:hAnsi="Arial" w:cs="Arial"/>
                <w:sz w:val="20"/>
                <w:szCs w:val="20"/>
              </w:rPr>
            </w:pPr>
          </w:p>
          <w:p w:rsidR="004A0A67" w:rsidRDefault="004A0A67" w:rsidP="00795826">
            <w:pPr>
              <w:spacing w:before="120" w:after="0" w:line="240" w:lineRule="auto"/>
              <w:rPr>
                <w:rFonts w:ascii="Arial" w:hAnsi="Arial" w:cs="Arial"/>
                <w:sz w:val="20"/>
                <w:szCs w:val="20"/>
              </w:rPr>
            </w:pPr>
          </w:p>
        </w:tc>
        <w:tc>
          <w:tcPr>
            <w:tcW w:w="1270" w:type="pct"/>
          </w:tcPr>
          <w:p w:rsidR="00937FC0" w:rsidRPr="00A51287" w:rsidRDefault="00937FC0" w:rsidP="007340CC">
            <w:pPr>
              <w:spacing w:before="120" w:after="0" w:line="240" w:lineRule="auto"/>
              <w:rPr>
                <w:rFonts w:ascii="Arial" w:hAnsi="Arial" w:cs="Arial"/>
                <w:color w:val="000000" w:themeColor="text1"/>
                <w:sz w:val="20"/>
                <w:szCs w:val="20"/>
              </w:rPr>
            </w:pPr>
          </w:p>
        </w:tc>
        <w:tc>
          <w:tcPr>
            <w:tcW w:w="1131" w:type="pct"/>
          </w:tcPr>
          <w:p w:rsidR="00937FC0" w:rsidRDefault="00937FC0" w:rsidP="007340CC">
            <w:pPr>
              <w:spacing w:before="120" w:after="0" w:line="240" w:lineRule="auto"/>
              <w:rPr>
                <w:rFonts w:ascii="Arial" w:hAnsi="Arial" w:cs="Arial"/>
                <w:color w:val="000000" w:themeColor="text1"/>
                <w:sz w:val="20"/>
                <w:szCs w:val="20"/>
              </w:rPr>
            </w:pPr>
          </w:p>
        </w:tc>
        <w:tc>
          <w:tcPr>
            <w:tcW w:w="1258" w:type="pct"/>
          </w:tcPr>
          <w:p w:rsidR="00937FC0" w:rsidRDefault="00937FC0" w:rsidP="007340CC">
            <w:pPr>
              <w:spacing w:before="120" w:after="0" w:line="240" w:lineRule="auto"/>
              <w:rPr>
                <w:rFonts w:ascii="Arial" w:hAnsi="Arial" w:cs="Arial"/>
                <w:color w:val="000000" w:themeColor="text1"/>
                <w:sz w:val="20"/>
                <w:szCs w:val="20"/>
              </w:rPr>
            </w:pPr>
          </w:p>
        </w:tc>
      </w:tr>
      <w:tr w:rsidR="009E017A" w:rsidRPr="00EC3DB3" w:rsidTr="006775EB">
        <w:trPr>
          <w:trHeight w:val="661"/>
        </w:trPr>
        <w:tc>
          <w:tcPr>
            <w:tcW w:w="1341" w:type="pct"/>
          </w:tcPr>
          <w:p w:rsidR="00DB54F5" w:rsidRPr="00EC3DB3" w:rsidRDefault="00DB54F5" w:rsidP="00795826">
            <w:pPr>
              <w:spacing w:before="120" w:after="0" w:line="240" w:lineRule="auto"/>
              <w:rPr>
                <w:rFonts w:ascii="Arial" w:hAnsi="Arial" w:cs="Arial"/>
                <w:sz w:val="20"/>
                <w:szCs w:val="20"/>
              </w:rPr>
            </w:pPr>
            <w:r>
              <w:rPr>
                <w:rFonts w:ascii="Arial" w:hAnsi="Arial" w:cs="Arial"/>
                <w:sz w:val="20"/>
                <w:szCs w:val="20"/>
              </w:rPr>
              <w:t>NEDLAC Trade &amp; Industry Chamber (funded through IDC)</w:t>
            </w:r>
          </w:p>
        </w:tc>
        <w:tc>
          <w:tcPr>
            <w:tcW w:w="1270" w:type="pct"/>
          </w:tcPr>
          <w:p w:rsidR="00DB54F5" w:rsidRPr="00EC3DB3" w:rsidRDefault="00DB54F5" w:rsidP="007340CC">
            <w:pPr>
              <w:spacing w:before="120" w:after="0" w:line="240" w:lineRule="auto"/>
              <w:rPr>
                <w:rFonts w:ascii="Arial" w:hAnsi="Arial" w:cs="Arial"/>
                <w:sz w:val="20"/>
                <w:szCs w:val="20"/>
              </w:rPr>
            </w:pPr>
            <w:r>
              <w:rPr>
                <w:rFonts w:ascii="Arial" w:hAnsi="Arial" w:cs="Arial"/>
                <w:sz w:val="20"/>
                <w:szCs w:val="20"/>
              </w:rPr>
              <w:t>R      724 000.00</w:t>
            </w:r>
          </w:p>
        </w:tc>
        <w:tc>
          <w:tcPr>
            <w:tcW w:w="1131" w:type="pct"/>
          </w:tcPr>
          <w:p w:rsidR="00DB54F5" w:rsidRPr="00EC3DB3" w:rsidRDefault="00DB54F5" w:rsidP="007340CC">
            <w:pPr>
              <w:spacing w:before="120" w:after="0" w:line="240" w:lineRule="auto"/>
              <w:rPr>
                <w:rFonts w:ascii="Arial" w:hAnsi="Arial" w:cs="Arial"/>
                <w:sz w:val="20"/>
                <w:szCs w:val="20"/>
              </w:rPr>
            </w:pPr>
            <w:r>
              <w:rPr>
                <w:rFonts w:ascii="Arial" w:hAnsi="Arial" w:cs="Arial"/>
                <w:sz w:val="20"/>
                <w:szCs w:val="20"/>
              </w:rPr>
              <w:t>R  1 982 919.00</w:t>
            </w:r>
          </w:p>
        </w:tc>
        <w:tc>
          <w:tcPr>
            <w:tcW w:w="1258" w:type="pct"/>
          </w:tcPr>
          <w:p w:rsidR="00DB54F5" w:rsidRPr="00EC3DB3" w:rsidRDefault="00DB54F5" w:rsidP="007340CC">
            <w:pPr>
              <w:spacing w:before="120" w:after="0" w:line="240" w:lineRule="auto"/>
              <w:rPr>
                <w:rFonts w:ascii="Arial" w:hAnsi="Arial" w:cs="Arial"/>
                <w:sz w:val="20"/>
                <w:szCs w:val="20"/>
              </w:rPr>
            </w:pPr>
            <w:r>
              <w:rPr>
                <w:rFonts w:ascii="Arial" w:hAnsi="Arial" w:cs="Arial"/>
                <w:sz w:val="20"/>
                <w:szCs w:val="20"/>
              </w:rPr>
              <w:t>R 0</w:t>
            </w:r>
          </w:p>
        </w:tc>
      </w:tr>
      <w:tr w:rsidR="009E017A" w:rsidRPr="00265E17" w:rsidTr="006775EB">
        <w:trPr>
          <w:trHeight w:val="281"/>
        </w:trPr>
        <w:tc>
          <w:tcPr>
            <w:tcW w:w="1341" w:type="pct"/>
          </w:tcPr>
          <w:p w:rsidR="00DB54F5" w:rsidRPr="00265E17" w:rsidRDefault="00DB54F5" w:rsidP="00E47971">
            <w:pPr>
              <w:spacing w:before="120" w:after="0" w:line="240" w:lineRule="auto"/>
              <w:rPr>
                <w:rFonts w:ascii="Arial" w:hAnsi="Arial" w:cs="Arial"/>
                <w:b/>
                <w:sz w:val="20"/>
                <w:szCs w:val="20"/>
              </w:rPr>
            </w:pPr>
            <w:r w:rsidRPr="00265E17">
              <w:rPr>
                <w:rFonts w:ascii="Arial" w:hAnsi="Arial" w:cs="Arial"/>
                <w:b/>
                <w:sz w:val="20"/>
                <w:szCs w:val="20"/>
              </w:rPr>
              <w:t>Grand total</w:t>
            </w:r>
          </w:p>
        </w:tc>
        <w:tc>
          <w:tcPr>
            <w:tcW w:w="1270" w:type="pct"/>
          </w:tcPr>
          <w:p w:rsidR="00DB54F5" w:rsidRPr="00265E17" w:rsidRDefault="00DB54F5" w:rsidP="003506B7">
            <w:pPr>
              <w:spacing w:before="120" w:after="0" w:line="240" w:lineRule="auto"/>
              <w:rPr>
                <w:rFonts w:ascii="Arial" w:hAnsi="Arial" w:cs="Arial"/>
                <w:b/>
                <w:sz w:val="20"/>
                <w:szCs w:val="20"/>
              </w:rPr>
            </w:pPr>
            <w:r>
              <w:rPr>
                <w:rFonts w:ascii="Arial" w:hAnsi="Arial" w:cs="Arial"/>
                <w:b/>
                <w:sz w:val="20"/>
                <w:szCs w:val="20"/>
              </w:rPr>
              <w:t>R 31 294  000.00</w:t>
            </w:r>
          </w:p>
        </w:tc>
        <w:tc>
          <w:tcPr>
            <w:tcW w:w="1131" w:type="pct"/>
          </w:tcPr>
          <w:p w:rsidR="00DB54F5" w:rsidRPr="00265E17" w:rsidRDefault="00DB54F5" w:rsidP="007340CC">
            <w:pPr>
              <w:spacing w:before="120" w:after="0" w:line="240" w:lineRule="auto"/>
              <w:rPr>
                <w:rFonts w:ascii="Arial" w:hAnsi="Arial" w:cs="Arial"/>
                <w:b/>
                <w:sz w:val="20"/>
                <w:szCs w:val="20"/>
              </w:rPr>
            </w:pPr>
            <w:r>
              <w:rPr>
                <w:rFonts w:ascii="Arial" w:hAnsi="Arial" w:cs="Arial"/>
                <w:b/>
                <w:sz w:val="20"/>
                <w:szCs w:val="20"/>
              </w:rPr>
              <w:t>R 34 774 603.21</w:t>
            </w:r>
          </w:p>
        </w:tc>
        <w:tc>
          <w:tcPr>
            <w:tcW w:w="1258" w:type="pct"/>
          </w:tcPr>
          <w:p w:rsidR="00DB54F5" w:rsidRPr="00265E17" w:rsidRDefault="00DB54F5" w:rsidP="007340CC">
            <w:pPr>
              <w:spacing w:before="120" w:after="0" w:line="240" w:lineRule="auto"/>
              <w:rPr>
                <w:rFonts w:ascii="Arial" w:hAnsi="Arial" w:cs="Arial"/>
                <w:b/>
                <w:sz w:val="20"/>
                <w:szCs w:val="20"/>
              </w:rPr>
            </w:pPr>
            <w:r w:rsidRPr="00265E17">
              <w:rPr>
                <w:rFonts w:ascii="Arial" w:hAnsi="Arial" w:cs="Arial"/>
                <w:b/>
                <w:sz w:val="20"/>
                <w:szCs w:val="20"/>
              </w:rPr>
              <w:t>R 40 331 771.93</w:t>
            </w:r>
          </w:p>
        </w:tc>
      </w:tr>
      <w:tr w:rsidR="009E017A" w:rsidRPr="00EC3DB3" w:rsidTr="006775EB">
        <w:trPr>
          <w:trHeight w:val="269"/>
        </w:trPr>
        <w:tc>
          <w:tcPr>
            <w:tcW w:w="1341" w:type="pct"/>
          </w:tcPr>
          <w:p w:rsidR="00DB54F5" w:rsidRPr="00EC3DB3" w:rsidRDefault="00DB54F5" w:rsidP="00795826">
            <w:pPr>
              <w:spacing w:before="120" w:after="0" w:line="240" w:lineRule="auto"/>
              <w:rPr>
                <w:rFonts w:ascii="Arial" w:hAnsi="Arial" w:cs="Arial"/>
                <w:sz w:val="20"/>
                <w:szCs w:val="20"/>
              </w:rPr>
            </w:pPr>
          </w:p>
        </w:tc>
        <w:tc>
          <w:tcPr>
            <w:tcW w:w="1270" w:type="pct"/>
          </w:tcPr>
          <w:p w:rsidR="00DB54F5" w:rsidRPr="00EC3DB3" w:rsidRDefault="00DB54F5" w:rsidP="00795826">
            <w:pPr>
              <w:spacing w:before="120" w:after="0" w:line="240" w:lineRule="auto"/>
              <w:jc w:val="right"/>
              <w:rPr>
                <w:rFonts w:ascii="Arial" w:hAnsi="Arial" w:cs="Arial"/>
                <w:sz w:val="20"/>
                <w:szCs w:val="20"/>
              </w:rPr>
            </w:pPr>
          </w:p>
        </w:tc>
        <w:tc>
          <w:tcPr>
            <w:tcW w:w="1131" w:type="pct"/>
          </w:tcPr>
          <w:p w:rsidR="00DB54F5" w:rsidRPr="00EC3DB3" w:rsidRDefault="00DB54F5" w:rsidP="00795826">
            <w:pPr>
              <w:spacing w:before="120" w:after="0" w:line="240" w:lineRule="auto"/>
              <w:jc w:val="right"/>
              <w:rPr>
                <w:rFonts w:ascii="Arial" w:hAnsi="Arial" w:cs="Arial"/>
                <w:sz w:val="20"/>
                <w:szCs w:val="20"/>
              </w:rPr>
            </w:pPr>
          </w:p>
        </w:tc>
        <w:tc>
          <w:tcPr>
            <w:tcW w:w="1258" w:type="pct"/>
          </w:tcPr>
          <w:p w:rsidR="00DB54F5" w:rsidRPr="00EC3DB3" w:rsidRDefault="00DB54F5" w:rsidP="00795826">
            <w:pPr>
              <w:spacing w:before="120" w:after="0" w:line="240" w:lineRule="auto"/>
              <w:jc w:val="right"/>
              <w:rPr>
                <w:rFonts w:ascii="Arial" w:hAnsi="Arial" w:cs="Arial"/>
                <w:sz w:val="20"/>
                <w:szCs w:val="20"/>
              </w:rPr>
            </w:pPr>
          </w:p>
        </w:tc>
      </w:tr>
    </w:tbl>
    <w:p w:rsidR="00135DC5" w:rsidRPr="00642995" w:rsidRDefault="00135DC5" w:rsidP="00642995">
      <w:pPr>
        <w:widowControl w:val="0"/>
        <w:autoSpaceDE w:val="0"/>
        <w:autoSpaceDN w:val="0"/>
        <w:adjustRightInd w:val="0"/>
        <w:spacing w:before="120" w:after="0" w:line="240" w:lineRule="auto"/>
        <w:jc w:val="both"/>
        <w:rPr>
          <w:rFonts w:ascii="Arial" w:hAnsi="Arial" w:cs="Arial"/>
        </w:rPr>
      </w:pPr>
    </w:p>
    <w:p w:rsidR="00295174" w:rsidRDefault="00295174" w:rsidP="00295174"/>
    <w:p w:rsidR="007340CC" w:rsidRDefault="007340CC" w:rsidP="00295174"/>
    <w:p w:rsidR="007340CC" w:rsidRPr="00295174" w:rsidRDefault="007340CC" w:rsidP="00295174"/>
    <w:sectPr w:rsidR="007340CC" w:rsidRPr="00295174" w:rsidSect="007340CC">
      <w:pgSz w:w="11906" w:h="16838"/>
      <w:pgMar w:top="1135"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8D2"/>
    <w:multiLevelType w:val="hybridMultilevel"/>
    <w:tmpl w:val="81B2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564B"/>
    <w:multiLevelType w:val="hybridMultilevel"/>
    <w:tmpl w:val="638663F2"/>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3EB1D11"/>
    <w:multiLevelType w:val="hybridMultilevel"/>
    <w:tmpl w:val="3E92CBCE"/>
    <w:lvl w:ilvl="0" w:tplc="8A6CD90C">
      <w:start w:val="1"/>
      <w:numFmt w:val="lowerLetter"/>
      <w:lvlText w:val="%1)"/>
      <w:lvlJc w:val="left"/>
      <w:pPr>
        <w:ind w:left="720" w:hanging="360"/>
      </w:pPr>
      <w:rPr>
        <w:rFonts w:ascii="Arial" w:hAnsi="Aria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A4587"/>
    <w:multiLevelType w:val="hybridMultilevel"/>
    <w:tmpl w:val="B13A7EF8"/>
    <w:lvl w:ilvl="0" w:tplc="1C090005">
      <w:start w:val="1"/>
      <w:numFmt w:val="bullet"/>
      <w:lvlText w:val=""/>
      <w:lvlJc w:val="left"/>
      <w:pPr>
        <w:ind w:left="92" w:hanging="360"/>
      </w:pPr>
      <w:rPr>
        <w:rFonts w:ascii="Wingdings" w:hAnsi="Wingdings" w:hint="default"/>
      </w:rPr>
    </w:lvl>
    <w:lvl w:ilvl="1" w:tplc="1C090003">
      <w:start w:val="1"/>
      <w:numFmt w:val="bullet"/>
      <w:lvlText w:val="o"/>
      <w:lvlJc w:val="left"/>
      <w:pPr>
        <w:ind w:left="812" w:hanging="360"/>
      </w:pPr>
      <w:rPr>
        <w:rFonts w:ascii="Courier New" w:hAnsi="Courier New" w:cs="Courier New" w:hint="default"/>
      </w:rPr>
    </w:lvl>
    <w:lvl w:ilvl="2" w:tplc="1C090005" w:tentative="1">
      <w:start w:val="1"/>
      <w:numFmt w:val="bullet"/>
      <w:lvlText w:val=""/>
      <w:lvlJc w:val="left"/>
      <w:pPr>
        <w:ind w:left="1532" w:hanging="360"/>
      </w:pPr>
      <w:rPr>
        <w:rFonts w:ascii="Wingdings" w:hAnsi="Wingdings" w:hint="default"/>
      </w:rPr>
    </w:lvl>
    <w:lvl w:ilvl="3" w:tplc="1C090001" w:tentative="1">
      <w:start w:val="1"/>
      <w:numFmt w:val="bullet"/>
      <w:lvlText w:val=""/>
      <w:lvlJc w:val="left"/>
      <w:pPr>
        <w:ind w:left="2252" w:hanging="360"/>
      </w:pPr>
      <w:rPr>
        <w:rFonts w:ascii="Symbol" w:hAnsi="Symbol" w:hint="default"/>
      </w:rPr>
    </w:lvl>
    <w:lvl w:ilvl="4" w:tplc="1C090003" w:tentative="1">
      <w:start w:val="1"/>
      <w:numFmt w:val="bullet"/>
      <w:lvlText w:val="o"/>
      <w:lvlJc w:val="left"/>
      <w:pPr>
        <w:ind w:left="2972" w:hanging="360"/>
      </w:pPr>
      <w:rPr>
        <w:rFonts w:ascii="Courier New" w:hAnsi="Courier New" w:cs="Courier New" w:hint="default"/>
      </w:rPr>
    </w:lvl>
    <w:lvl w:ilvl="5" w:tplc="1C090005" w:tentative="1">
      <w:start w:val="1"/>
      <w:numFmt w:val="bullet"/>
      <w:lvlText w:val=""/>
      <w:lvlJc w:val="left"/>
      <w:pPr>
        <w:ind w:left="3692" w:hanging="360"/>
      </w:pPr>
      <w:rPr>
        <w:rFonts w:ascii="Wingdings" w:hAnsi="Wingdings" w:hint="default"/>
      </w:rPr>
    </w:lvl>
    <w:lvl w:ilvl="6" w:tplc="1C090001" w:tentative="1">
      <w:start w:val="1"/>
      <w:numFmt w:val="bullet"/>
      <w:lvlText w:val=""/>
      <w:lvlJc w:val="left"/>
      <w:pPr>
        <w:ind w:left="4412" w:hanging="360"/>
      </w:pPr>
      <w:rPr>
        <w:rFonts w:ascii="Symbol" w:hAnsi="Symbol" w:hint="default"/>
      </w:rPr>
    </w:lvl>
    <w:lvl w:ilvl="7" w:tplc="1C090003" w:tentative="1">
      <w:start w:val="1"/>
      <w:numFmt w:val="bullet"/>
      <w:lvlText w:val="o"/>
      <w:lvlJc w:val="left"/>
      <w:pPr>
        <w:ind w:left="5132" w:hanging="360"/>
      </w:pPr>
      <w:rPr>
        <w:rFonts w:ascii="Courier New" w:hAnsi="Courier New" w:cs="Courier New" w:hint="default"/>
      </w:rPr>
    </w:lvl>
    <w:lvl w:ilvl="8" w:tplc="1C090005" w:tentative="1">
      <w:start w:val="1"/>
      <w:numFmt w:val="bullet"/>
      <w:lvlText w:val=""/>
      <w:lvlJc w:val="left"/>
      <w:pPr>
        <w:ind w:left="5852" w:hanging="360"/>
      </w:pPr>
      <w:rPr>
        <w:rFonts w:ascii="Wingdings" w:hAnsi="Wingdings" w:hint="default"/>
      </w:rPr>
    </w:lvl>
  </w:abstractNum>
  <w:abstractNum w:abstractNumId="4">
    <w:nsid w:val="37265C50"/>
    <w:multiLevelType w:val="hybridMultilevel"/>
    <w:tmpl w:val="570A8F3E"/>
    <w:lvl w:ilvl="0" w:tplc="9470FB9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D372F0"/>
    <w:multiLevelType w:val="hybridMultilevel"/>
    <w:tmpl w:val="46EE8DE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49310F77"/>
    <w:multiLevelType w:val="hybridMultilevel"/>
    <w:tmpl w:val="97E22C0E"/>
    <w:lvl w:ilvl="0" w:tplc="0409000F">
      <w:start w:val="1"/>
      <w:numFmt w:val="decimal"/>
      <w:lvlText w:val="%1."/>
      <w:lvlJc w:val="left"/>
      <w:pPr>
        <w:tabs>
          <w:tab w:val="num" w:pos="720"/>
        </w:tabs>
        <w:ind w:left="720" w:hanging="360"/>
      </w:pPr>
      <w:rPr>
        <w:rFonts w:hint="default"/>
      </w:rPr>
    </w:lvl>
    <w:lvl w:ilvl="1" w:tplc="7FB0F93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692755"/>
    <w:multiLevelType w:val="hybridMultilevel"/>
    <w:tmpl w:val="AE0C87DC"/>
    <w:lvl w:ilvl="0" w:tplc="848C5B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9541C"/>
    <w:multiLevelType w:val="hybridMultilevel"/>
    <w:tmpl w:val="7B18A5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E52B9E"/>
    <w:multiLevelType w:val="hybridMultilevel"/>
    <w:tmpl w:val="F7B0C1DE"/>
    <w:lvl w:ilvl="0" w:tplc="A1D4E8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4"/>
  </w:num>
  <w:num w:numId="6">
    <w:abstractNumId w:val="7"/>
  </w:num>
  <w:num w:numId="7">
    <w:abstractNumId w:val="1"/>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E3"/>
    <w:rsid w:val="000701AD"/>
    <w:rsid w:val="000B59DD"/>
    <w:rsid w:val="000F3A0D"/>
    <w:rsid w:val="000F4A00"/>
    <w:rsid w:val="001323C8"/>
    <w:rsid w:val="00135DC5"/>
    <w:rsid w:val="0017554A"/>
    <w:rsid w:val="001A4E8D"/>
    <w:rsid w:val="002105D6"/>
    <w:rsid w:val="00226B0D"/>
    <w:rsid w:val="00265E17"/>
    <w:rsid w:val="00295174"/>
    <w:rsid w:val="003279E8"/>
    <w:rsid w:val="003506B7"/>
    <w:rsid w:val="003904F9"/>
    <w:rsid w:val="003B23A6"/>
    <w:rsid w:val="003F083F"/>
    <w:rsid w:val="004461F9"/>
    <w:rsid w:val="0046487E"/>
    <w:rsid w:val="00477D52"/>
    <w:rsid w:val="004A0A67"/>
    <w:rsid w:val="004A6367"/>
    <w:rsid w:val="004D45E3"/>
    <w:rsid w:val="004D5E84"/>
    <w:rsid w:val="004E6CC0"/>
    <w:rsid w:val="004F768B"/>
    <w:rsid w:val="00560623"/>
    <w:rsid w:val="005D770C"/>
    <w:rsid w:val="005E5EA5"/>
    <w:rsid w:val="00612850"/>
    <w:rsid w:val="00621556"/>
    <w:rsid w:val="00631282"/>
    <w:rsid w:val="00642995"/>
    <w:rsid w:val="006775EB"/>
    <w:rsid w:val="00691C45"/>
    <w:rsid w:val="007340CC"/>
    <w:rsid w:val="00795826"/>
    <w:rsid w:val="007B080C"/>
    <w:rsid w:val="007C469F"/>
    <w:rsid w:val="00825DCD"/>
    <w:rsid w:val="008D1204"/>
    <w:rsid w:val="00937FC0"/>
    <w:rsid w:val="00953499"/>
    <w:rsid w:val="009C5110"/>
    <w:rsid w:val="009E017A"/>
    <w:rsid w:val="00A02A6E"/>
    <w:rsid w:val="00A41652"/>
    <w:rsid w:val="00A51287"/>
    <w:rsid w:val="00A74002"/>
    <w:rsid w:val="00AA3B74"/>
    <w:rsid w:val="00AB0E37"/>
    <w:rsid w:val="00AD3E8E"/>
    <w:rsid w:val="00B56AF4"/>
    <w:rsid w:val="00B71A79"/>
    <w:rsid w:val="00B96492"/>
    <w:rsid w:val="00BA71E2"/>
    <w:rsid w:val="00D31E55"/>
    <w:rsid w:val="00DB54F5"/>
    <w:rsid w:val="00E0763B"/>
    <w:rsid w:val="00E47971"/>
    <w:rsid w:val="00E91463"/>
    <w:rsid w:val="00EB04A2"/>
    <w:rsid w:val="00EC3DB3"/>
    <w:rsid w:val="00F15BD3"/>
    <w:rsid w:val="00F45F4F"/>
    <w:rsid w:val="00F723B0"/>
    <w:rsid w:val="00FE0AF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E3"/>
    <w:rPr>
      <w:color w:val="0000FF" w:themeColor="hyperlink"/>
      <w:u w:val="single"/>
    </w:rPr>
  </w:style>
  <w:style w:type="table" w:styleId="TableGrid">
    <w:name w:val="Table Grid"/>
    <w:basedOn w:val="TableNormal"/>
    <w:uiPriority w:val="59"/>
    <w:rsid w:val="00EC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DB3"/>
    <w:pPr>
      <w:ind w:left="720"/>
      <w:contextualSpacing/>
    </w:pPr>
  </w:style>
  <w:style w:type="paragraph" w:styleId="Caption">
    <w:name w:val="caption"/>
    <w:basedOn w:val="Normal"/>
    <w:next w:val="Normal"/>
    <w:uiPriority w:val="35"/>
    <w:unhideWhenUsed/>
    <w:qFormat/>
    <w:rsid w:val="00295174"/>
    <w:pPr>
      <w:spacing w:before="120" w:after="60" w:line="240" w:lineRule="auto"/>
    </w:pPr>
    <w:rPr>
      <w:rFonts w:ascii="Arial" w:hAnsi="Arial"/>
      <w:b/>
      <w:iCs/>
      <w:sz w:val="20"/>
      <w:szCs w:val="18"/>
    </w:rPr>
  </w:style>
  <w:style w:type="paragraph" w:styleId="BalloonText">
    <w:name w:val="Balloon Text"/>
    <w:basedOn w:val="Normal"/>
    <w:link w:val="BalloonTextChar"/>
    <w:uiPriority w:val="99"/>
    <w:semiHidden/>
    <w:unhideWhenUsed/>
    <w:rsid w:val="000B5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B59DD"/>
    <w:rPr>
      <w:rFonts w:ascii="Segoe UI" w:hAnsi="Segoe UI" w:cs="Segoe UI"/>
      <w:sz w:val="18"/>
      <w:szCs w:val="18"/>
    </w:rPr>
  </w:style>
  <w:style w:type="character" w:styleId="CommentReference">
    <w:name w:val="annotation reference"/>
    <w:basedOn w:val="DefaultParagraphFont"/>
    <w:uiPriority w:val="99"/>
    <w:semiHidden/>
    <w:unhideWhenUsed/>
    <w:rsid w:val="00F45F4F"/>
    <w:rPr>
      <w:sz w:val="16"/>
      <w:szCs w:val="16"/>
    </w:rPr>
  </w:style>
  <w:style w:type="paragraph" w:styleId="CommentText">
    <w:name w:val="annotation text"/>
    <w:basedOn w:val="Normal"/>
    <w:link w:val="CommentTextChar"/>
    <w:uiPriority w:val="99"/>
    <w:semiHidden/>
    <w:unhideWhenUsed/>
    <w:rsid w:val="00F45F4F"/>
    <w:pPr>
      <w:spacing w:line="240" w:lineRule="auto"/>
    </w:pPr>
    <w:rPr>
      <w:sz w:val="20"/>
      <w:szCs w:val="20"/>
    </w:rPr>
  </w:style>
  <w:style w:type="character" w:customStyle="1" w:styleId="CommentTextChar">
    <w:name w:val="Comment Text Char"/>
    <w:basedOn w:val="DefaultParagraphFont"/>
    <w:link w:val="CommentText"/>
    <w:uiPriority w:val="99"/>
    <w:semiHidden/>
    <w:rsid w:val="00F45F4F"/>
    <w:rPr>
      <w:sz w:val="20"/>
      <w:szCs w:val="20"/>
    </w:rPr>
  </w:style>
  <w:style w:type="paragraph" w:styleId="CommentSubject">
    <w:name w:val="annotation subject"/>
    <w:basedOn w:val="CommentText"/>
    <w:next w:val="CommentText"/>
    <w:link w:val="CommentSubjectChar"/>
    <w:uiPriority w:val="99"/>
    <w:semiHidden/>
    <w:unhideWhenUsed/>
    <w:rsid w:val="00F45F4F"/>
    <w:rPr>
      <w:b/>
      <w:bCs/>
    </w:rPr>
  </w:style>
  <w:style w:type="character" w:customStyle="1" w:styleId="CommentSubjectChar">
    <w:name w:val="Comment Subject Char"/>
    <w:basedOn w:val="CommentTextChar"/>
    <w:link w:val="CommentSubject"/>
    <w:uiPriority w:val="99"/>
    <w:semiHidden/>
    <w:rsid w:val="00F45F4F"/>
    <w:rPr>
      <w:b/>
      <w:bCs/>
      <w:sz w:val="20"/>
      <w:szCs w:val="20"/>
    </w:rPr>
  </w:style>
  <w:style w:type="paragraph" w:styleId="Revision">
    <w:name w:val="Revision"/>
    <w:hidden/>
    <w:uiPriority w:val="99"/>
    <w:semiHidden/>
    <w:rsid w:val="00F45F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5E3"/>
    <w:rPr>
      <w:color w:val="0000FF" w:themeColor="hyperlink"/>
      <w:u w:val="single"/>
    </w:rPr>
  </w:style>
  <w:style w:type="table" w:styleId="TableGrid">
    <w:name w:val="Table Grid"/>
    <w:basedOn w:val="TableNormal"/>
    <w:uiPriority w:val="59"/>
    <w:rsid w:val="00EC3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DB3"/>
    <w:pPr>
      <w:ind w:left="720"/>
      <w:contextualSpacing/>
    </w:pPr>
  </w:style>
  <w:style w:type="paragraph" w:styleId="Caption">
    <w:name w:val="caption"/>
    <w:basedOn w:val="Normal"/>
    <w:next w:val="Normal"/>
    <w:uiPriority w:val="35"/>
    <w:unhideWhenUsed/>
    <w:qFormat/>
    <w:rsid w:val="00295174"/>
    <w:pPr>
      <w:spacing w:before="120" w:after="60" w:line="240" w:lineRule="auto"/>
    </w:pPr>
    <w:rPr>
      <w:rFonts w:ascii="Arial" w:hAnsi="Arial"/>
      <w:b/>
      <w:iCs/>
      <w:sz w:val="20"/>
      <w:szCs w:val="18"/>
    </w:rPr>
  </w:style>
  <w:style w:type="paragraph" w:styleId="BalloonText">
    <w:name w:val="Balloon Text"/>
    <w:basedOn w:val="Normal"/>
    <w:link w:val="BalloonTextChar"/>
    <w:uiPriority w:val="99"/>
    <w:semiHidden/>
    <w:unhideWhenUsed/>
    <w:rsid w:val="000B5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B59DD"/>
    <w:rPr>
      <w:rFonts w:ascii="Segoe UI" w:hAnsi="Segoe UI" w:cs="Segoe UI"/>
      <w:sz w:val="18"/>
      <w:szCs w:val="18"/>
    </w:rPr>
  </w:style>
  <w:style w:type="character" w:styleId="CommentReference">
    <w:name w:val="annotation reference"/>
    <w:basedOn w:val="DefaultParagraphFont"/>
    <w:uiPriority w:val="99"/>
    <w:semiHidden/>
    <w:unhideWhenUsed/>
    <w:rsid w:val="00F45F4F"/>
    <w:rPr>
      <w:sz w:val="16"/>
      <w:szCs w:val="16"/>
    </w:rPr>
  </w:style>
  <w:style w:type="paragraph" w:styleId="CommentText">
    <w:name w:val="annotation text"/>
    <w:basedOn w:val="Normal"/>
    <w:link w:val="CommentTextChar"/>
    <w:uiPriority w:val="99"/>
    <w:semiHidden/>
    <w:unhideWhenUsed/>
    <w:rsid w:val="00F45F4F"/>
    <w:pPr>
      <w:spacing w:line="240" w:lineRule="auto"/>
    </w:pPr>
    <w:rPr>
      <w:sz w:val="20"/>
      <w:szCs w:val="20"/>
    </w:rPr>
  </w:style>
  <w:style w:type="character" w:customStyle="1" w:styleId="CommentTextChar">
    <w:name w:val="Comment Text Char"/>
    <w:basedOn w:val="DefaultParagraphFont"/>
    <w:link w:val="CommentText"/>
    <w:uiPriority w:val="99"/>
    <w:semiHidden/>
    <w:rsid w:val="00F45F4F"/>
    <w:rPr>
      <w:sz w:val="20"/>
      <w:szCs w:val="20"/>
    </w:rPr>
  </w:style>
  <w:style w:type="paragraph" w:styleId="CommentSubject">
    <w:name w:val="annotation subject"/>
    <w:basedOn w:val="CommentText"/>
    <w:next w:val="CommentText"/>
    <w:link w:val="CommentSubjectChar"/>
    <w:uiPriority w:val="99"/>
    <w:semiHidden/>
    <w:unhideWhenUsed/>
    <w:rsid w:val="00F45F4F"/>
    <w:rPr>
      <w:b/>
      <w:bCs/>
    </w:rPr>
  </w:style>
  <w:style w:type="character" w:customStyle="1" w:styleId="CommentSubjectChar">
    <w:name w:val="Comment Subject Char"/>
    <w:basedOn w:val="CommentTextChar"/>
    <w:link w:val="CommentSubject"/>
    <w:uiPriority w:val="99"/>
    <w:semiHidden/>
    <w:rsid w:val="00F45F4F"/>
    <w:rPr>
      <w:b/>
      <w:bCs/>
      <w:sz w:val="20"/>
      <w:szCs w:val="20"/>
    </w:rPr>
  </w:style>
  <w:style w:type="paragraph" w:styleId="Revision">
    <w:name w:val="Revision"/>
    <w:hidden/>
    <w:uiPriority w:val="99"/>
    <w:semiHidden/>
    <w:rsid w:val="00F45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EFB0-B454-47EB-B6BA-690E8A89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Naidoo</dc:creator>
  <cp:lastModifiedBy>BSithole</cp:lastModifiedBy>
  <cp:revision>3</cp:revision>
  <cp:lastPrinted>2017-08-10T07:36:00Z</cp:lastPrinted>
  <dcterms:created xsi:type="dcterms:W3CDTF">2017-08-10T06:59:00Z</dcterms:created>
  <dcterms:modified xsi:type="dcterms:W3CDTF">2017-08-10T08:07:00Z</dcterms:modified>
</cp:coreProperties>
</file>