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576685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CD5CEF">
        <w:rPr>
          <w:b/>
          <w:noProof/>
          <w:color w:val="000000"/>
          <w:sz w:val="24"/>
          <w:szCs w:val="24"/>
          <w:lang w:val="af-ZA"/>
        </w:rPr>
        <w:t>2070</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CD5CEF">
        <w:rPr>
          <w:b/>
          <w:sz w:val="24"/>
          <w:szCs w:val="24"/>
        </w:rPr>
        <w:t xml:space="preserve">7 AUGUST </w:t>
      </w:r>
      <w:r w:rsidR="00526E7D" w:rsidRPr="0055709D">
        <w:rPr>
          <w:b/>
          <w:sz w:val="24"/>
          <w:szCs w:val="24"/>
        </w:rPr>
        <w:t>2</w:t>
      </w:r>
      <w:r w:rsidR="00A830EA" w:rsidRPr="0055709D">
        <w:rPr>
          <w:b/>
          <w:sz w:val="24"/>
          <w:szCs w:val="24"/>
        </w:rPr>
        <w:t>01</w:t>
      </w:r>
      <w:r w:rsidR="00DC28F1">
        <w:rPr>
          <w:b/>
          <w:sz w:val="24"/>
          <w:szCs w:val="24"/>
        </w:rPr>
        <w:t>7</w:t>
      </w:r>
    </w:p>
    <w:p w:rsidR="00CD5CEF" w:rsidRPr="0055709D" w:rsidRDefault="00CD5CEF" w:rsidP="006F111A">
      <w:pPr>
        <w:rPr>
          <w:b/>
          <w:sz w:val="24"/>
          <w:szCs w:val="24"/>
        </w:rPr>
      </w:pPr>
    </w:p>
    <w:p w:rsidR="00CD5CEF" w:rsidRPr="00CD5CEF" w:rsidRDefault="00CD5CEF" w:rsidP="00CD5CEF">
      <w:pPr>
        <w:spacing w:before="100" w:beforeAutospacing="1" w:after="100" w:afterAutospacing="1"/>
        <w:ind w:left="816" w:hanging="816"/>
        <w:rPr>
          <w:b/>
          <w:noProof/>
          <w:color w:val="000000"/>
          <w:sz w:val="24"/>
          <w:szCs w:val="24"/>
          <w:lang w:val="af-ZA"/>
        </w:rPr>
      </w:pPr>
      <w:r w:rsidRPr="00CD5CEF">
        <w:rPr>
          <w:b/>
          <w:noProof/>
          <w:color w:val="000000"/>
          <w:sz w:val="24"/>
          <w:szCs w:val="24"/>
          <w:lang w:val="af-ZA"/>
        </w:rPr>
        <w:t xml:space="preserve">Ms M O Mokause (EFF) to ask the Minister of Human Settlements: </w:t>
      </w:r>
    </w:p>
    <w:p w:rsidR="00CD5CEF" w:rsidRPr="002C72C0" w:rsidRDefault="00CD5CEF" w:rsidP="00057335">
      <w:pPr>
        <w:spacing w:line="360" w:lineRule="auto"/>
        <w:jc w:val="both"/>
      </w:pPr>
      <w:r w:rsidRPr="00BE1C25">
        <w:rPr>
          <w:sz w:val="24"/>
          <w:szCs w:val="24"/>
        </w:rPr>
        <w:t>Whether (a) her department and/or (b) any entities reporting to her are funding, including by way of discretionary funding, any institution of research and development (</w:t>
      </w:r>
      <w:proofErr w:type="spellStart"/>
      <w:r w:rsidRPr="00BE1C25">
        <w:rPr>
          <w:sz w:val="24"/>
          <w:szCs w:val="24"/>
        </w:rPr>
        <w:t>i</w:t>
      </w:r>
      <w:proofErr w:type="spellEnd"/>
      <w:r w:rsidRPr="00BE1C25">
        <w:rPr>
          <w:sz w:val="24"/>
          <w:szCs w:val="24"/>
        </w:rPr>
        <w:t>) domestically and/or (ii) internationally; if so, (</w:t>
      </w:r>
      <w:proofErr w:type="spellStart"/>
      <w:r w:rsidRPr="00BE1C25">
        <w:rPr>
          <w:sz w:val="24"/>
          <w:szCs w:val="24"/>
        </w:rPr>
        <w:t>aa</w:t>
      </w:r>
      <w:proofErr w:type="spellEnd"/>
      <w:r w:rsidRPr="00BE1C25">
        <w:rPr>
          <w:sz w:val="24"/>
          <w:szCs w:val="24"/>
        </w:rPr>
        <w:t>)(</w:t>
      </w:r>
      <w:proofErr w:type="spellStart"/>
      <w:r w:rsidRPr="00BE1C25">
        <w:rPr>
          <w:sz w:val="24"/>
          <w:szCs w:val="24"/>
        </w:rPr>
        <w:t>aaa</w:t>
      </w:r>
      <w:proofErr w:type="spellEnd"/>
      <w:r w:rsidRPr="00BE1C25">
        <w:rPr>
          <w:sz w:val="24"/>
          <w:szCs w:val="24"/>
        </w:rPr>
        <w:t>) what are the names of the specified institutions and (</w:t>
      </w:r>
      <w:proofErr w:type="spellStart"/>
      <w:r w:rsidRPr="00BE1C25">
        <w:rPr>
          <w:sz w:val="24"/>
          <w:szCs w:val="24"/>
        </w:rPr>
        <w:t>bbb</w:t>
      </w:r>
      <w:proofErr w:type="spellEnd"/>
      <w:r w:rsidRPr="00BE1C25">
        <w:rPr>
          <w:sz w:val="24"/>
          <w:szCs w:val="24"/>
        </w:rPr>
        <w:t>) what are their functions, (bb) from what date has her department or any entity reporting to her been funding them and (cc) what amount has her department contributed towards such funding?</w:t>
      </w:r>
      <w:r w:rsidRPr="00BE1C25">
        <w:rPr>
          <w:sz w:val="24"/>
          <w:szCs w:val="24"/>
        </w:rPr>
        <w:tab/>
      </w:r>
      <w:r w:rsidRPr="00BE1C25">
        <w:rPr>
          <w:sz w:val="24"/>
          <w:szCs w:val="24"/>
        </w:rPr>
        <w:tab/>
      </w:r>
      <w:r>
        <w:rPr>
          <w:sz w:val="24"/>
          <w:szCs w:val="24"/>
        </w:rPr>
        <w:tab/>
        <w:t xml:space="preserve">         </w:t>
      </w:r>
      <w:r w:rsidRPr="002C72C0">
        <w:t>NW2292E</w:t>
      </w:r>
    </w:p>
    <w:p w:rsidR="00A9168E" w:rsidRPr="00526E7D" w:rsidRDefault="00A9168E" w:rsidP="00A9168E">
      <w:pPr>
        <w:spacing w:before="100" w:beforeAutospacing="1" w:after="100" w:afterAutospacing="1"/>
        <w:jc w:val="both"/>
        <w:rPr>
          <w:b/>
          <w:sz w:val="24"/>
          <w:szCs w:val="24"/>
        </w:rPr>
      </w:pPr>
    </w:p>
    <w:p w:rsidR="00F363E4" w:rsidRPr="00F3387B" w:rsidRDefault="00895D3F" w:rsidP="00710F4E">
      <w:r>
        <w:tab/>
      </w:r>
      <w:r>
        <w:tab/>
      </w:r>
      <w:r>
        <w:tab/>
      </w:r>
      <w:r w:rsidR="00F363E4">
        <w:t xml:space="preserve">         </w:t>
      </w:r>
    </w:p>
    <w:p w:rsidR="002A6ADF" w:rsidRDefault="00EB6AA1" w:rsidP="00710F4E">
      <w:pPr>
        <w:rPr>
          <w:b/>
          <w:sz w:val="24"/>
          <w:szCs w:val="24"/>
        </w:rPr>
      </w:pPr>
      <w:r w:rsidRPr="00317EFA">
        <w:rPr>
          <w:b/>
          <w:sz w:val="24"/>
          <w:szCs w:val="24"/>
        </w:rPr>
        <w:t>REPLY:</w:t>
      </w:r>
    </w:p>
    <w:p w:rsidR="00716FB3" w:rsidRDefault="00716FB3" w:rsidP="00710F4E">
      <w:pPr>
        <w:rPr>
          <w:b/>
          <w:sz w:val="24"/>
          <w:szCs w:val="24"/>
        </w:rPr>
      </w:pPr>
    </w:p>
    <w:p w:rsidR="00057335" w:rsidRPr="001B723C" w:rsidRDefault="00825CCE" w:rsidP="00825CCE">
      <w:pPr>
        <w:pStyle w:val="NoSpacing"/>
        <w:spacing w:line="360" w:lineRule="auto"/>
        <w:ind w:left="720" w:hanging="720"/>
        <w:jc w:val="both"/>
        <w:rPr>
          <w:sz w:val="24"/>
          <w:szCs w:val="24"/>
          <w:lang w:val="en-ZA"/>
        </w:rPr>
      </w:pPr>
      <w:r>
        <w:rPr>
          <w:sz w:val="24"/>
          <w:szCs w:val="24"/>
        </w:rPr>
        <w:t>(a)</w:t>
      </w:r>
      <w:r w:rsidR="002704B3">
        <w:rPr>
          <w:sz w:val="24"/>
          <w:szCs w:val="24"/>
        </w:rPr>
        <w:t>(</w:t>
      </w:r>
      <w:proofErr w:type="spellStart"/>
      <w:proofErr w:type="gramStart"/>
      <w:r w:rsidR="002704B3">
        <w:rPr>
          <w:sz w:val="24"/>
          <w:szCs w:val="24"/>
        </w:rPr>
        <w:t>aa</w:t>
      </w:r>
      <w:proofErr w:type="spellEnd"/>
      <w:proofErr w:type="gramEnd"/>
      <w:r w:rsidR="002704B3">
        <w:rPr>
          <w:sz w:val="24"/>
          <w:szCs w:val="24"/>
        </w:rPr>
        <w:t>)</w:t>
      </w:r>
      <w:r>
        <w:rPr>
          <w:sz w:val="24"/>
          <w:szCs w:val="24"/>
        </w:rPr>
        <w:tab/>
      </w:r>
      <w:r w:rsidR="00057335" w:rsidRPr="001B723C">
        <w:rPr>
          <w:sz w:val="24"/>
          <w:szCs w:val="24"/>
        </w:rPr>
        <w:t xml:space="preserve">In its endeavour to ensure the </w:t>
      </w:r>
      <w:r w:rsidRPr="001B723C">
        <w:rPr>
          <w:sz w:val="24"/>
          <w:szCs w:val="24"/>
        </w:rPr>
        <w:t>professionalization</w:t>
      </w:r>
      <w:r w:rsidR="00057335" w:rsidRPr="001B723C">
        <w:rPr>
          <w:sz w:val="24"/>
          <w:szCs w:val="24"/>
        </w:rPr>
        <w:t xml:space="preserve"> of the human settlements sector, the </w:t>
      </w:r>
      <w:r w:rsidRPr="001B723C">
        <w:rPr>
          <w:sz w:val="24"/>
          <w:szCs w:val="24"/>
        </w:rPr>
        <w:t xml:space="preserve">National </w:t>
      </w:r>
      <w:r w:rsidR="00057335" w:rsidRPr="001B723C">
        <w:rPr>
          <w:sz w:val="24"/>
          <w:szCs w:val="24"/>
        </w:rPr>
        <w:t xml:space="preserve">Department of Human Settlements has partnered with the Nelson Mandela Metropolitan University (NMMU) and Mangosuthu University of Technology (MUT), to enhance the capacity of the sector to deliver sustainable human settlements. The department funded the establishment of the Chair for Education in Human Settlements Development Management at the Nelson Mandela Metropolitan University (NMMU) and the Chair for Research in Human Settlements at the Mangosuthu University of Technology </w:t>
      </w:r>
      <w:r w:rsidR="00057335" w:rsidRPr="001B723C">
        <w:rPr>
          <w:sz w:val="24"/>
          <w:szCs w:val="24"/>
          <w:lang w:val="en-ZA"/>
        </w:rPr>
        <w:t>(MUT)</w:t>
      </w:r>
    </w:p>
    <w:p w:rsidR="00057335" w:rsidRPr="001B723C" w:rsidRDefault="00057335" w:rsidP="00057335">
      <w:pPr>
        <w:pStyle w:val="NoSpacing"/>
        <w:rPr>
          <w:sz w:val="24"/>
          <w:szCs w:val="24"/>
          <w:lang w:val="en-ZA"/>
        </w:rPr>
      </w:pPr>
    </w:p>
    <w:p w:rsidR="00057335" w:rsidRPr="001B723C" w:rsidRDefault="00057335" w:rsidP="00855FC5">
      <w:pPr>
        <w:spacing w:line="360" w:lineRule="auto"/>
        <w:ind w:left="720"/>
        <w:rPr>
          <w:sz w:val="24"/>
          <w:szCs w:val="24"/>
        </w:rPr>
      </w:pPr>
      <w:r w:rsidRPr="001B723C">
        <w:rPr>
          <w:sz w:val="24"/>
          <w:szCs w:val="24"/>
        </w:rPr>
        <w:t>The aforementioned Chairs established in the two universities are</w:t>
      </w:r>
      <w:r w:rsidR="00825CCE" w:rsidRPr="001B723C">
        <w:rPr>
          <w:sz w:val="24"/>
          <w:szCs w:val="24"/>
        </w:rPr>
        <w:t xml:space="preserve"> </w:t>
      </w:r>
      <w:r w:rsidRPr="001B723C">
        <w:rPr>
          <w:sz w:val="24"/>
          <w:szCs w:val="24"/>
        </w:rPr>
        <w:t xml:space="preserve">responsible for the </w:t>
      </w:r>
      <w:r w:rsidR="00855FC5" w:rsidRPr="001B723C">
        <w:rPr>
          <w:sz w:val="24"/>
          <w:szCs w:val="24"/>
        </w:rPr>
        <w:t xml:space="preserve">following </w:t>
      </w:r>
      <w:r w:rsidRPr="001B723C">
        <w:rPr>
          <w:sz w:val="24"/>
          <w:szCs w:val="24"/>
        </w:rPr>
        <w:t>functions, amongst others:</w:t>
      </w:r>
    </w:p>
    <w:p w:rsidR="00057335" w:rsidRPr="001B723C" w:rsidRDefault="00057335" w:rsidP="00057335">
      <w:pPr>
        <w:pStyle w:val="ListParagraph"/>
        <w:ind w:left="360"/>
      </w:pPr>
    </w:p>
    <w:p w:rsidR="00057335" w:rsidRPr="001B723C" w:rsidRDefault="00057335" w:rsidP="00855FC5">
      <w:pPr>
        <w:pStyle w:val="ListParagraph"/>
        <w:numPr>
          <w:ilvl w:val="0"/>
          <w:numId w:val="2"/>
        </w:numPr>
        <w:tabs>
          <w:tab w:val="left" w:pos="284"/>
        </w:tabs>
        <w:autoSpaceDE w:val="0"/>
        <w:autoSpaceDN w:val="0"/>
        <w:adjustRightInd w:val="0"/>
        <w:spacing w:before="100" w:beforeAutospacing="1" w:after="100" w:afterAutospacing="1" w:line="360" w:lineRule="auto"/>
        <w:jc w:val="both"/>
        <w:outlineLvl w:val="0"/>
      </w:pPr>
      <w:r w:rsidRPr="001B723C">
        <w:lastRenderedPageBreak/>
        <w:t xml:space="preserve">Conducting of research in human settlements to inform policy and programmes development, as well as informing relevant solutions to deal with the housing challenge; </w:t>
      </w:r>
    </w:p>
    <w:p w:rsidR="00057335" w:rsidRPr="001B723C" w:rsidRDefault="00057335" w:rsidP="00057335">
      <w:pPr>
        <w:pStyle w:val="ListParagraph"/>
        <w:numPr>
          <w:ilvl w:val="0"/>
          <w:numId w:val="2"/>
        </w:numPr>
        <w:tabs>
          <w:tab w:val="left" w:pos="284"/>
        </w:tabs>
        <w:autoSpaceDE w:val="0"/>
        <w:autoSpaceDN w:val="0"/>
        <w:adjustRightInd w:val="0"/>
        <w:spacing w:before="100" w:beforeAutospacing="1" w:after="100" w:afterAutospacing="1" w:line="360" w:lineRule="auto"/>
        <w:jc w:val="both"/>
        <w:outlineLvl w:val="0"/>
      </w:pPr>
      <w:r w:rsidRPr="001B723C">
        <w:t xml:space="preserve">Development and teaching of human settlements qualifications to enhance the availability of requisite skills in the human settlements sector. </w:t>
      </w:r>
    </w:p>
    <w:p w:rsidR="00057335" w:rsidRPr="001B723C" w:rsidRDefault="00057335" w:rsidP="00057335">
      <w:pPr>
        <w:pStyle w:val="ListParagraph"/>
        <w:numPr>
          <w:ilvl w:val="0"/>
          <w:numId w:val="2"/>
        </w:numPr>
        <w:tabs>
          <w:tab w:val="left" w:pos="284"/>
        </w:tabs>
        <w:autoSpaceDE w:val="0"/>
        <w:autoSpaceDN w:val="0"/>
        <w:adjustRightInd w:val="0"/>
        <w:spacing w:before="100" w:beforeAutospacing="1" w:after="100" w:afterAutospacing="1" w:line="360" w:lineRule="auto"/>
        <w:jc w:val="both"/>
        <w:outlineLvl w:val="0"/>
      </w:pPr>
      <w:r w:rsidRPr="001B723C">
        <w:t xml:space="preserve">Providing a consultation service and advice to the Department in support of its capacity building and professionalization endeavours; </w:t>
      </w:r>
    </w:p>
    <w:p w:rsidR="00057335" w:rsidRPr="001B723C" w:rsidRDefault="00057335" w:rsidP="00057335">
      <w:pPr>
        <w:pStyle w:val="ListParagraph"/>
        <w:numPr>
          <w:ilvl w:val="0"/>
          <w:numId w:val="2"/>
        </w:numPr>
        <w:tabs>
          <w:tab w:val="left" w:pos="284"/>
        </w:tabs>
        <w:autoSpaceDE w:val="0"/>
        <w:autoSpaceDN w:val="0"/>
        <w:adjustRightInd w:val="0"/>
        <w:spacing w:before="100" w:beforeAutospacing="1" w:after="100" w:afterAutospacing="1" w:line="360" w:lineRule="auto"/>
        <w:jc w:val="both"/>
        <w:outlineLvl w:val="0"/>
      </w:pPr>
      <w:r w:rsidRPr="001B723C">
        <w:t>Providing training in the form of Short Learning Programmes, workshops and seminars, ensuring transfer of skills to public officials;</w:t>
      </w:r>
    </w:p>
    <w:p w:rsidR="00057335" w:rsidRPr="001B723C" w:rsidRDefault="00057335" w:rsidP="00057335">
      <w:pPr>
        <w:pStyle w:val="ListParagraph"/>
        <w:numPr>
          <w:ilvl w:val="0"/>
          <w:numId w:val="2"/>
        </w:numPr>
        <w:tabs>
          <w:tab w:val="left" w:pos="284"/>
        </w:tabs>
        <w:autoSpaceDE w:val="0"/>
        <w:autoSpaceDN w:val="0"/>
        <w:adjustRightInd w:val="0"/>
        <w:spacing w:before="100" w:beforeAutospacing="1" w:after="100" w:afterAutospacing="1" w:line="360" w:lineRule="auto"/>
        <w:jc w:val="both"/>
        <w:outlineLvl w:val="0"/>
      </w:pPr>
      <w:r w:rsidRPr="001B723C">
        <w:t>Conducting skills audits and analyses that align with the human settlements education and capacity development strategy of the Department; and</w:t>
      </w:r>
    </w:p>
    <w:p w:rsidR="00057335" w:rsidRPr="001B723C" w:rsidRDefault="00057335" w:rsidP="00057335">
      <w:pPr>
        <w:pStyle w:val="ListParagraph"/>
        <w:numPr>
          <w:ilvl w:val="0"/>
          <w:numId w:val="2"/>
        </w:numPr>
        <w:tabs>
          <w:tab w:val="left" w:pos="284"/>
        </w:tabs>
        <w:autoSpaceDE w:val="0"/>
        <w:autoSpaceDN w:val="0"/>
        <w:adjustRightInd w:val="0"/>
        <w:spacing w:before="100" w:beforeAutospacing="1" w:after="100" w:afterAutospacing="1" w:line="360" w:lineRule="auto"/>
        <w:jc w:val="both"/>
        <w:outlineLvl w:val="0"/>
      </w:pPr>
      <w:r w:rsidRPr="001B723C">
        <w:t xml:space="preserve">Providing solutions to problems faced by the government, CBOs, communities, and NGOs relating to human settlements. </w:t>
      </w:r>
    </w:p>
    <w:p w:rsidR="00057335" w:rsidRPr="001B723C" w:rsidRDefault="00057335" w:rsidP="00057335">
      <w:pPr>
        <w:pStyle w:val="ListParagraph"/>
      </w:pPr>
    </w:p>
    <w:p w:rsidR="009443C0" w:rsidRDefault="009443C0" w:rsidP="00855FC5">
      <w:pPr>
        <w:spacing w:line="360" w:lineRule="auto"/>
        <w:ind w:left="720"/>
        <w:jc w:val="both"/>
        <w:rPr>
          <w:sz w:val="24"/>
          <w:szCs w:val="24"/>
        </w:rPr>
      </w:pPr>
    </w:p>
    <w:p w:rsidR="009443C0" w:rsidRPr="001B723C" w:rsidRDefault="009443C0" w:rsidP="009443C0">
      <w:pPr>
        <w:spacing w:line="360" w:lineRule="auto"/>
        <w:ind w:left="720"/>
        <w:jc w:val="both"/>
        <w:rPr>
          <w:sz w:val="24"/>
          <w:szCs w:val="24"/>
        </w:rPr>
      </w:pPr>
      <w:r>
        <w:rPr>
          <w:sz w:val="24"/>
          <w:szCs w:val="24"/>
        </w:rPr>
        <w:t>Further</w:t>
      </w:r>
      <w:r w:rsidRPr="001B723C">
        <w:rPr>
          <w:sz w:val="24"/>
          <w:szCs w:val="24"/>
        </w:rPr>
        <w:t>, the National Department of Human Settlements has in February 2015 appointed the Council for Scientific and Industrial Research (CSIR) to revise and update the Guidelines for Human Settlements Planning and Design, commonly referred to as the Red Book. The guidelines review project is implemented over three years and is scheduled for completion by the end of the 2017/18 financial year.</w:t>
      </w:r>
    </w:p>
    <w:p w:rsidR="009443C0" w:rsidRPr="001B723C" w:rsidRDefault="009443C0" w:rsidP="009443C0">
      <w:pPr>
        <w:spacing w:line="360" w:lineRule="auto"/>
        <w:ind w:left="1440"/>
        <w:jc w:val="both"/>
        <w:rPr>
          <w:sz w:val="24"/>
          <w:szCs w:val="24"/>
        </w:rPr>
      </w:pPr>
    </w:p>
    <w:p w:rsidR="009443C0" w:rsidRPr="001B723C" w:rsidRDefault="009443C0" w:rsidP="009443C0">
      <w:pPr>
        <w:spacing w:line="360" w:lineRule="auto"/>
        <w:ind w:left="720"/>
        <w:jc w:val="both"/>
        <w:rPr>
          <w:sz w:val="24"/>
          <w:szCs w:val="24"/>
        </w:rPr>
      </w:pPr>
      <w:r w:rsidRPr="001B723C">
        <w:rPr>
          <w:sz w:val="24"/>
          <w:szCs w:val="24"/>
        </w:rPr>
        <w:t xml:space="preserve">The review was necessitated by substantial shifts in policy, priorities, values and the understanding of human settlements that have occurred globally as well as in South Africa in the 15 years since publication of the previous version of guidelines. </w:t>
      </w:r>
    </w:p>
    <w:p w:rsidR="009443C0" w:rsidRDefault="009443C0" w:rsidP="00855FC5">
      <w:pPr>
        <w:spacing w:line="360" w:lineRule="auto"/>
        <w:ind w:left="720"/>
        <w:jc w:val="both"/>
        <w:rPr>
          <w:sz w:val="24"/>
          <w:szCs w:val="24"/>
        </w:rPr>
      </w:pPr>
    </w:p>
    <w:p w:rsidR="00057335" w:rsidRPr="001B723C" w:rsidRDefault="00057335" w:rsidP="00855FC5">
      <w:pPr>
        <w:spacing w:line="360" w:lineRule="auto"/>
        <w:ind w:left="720"/>
        <w:jc w:val="both"/>
        <w:rPr>
          <w:sz w:val="24"/>
          <w:szCs w:val="24"/>
        </w:rPr>
      </w:pPr>
      <w:r w:rsidRPr="001B723C">
        <w:rPr>
          <w:sz w:val="24"/>
          <w:szCs w:val="24"/>
        </w:rPr>
        <w:t>The purpose of the guidelines is to specify the Built Environment performance qualities that should be sought in South African settlements, and to provide practical guidance to users on how these qualities can be practically implemented to create sustainable human settlements.</w:t>
      </w:r>
    </w:p>
    <w:p w:rsidR="00057335" w:rsidRDefault="00057335" w:rsidP="00057335">
      <w:pPr>
        <w:spacing w:line="360" w:lineRule="auto"/>
        <w:ind w:left="1440"/>
        <w:jc w:val="both"/>
        <w:rPr>
          <w:sz w:val="24"/>
          <w:szCs w:val="24"/>
        </w:rPr>
      </w:pPr>
    </w:p>
    <w:p w:rsidR="00683F69" w:rsidRDefault="00683F69" w:rsidP="00057335">
      <w:pPr>
        <w:spacing w:line="360" w:lineRule="auto"/>
        <w:ind w:left="1440"/>
        <w:jc w:val="both"/>
        <w:rPr>
          <w:sz w:val="24"/>
          <w:szCs w:val="24"/>
        </w:rPr>
      </w:pPr>
    </w:p>
    <w:p w:rsidR="00683F69" w:rsidRDefault="00683F69" w:rsidP="00057335">
      <w:pPr>
        <w:spacing w:line="360" w:lineRule="auto"/>
        <w:ind w:left="1440"/>
        <w:jc w:val="both"/>
        <w:rPr>
          <w:sz w:val="24"/>
          <w:szCs w:val="24"/>
        </w:rPr>
      </w:pPr>
    </w:p>
    <w:p w:rsidR="00683F69" w:rsidRDefault="00683F69" w:rsidP="00057335">
      <w:pPr>
        <w:spacing w:line="360" w:lineRule="auto"/>
        <w:ind w:left="1440"/>
        <w:jc w:val="both"/>
        <w:rPr>
          <w:sz w:val="24"/>
          <w:szCs w:val="24"/>
        </w:rPr>
      </w:pPr>
    </w:p>
    <w:p w:rsidR="00683F69" w:rsidRDefault="00683F69" w:rsidP="00057335">
      <w:pPr>
        <w:spacing w:line="360" w:lineRule="auto"/>
        <w:ind w:left="1440"/>
        <w:jc w:val="both"/>
        <w:rPr>
          <w:sz w:val="24"/>
          <w:szCs w:val="24"/>
        </w:rPr>
      </w:pPr>
    </w:p>
    <w:p w:rsidR="00683F69" w:rsidRDefault="00683F69" w:rsidP="00057335">
      <w:pPr>
        <w:spacing w:line="360" w:lineRule="auto"/>
        <w:ind w:left="1440"/>
        <w:jc w:val="both"/>
        <w:rPr>
          <w:sz w:val="24"/>
          <w:szCs w:val="24"/>
        </w:rPr>
      </w:pPr>
    </w:p>
    <w:p w:rsidR="00683F69" w:rsidRPr="001B723C" w:rsidRDefault="00683F69" w:rsidP="00057335">
      <w:pPr>
        <w:spacing w:line="360" w:lineRule="auto"/>
        <w:ind w:left="1440"/>
        <w:jc w:val="both"/>
        <w:rPr>
          <w:sz w:val="24"/>
          <w:szCs w:val="24"/>
        </w:rPr>
      </w:pPr>
    </w:p>
    <w:p w:rsidR="00057335" w:rsidRPr="001B723C" w:rsidRDefault="00971F3C" w:rsidP="00057335">
      <w:pPr>
        <w:tabs>
          <w:tab w:val="left" w:pos="284"/>
        </w:tabs>
        <w:autoSpaceDE w:val="0"/>
        <w:autoSpaceDN w:val="0"/>
        <w:adjustRightInd w:val="0"/>
        <w:spacing w:before="100" w:beforeAutospacing="1" w:after="100" w:afterAutospacing="1" w:line="360" w:lineRule="auto"/>
        <w:ind w:left="360"/>
        <w:jc w:val="both"/>
        <w:outlineLvl w:val="0"/>
        <w:rPr>
          <w:sz w:val="24"/>
          <w:szCs w:val="24"/>
        </w:rPr>
      </w:pPr>
      <w:r>
        <w:rPr>
          <w:sz w:val="24"/>
          <w:szCs w:val="24"/>
        </w:rPr>
        <w:tab/>
      </w:r>
      <w:r w:rsidR="002704B3">
        <w:rPr>
          <w:sz w:val="24"/>
          <w:szCs w:val="24"/>
        </w:rPr>
        <w:t>(</w:t>
      </w:r>
      <w:proofErr w:type="gramStart"/>
      <w:r w:rsidR="002704B3">
        <w:rPr>
          <w:sz w:val="24"/>
          <w:szCs w:val="24"/>
        </w:rPr>
        <w:t>bb</w:t>
      </w:r>
      <w:proofErr w:type="gramEnd"/>
      <w:r w:rsidR="002704B3">
        <w:rPr>
          <w:sz w:val="24"/>
          <w:szCs w:val="24"/>
        </w:rPr>
        <w:t>)</w:t>
      </w:r>
      <w:r w:rsidR="002704B3">
        <w:rPr>
          <w:sz w:val="24"/>
          <w:szCs w:val="24"/>
        </w:rPr>
        <w:tab/>
      </w:r>
      <w:r w:rsidR="00057335" w:rsidRPr="001B723C">
        <w:rPr>
          <w:sz w:val="24"/>
          <w:szCs w:val="24"/>
        </w:rPr>
        <w:t xml:space="preserve">The </w:t>
      </w:r>
      <w:proofErr w:type="gramStart"/>
      <w:r w:rsidR="00057335" w:rsidRPr="001B723C">
        <w:rPr>
          <w:sz w:val="24"/>
          <w:szCs w:val="24"/>
        </w:rPr>
        <w:t>amount paid to the two universities are</w:t>
      </w:r>
      <w:proofErr w:type="gramEnd"/>
      <w:r w:rsidR="00057335" w:rsidRPr="001B723C">
        <w:rPr>
          <w:sz w:val="24"/>
          <w:szCs w:val="24"/>
        </w:rPr>
        <w:t xml:space="preserve"> as tabulated below:</w:t>
      </w:r>
    </w:p>
    <w:tbl>
      <w:tblPr>
        <w:tblW w:w="948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283"/>
        <w:gridCol w:w="3693"/>
      </w:tblGrid>
      <w:tr w:rsidR="00057335" w:rsidRPr="0070099E" w:rsidTr="0070099E">
        <w:tc>
          <w:tcPr>
            <w:tcW w:w="3510" w:type="dxa"/>
            <w:shd w:val="clear" w:color="auto" w:fill="D9D9D9"/>
          </w:tcPr>
          <w:p w:rsidR="00057335" w:rsidRPr="0070099E" w:rsidRDefault="00057335" w:rsidP="0070099E">
            <w:pPr>
              <w:pStyle w:val="ListParagraph"/>
              <w:tabs>
                <w:tab w:val="left" w:pos="284"/>
              </w:tabs>
              <w:autoSpaceDE w:val="0"/>
              <w:autoSpaceDN w:val="0"/>
              <w:adjustRightInd w:val="0"/>
              <w:spacing w:before="100" w:beforeAutospacing="1" w:after="100" w:afterAutospacing="1" w:line="360" w:lineRule="auto"/>
              <w:ind w:left="0"/>
              <w:jc w:val="center"/>
              <w:outlineLvl w:val="0"/>
              <w:rPr>
                <w:b/>
              </w:rPr>
            </w:pPr>
            <w:r w:rsidRPr="0070099E">
              <w:rPr>
                <w:b/>
              </w:rPr>
              <w:t>University</w:t>
            </w:r>
          </w:p>
        </w:tc>
        <w:tc>
          <w:tcPr>
            <w:tcW w:w="2283" w:type="dxa"/>
            <w:shd w:val="clear" w:color="auto" w:fill="D9D9D9"/>
          </w:tcPr>
          <w:p w:rsidR="00057335" w:rsidRPr="0070099E" w:rsidRDefault="00057335" w:rsidP="0070099E">
            <w:pPr>
              <w:pStyle w:val="ListParagraph"/>
              <w:tabs>
                <w:tab w:val="left" w:pos="284"/>
              </w:tabs>
              <w:autoSpaceDE w:val="0"/>
              <w:autoSpaceDN w:val="0"/>
              <w:adjustRightInd w:val="0"/>
              <w:spacing w:before="100" w:beforeAutospacing="1" w:after="100" w:afterAutospacing="1" w:line="360" w:lineRule="auto"/>
              <w:ind w:left="0"/>
              <w:jc w:val="center"/>
              <w:outlineLvl w:val="0"/>
              <w:rPr>
                <w:b/>
              </w:rPr>
            </w:pPr>
            <w:r w:rsidRPr="0070099E">
              <w:rPr>
                <w:b/>
              </w:rPr>
              <w:t>Period</w:t>
            </w:r>
          </w:p>
        </w:tc>
        <w:tc>
          <w:tcPr>
            <w:tcW w:w="3693" w:type="dxa"/>
            <w:shd w:val="clear" w:color="auto" w:fill="D9D9D9"/>
          </w:tcPr>
          <w:p w:rsidR="00057335" w:rsidRPr="0070099E" w:rsidRDefault="00057335" w:rsidP="0070099E">
            <w:pPr>
              <w:pStyle w:val="ListParagraph"/>
              <w:tabs>
                <w:tab w:val="left" w:pos="284"/>
              </w:tabs>
              <w:autoSpaceDE w:val="0"/>
              <w:autoSpaceDN w:val="0"/>
              <w:adjustRightInd w:val="0"/>
              <w:spacing w:before="100" w:beforeAutospacing="1" w:after="100" w:afterAutospacing="1" w:line="360" w:lineRule="auto"/>
              <w:ind w:left="0"/>
              <w:jc w:val="center"/>
              <w:outlineLvl w:val="0"/>
              <w:rPr>
                <w:b/>
              </w:rPr>
            </w:pPr>
            <w:r w:rsidRPr="0070099E">
              <w:rPr>
                <w:b/>
              </w:rPr>
              <w:t>Funding amount</w:t>
            </w:r>
          </w:p>
        </w:tc>
      </w:tr>
      <w:tr w:rsidR="00057335" w:rsidRPr="0070099E" w:rsidTr="0070099E">
        <w:tc>
          <w:tcPr>
            <w:tcW w:w="3510" w:type="dxa"/>
            <w:shd w:val="clear" w:color="auto" w:fill="auto"/>
          </w:tcPr>
          <w:p w:rsidR="00057335" w:rsidRPr="0070099E" w:rsidRDefault="00057335" w:rsidP="009812B8">
            <w:pPr>
              <w:pStyle w:val="NoSpacing"/>
              <w:rPr>
                <w:sz w:val="24"/>
                <w:szCs w:val="24"/>
              </w:rPr>
            </w:pPr>
            <w:r w:rsidRPr="0070099E">
              <w:rPr>
                <w:sz w:val="24"/>
                <w:szCs w:val="24"/>
              </w:rPr>
              <w:t>Nelson Mandela Metropolitan University (N</w:t>
            </w:r>
            <w:r w:rsidR="009812B8" w:rsidRPr="0070099E">
              <w:rPr>
                <w:sz w:val="24"/>
                <w:szCs w:val="24"/>
              </w:rPr>
              <w:t>MMU</w:t>
            </w:r>
            <w:r w:rsidRPr="0070099E">
              <w:rPr>
                <w:sz w:val="24"/>
                <w:szCs w:val="24"/>
              </w:rPr>
              <w:t>)</w:t>
            </w:r>
          </w:p>
        </w:tc>
        <w:tc>
          <w:tcPr>
            <w:tcW w:w="2283" w:type="dxa"/>
            <w:shd w:val="clear" w:color="auto" w:fill="auto"/>
          </w:tcPr>
          <w:p w:rsidR="00057335" w:rsidRPr="0070099E" w:rsidRDefault="00057335" w:rsidP="00825CCE">
            <w:pPr>
              <w:pStyle w:val="NoSpacing"/>
              <w:rPr>
                <w:sz w:val="24"/>
                <w:szCs w:val="24"/>
              </w:rPr>
            </w:pPr>
            <w:r w:rsidRPr="0070099E">
              <w:rPr>
                <w:sz w:val="24"/>
                <w:szCs w:val="24"/>
              </w:rPr>
              <w:t>2013/14 To 2015/16</w:t>
            </w:r>
          </w:p>
        </w:tc>
        <w:tc>
          <w:tcPr>
            <w:tcW w:w="3693" w:type="dxa"/>
            <w:shd w:val="clear" w:color="auto" w:fill="auto"/>
          </w:tcPr>
          <w:p w:rsidR="00057335" w:rsidRPr="0070099E" w:rsidRDefault="00057335" w:rsidP="0070099E">
            <w:pPr>
              <w:pStyle w:val="NoSpacing"/>
              <w:jc w:val="right"/>
              <w:rPr>
                <w:sz w:val="24"/>
                <w:szCs w:val="24"/>
              </w:rPr>
            </w:pPr>
            <w:r w:rsidRPr="0070099E">
              <w:rPr>
                <w:sz w:val="24"/>
                <w:szCs w:val="24"/>
              </w:rPr>
              <w:t>R11, 538, 000, 00</w:t>
            </w:r>
          </w:p>
        </w:tc>
      </w:tr>
      <w:tr w:rsidR="00057335" w:rsidRPr="0070099E" w:rsidTr="0070099E">
        <w:tc>
          <w:tcPr>
            <w:tcW w:w="3510" w:type="dxa"/>
            <w:tcBorders>
              <w:bottom w:val="single" w:sz="4" w:space="0" w:color="auto"/>
            </w:tcBorders>
            <w:shd w:val="clear" w:color="auto" w:fill="auto"/>
          </w:tcPr>
          <w:p w:rsidR="00057335" w:rsidRPr="0070099E" w:rsidRDefault="00057335" w:rsidP="00825CCE">
            <w:pPr>
              <w:pStyle w:val="NoSpacing"/>
              <w:rPr>
                <w:sz w:val="24"/>
                <w:szCs w:val="24"/>
              </w:rPr>
            </w:pPr>
            <w:proofErr w:type="spellStart"/>
            <w:r w:rsidRPr="0070099E">
              <w:rPr>
                <w:sz w:val="24"/>
                <w:szCs w:val="24"/>
              </w:rPr>
              <w:t>Mangosuthu</w:t>
            </w:r>
            <w:proofErr w:type="spellEnd"/>
            <w:r w:rsidRPr="0070099E">
              <w:rPr>
                <w:sz w:val="24"/>
                <w:szCs w:val="24"/>
              </w:rPr>
              <w:t xml:space="preserve"> University Of Technology (MUT)</w:t>
            </w:r>
          </w:p>
        </w:tc>
        <w:tc>
          <w:tcPr>
            <w:tcW w:w="2283" w:type="dxa"/>
            <w:tcBorders>
              <w:bottom w:val="single" w:sz="4" w:space="0" w:color="auto"/>
            </w:tcBorders>
            <w:shd w:val="clear" w:color="auto" w:fill="auto"/>
          </w:tcPr>
          <w:p w:rsidR="00057335" w:rsidRPr="0070099E" w:rsidRDefault="00057335" w:rsidP="00825CCE">
            <w:pPr>
              <w:pStyle w:val="NoSpacing"/>
              <w:rPr>
                <w:sz w:val="24"/>
                <w:szCs w:val="24"/>
              </w:rPr>
            </w:pPr>
            <w:r w:rsidRPr="0070099E">
              <w:rPr>
                <w:sz w:val="24"/>
                <w:szCs w:val="24"/>
              </w:rPr>
              <w:t>2016/17</w:t>
            </w:r>
          </w:p>
        </w:tc>
        <w:tc>
          <w:tcPr>
            <w:tcW w:w="3693" w:type="dxa"/>
            <w:tcBorders>
              <w:bottom w:val="single" w:sz="4" w:space="0" w:color="auto"/>
            </w:tcBorders>
            <w:shd w:val="clear" w:color="auto" w:fill="auto"/>
          </w:tcPr>
          <w:p w:rsidR="00057335" w:rsidRPr="0070099E" w:rsidRDefault="00057335" w:rsidP="0070099E">
            <w:pPr>
              <w:pStyle w:val="NoSpacing"/>
              <w:jc w:val="right"/>
              <w:rPr>
                <w:sz w:val="24"/>
                <w:szCs w:val="24"/>
              </w:rPr>
            </w:pPr>
            <w:r w:rsidRPr="0070099E">
              <w:rPr>
                <w:sz w:val="24"/>
                <w:szCs w:val="24"/>
              </w:rPr>
              <w:t xml:space="preserve">  R3, 500, 000, 00</w:t>
            </w:r>
          </w:p>
        </w:tc>
      </w:tr>
      <w:tr w:rsidR="00057335" w:rsidRPr="0070099E" w:rsidTr="0070099E">
        <w:tc>
          <w:tcPr>
            <w:tcW w:w="5793" w:type="dxa"/>
            <w:gridSpan w:val="2"/>
            <w:shd w:val="clear" w:color="auto" w:fill="D9D9D9"/>
          </w:tcPr>
          <w:p w:rsidR="00057335" w:rsidRPr="0070099E" w:rsidRDefault="00057335" w:rsidP="0070099E">
            <w:pPr>
              <w:pStyle w:val="ListParagraph"/>
              <w:tabs>
                <w:tab w:val="left" w:pos="284"/>
              </w:tabs>
              <w:autoSpaceDE w:val="0"/>
              <w:autoSpaceDN w:val="0"/>
              <w:adjustRightInd w:val="0"/>
              <w:spacing w:before="100" w:beforeAutospacing="1" w:after="100" w:afterAutospacing="1" w:line="360" w:lineRule="auto"/>
              <w:ind w:left="0"/>
              <w:jc w:val="both"/>
              <w:outlineLvl w:val="0"/>
              <w:rPr>
                <w:b/>
              </w:rPr>
            </w:pPr>
            <w:r w:rsidRPr="0070099E">
              <w:rPr>
                <w:b/>
              </w:rPr>
              <w:t>Total Amount Paid To Universities</w:t>
            </w:r>
          </w:p>
        </w:tc>
        <w:tc>
          <w:tcPr>
            <w:tcW w:w="3693" w:type="dxa"/>
            <w:shd w:val="clear" w:color="auto" w:fill="D9D9D9"/>
          </w:tcPr>
          <w:p w:rsidR="00057335" w:rsidRPr="0070099E" w:rsidRDefault="00057335" w:rsidP="0070099E">
            <w:pPr>
              <w:pStyle w:val="ListParagraph"/>
              <w:tabs>
                <w:tab w:val="left" w:pos="284"/>
              </w:tabs>
              <w:autoSpaceDE w:val="0"/>
              <w:autoSpaceDN w:val="0"/>
              <w:adjustRightInd w:val="0"/>
              <w:spacing w:before="100" w:beforeAutospacing="1" w:after="100" w:afterAutospacing="1" w:line="360" w:lineRule="auto"/>
              <w:ind w:left="0"/>
              <w:jc w:val="right"/>
              <w:outlineLvl w:val="0"/>
              <w:rPr>
                <w:b/>
              </w:rPr>
            </w:pPr>
            <w:r w:rsidRPr="0070099E">
              <w:rPr>
                <w:b/>
              </w:rPr>
              <w:t>R15, 038, 000, 00</w:t>
            </w:r>
          </w:p>
        </w:tc>
      </w:tr>
    </w:tbl>
    <w:p w:rsidR="00057335" w:rsidRPr="001B723C" w:rsidRDefault="00057335" w:rsidP="00057335">
      <w:pPr>
        <w:rPr>
          <w:b/>
          <w:sz w:val="24"/>
          <w:szCs w:val="24"/>
        </w:rPr>
      </w:pPr>
    </w:p>
    <w:p w:rsidR="00057335" w:rsidRPr="001B723C" w:rsidRDefault="00057335" w:rsidP="00057335">
      <w:pPr>
        <w:rPr>
          <w:b/>
          <w:sz w:val="24"/>
          <w:szCs w:val="24"/>
        </w:rPr>
      </w:pPr>
    </w:p>
    <w:p w:rsidR="00057335" w:rsidRPr="001B723C" w:rsidRDefault="00057335" w:rsidP="00057335">
      <w:pPr>
        <w:spacing w:line="360" w:lineRule="auto"/>
        <w:ind w:left="720"/>
        <w:jc w:val="both"/>
        <w:rPr>
          <w:sz w:val="24"/>
          <w:szCs w:val="24"/>
        </w:rPr>
      </w:pPr>
      <w:r w:rsidRPr="001B723C">
        <w:rPr>
          <w:sz w:val="24"/>
          <w:szCs w:val="24"/>
        </w:rPr>
        <w:t xml:space="preserve">The total amount </w:t>
      </w:r>
      <w:r w:rsidR="00825CCE" w:rsidRPr="001B723C">
        <w:rPr>
          <w:sz w:val="24"/>
          <w:szCs w:val="24"/>
        </w:rPr>
        <w:t xml:space="preserve">contracted </w:t>
      </w:r>
      <w:r w:rsidRPr="001B723C">
        <w:rPr>
          <w:sz w:val="24"/>
          <w:szCs w:val="24"/>
        </w:rPr>
        <w:t xml:space="preserve">for the revision of the guidelines, is </w:t>
      </w:r>
      <w:r w:rsidRPr="001B723C">
        <w:rPr>
          <w:b/>
          <w:sz w:val="24"/>
          <w:szCs w:val="24"/>
        </w:rPr>
        <w:t>R19 932 574.00</w:t>
      </w:r>
      <w:r w:rsidRPr="001B723C">
        <w:rPr>
          <w:sz w:val="24"/>
          <w:szCs w:val="24"/>
        </w:rPr>
        <w:t xml:space="preserve"> (Vat included) and is paid in tranches in line with quarterly deliverables. To date </w:t>
      </w:r>
      <w:r w:rsidRPr="001B723C">
        <w:rPr>
          <w:b/>
          <w:sz w:val="24"/>
          <w:szCs w:val="24"/>
        </w:rPr>
        <w:t>R10 702 775.74</w:t>
      </w:r>
      <w:r w:rsidRPr="001B723C">
        <w:rPr>
          <w:sz w:val="24"/>
          <w:szCs w:val="24"/>
        </w:rPr>
        <w:t xml:space="preserve"> has been transferred to the CSIR for work completed. </w:t>
      </w:r>
    </w:p>
    <w:p w:rsidR="00825CCE" w:rsidRPr="001B723C" w:rsidRDefault="00825CCE" w:rsidP="00057335">
      <w:pPr>
        <w:spacing w:line="360" w:lineRule="auto"/>
        <w:ind w:left="720"/>
        <w:jc w:val="both"/>
        <w:rPr>
          <w:sz w:val="24"/>
          <w:szCs w:val="24"/>
        </w:rPr>
      </w:pPr>
    </w:p>
    <w:p w:rsidR="00057335" w:rsidRPr="001B723C" w:rsidRDefault="00057335" w:rsidP="00057335">
      <w:pPr>
        <w:tabs>
          <w:tab w:val="left" w:pos="284"/>
        </w:tabs>
        <w:spacing w:before="100" w:beforeAutospacing="1" w:after="100" w:afterAutospacing="1" w:line="360" w:lineRule="auto"/>
        <w:outlineLvl w:val="0"/>
        <w:rPr>
          <w:b/>
          <w:sz w:val="24"/>
          <w:szCs w:val="24"/>
          <w:lang w:val="en-ZA"/>
        </w:rPr>
      </w:pPr>
      <w:r w:rsidRPr="001B723C">
        <w:rPr>
          <w:b/>
          <w:sz w:val="24"/>
          <w:szCs w:val="24"/>
          <w:lang w:val="en-ZA"/>
        </w:rPr>
        <w:t xml:space="preserve">(b) </w:t>
      </w:r>
      <w:r w:rsidR="00855FC5" w:rsidRPr="001B723C">
        <w:rPr>
          <w:b/>
          <w:sz w:val="24"/>
          <w:szCs w:val="24"/>
          <w:lang w:val="en-ZA"/>
        </w:rPr>
        <w:tab/>
      </w:r>
      <w:r w:rsidRPr="001B723C">
        <w:rPr>
          <w:b/>
          <w:sz w:val="24"/>
          <w:szCs w:val="24"/>
          <w:lang w:val="en-ZA"/>
        </w:rPr>
        <w:t>Entities reporting to the Minister</w:t>
      </w:r>
    </w:p>
    <w:p w:rsidR="002704B3" w:rsidRDefault="00057335" w:rsidP="00855FC5">
      <w:pPr>
        <w:tabs>
          <w:tab w:val="left" w:pos="630"/>
          <w:tab w:val="left" w:pos="900"/>
        </w:tabs>
        <w:spacing w:line="360" w:lineRule="auto"/>
        <w:ind w:left="630"/>
        <w:jc w:val="both"/>
        <w:outlineLvl w:val="0"/>
        <w:rPr>
          <w:sz w:val="24"/>
          <w:szCs w:val="24"/>
        </w:rPr>
      </w:pPr>
      <w:r w:rsidRPr="001B723C">
        <w:rPr>
          <w:sz w:val="24"/>
          <w:szCs w:val="24"/>
          <w:lang w:val="en-ZA"/>
        </w:rPr>
        <w:t xml:space="preserve">Of the eight entities reporting to me, it is only the </w:t>
      </w:r>
      <w:r w:rsidRPr="001B723C">
        <w:rPr>
          <w:sz w:val="24"/>
          <w:szCs w:val="24"/>
        </w:rPr>
        <w:t xml:space="preserve">National Housing Finance Corporation </w:t>
      </w:r>
      <w:r w:rsidR="00971F3C">
        <w:rPr>
          <w:sz w:val="24"/>
          <w:szCs w:val="24"/>
        </w:rPr>
        <w:t xml:space="preserve">that </w:t>
      </w:r>
      <w:r w:rsidR="00971F3C" w:rsidRPr="001B723C">
        <w:rPr>
          <w:sz w:val="24"/>
          <w:szCs w:val="24"/>
        </w:rPr>
        <w:t>is</w:t>
      </w:r>
      <w:r w:rsidR="00971F3C">
        <w:rPr>
          <w:sz w:val="24"/>
          <w:szCs w:val="24"/>
        </w:rPr>
        <w:t xml:space="preserve"> </w:t>
      </w:r>
      <w:r w:rsidR="00825CCE" w:rsidRPr="001B723C">
        <w:rPr>
          <w:sz w:val="24"/>
          <w:szCs w:val="24"/>
        </w:rPr>
        <w:t>fun</w:t>
      </w:r>
      <w:r w:rsidR="00971F3C">
        <w:rPr>
          <w:sz w:val="24"/>
          <w:szCs w:val="24"/>
        </w:rPr>
        <w:t>ding an institution</w:t>
      </w:r>
      <w:r w:rsidR="00825CCE" w:rsidRPr="001B723C">
        <w:rPr>
          <w:sz w:val="24"/>
          <w:szCs w:val="24"/>
        </w:rPr>
        <w:t xml:space="preserve">. </w:t>
      </w:r>
    </w:p>
    <w:p w:rsidR="002704B3" w:rsidRDefault="002704B3" w:rsidP="00855FC5">
      <w:pPr>
        <w:tabs>
          <w:tab w:val="left" w:pos="630"/>
          <w:tab w:val="left" w:pos="900"/>
        </w:tabs>
        <w:spacing w:line="360" w:lineRule="auto"/>
        <w:ind w:left="630"/>
        <w:jc w:val="both"/>
        <w:outlineLvl w:val="0"/>
        <w:rPr>
          <w:sz w:val="24"/>
          <w:szCs w:val="24"/>
        </w:rPr>
      </w:pPr>
    </w:p>
    <w:p w:rsidR="00057335" w:rsidRPr="001B723C" w:rsidRDefault="002704B3" w:rsidP="00855FC5">
      <w:pPr>
        <w:tabs>
          <w:tab w:val="left" w:pos="630"/>
          <w:tab w:val="left" w:pos="900"/>
        </w:tabs>
        <w:spacing w:line="360" w:lineRule="auto"/>
        <w:ind w:left="630"/>
        <w:jc w:val="both"/>
        <w:outlineLvl w:val="0"/>
        <w:rPr>
          <w:sz w:val="24"/>
          <w:szCs w:val="24"/>
        </w:rPr>
      </w:pPr>
      <w:r>
        <w:rPr>
          <w:sz w:val="24"/>
          <w:szCs w:val="24"/>
        </w:rPr>
        <w:t>(</w:t>
      </w:r>
      <w:proofErr w:type="gramStart"/>
      <w:r>
        <w:rPr>
          <w:sz w:val="24"/>
          <w:szCs w:val="24"/>
        </w:rPr>
        <w:t>bb</w:t>
      </w:r>
      <w:proofErr w:type="gramEnd"/>
      <w:r>
        <w:rPr>
          <w:sz w:val="24"/>
          <w:szCs w:val="24"/>
        </w:rPr>
        <w:t xml:space="preserve">) </w:t>
      </w:r>
      <w:r w:rsidR="00825CCE" w:rsidRPr="001B723C">
        <w:rPr>
          <w:sz w:val="24"/>
          <w:szCs w:val="24"/>
        </w:rPr>
        <w:t>The details of the funding arrangements are provided below:</w:t>
      </w:r>
    </w:p>
    <w:p w:rsidR="00855FC5" w:rsidRPr="001B723C" w:rsidRDefault="00855FC5" w:rsidP="00855FC5">
      <w:pPr>
        <w:tabs>
          <w:tab w:val="left" w:pos="630"/>
          <w:tab w:val="left" w:pos="900"/>
        </w:tabs>
        <w:spacing w:line="360" w:lineRule="auto"/>
        <w:ind w:left="630"/>
        <w:jc w:val="both"/>
        <w:outlineLvl w:val="0"/>
        <w:rPr>
          <w:sz w:val="24"/>
          <w:szCs w:val="24"/>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2268"/>
        <w:gridCol w:w="1560"/>
        <w:gridCol w:w="1842"/>
      </w:tblGrid>
      <w:tr w:rsidR="00057335" w:rsidRPr="0070099E" w:rsidTr="0070099E">
        <w:tc>
          <w:tcPr>
            <w:tcW w:w="1985" w:type="dxa"/>
            <w:shd w:val="clear" w:color="auto" w:fill="D5DCE4"/>
          </w:tcPr>
          <w:p w:rsidR="00057335" w:rsidRPr="0070099E" w:rsidRDefault="00057335" w:rsidP="0070099E">
            <w:pPr>
              <w:rPr>
                <w:sz w:val="24"/>
                <w:szCs w:val="24"/>
              </w:rPr>
            </w:pPr>
            <w:r w:rsidRPr="0070099E">
              <w:rPr>
                <w:sz w:val="24"/>
                <w:szCs w:val="24"/>
              </w:rPr>
              <w:t xml:space="preserve"> Domestically / Internationally </w:t>
            </w:r>
          </w:p>
        </w:tc>
        <w:tc>
          <w:tcPr>
            <w:tcW w:w="1984" w:type="dxa"/>
            <w:shd w:val="clear" w:color="auto" w:fill="D5DCE4"/>
          </w:tcPr>
          <w:p w:rsidR="00057335" w:rsidRPr="0070099E" w:rsidRDefault="002704B3" w:rsidP="0070099E">
            <w:pPr>
              <w:rPr>
                <w:sz w:val="24"/>
                <w:szCs w:val="24"/>
              </w:rPr>
            </w:pPr>
            <w:r w:rsidRPr="0070099E">
              <w:rPr>
                <w:sz w:val="24"/>
                <w:szCs w:val="24"/>
              </w:rPr>
              <w:t xml:space="preserve">Name Of The Institution </w:t>
            </w:r>
          </w:p>
        </w:tc>
        <w:tc>
          <w:tcPr>
            <w:tcW w:w="2268" w:type="dxa"/>
            <w:shd w:val="clear" w:color="auto" w:fill="D5DCE4"/>
          </w:tcPr>
          <w:p w:rsidR="00057335" w:rsidRPr="0070099E" w:rsidRDefault="002704B3" w:rsidP="0070099E">
            <w:pPr>
              <w:rPr>
                <w:sz w:val="24"/>
                <w:szCs w:val="24"/>
              </w:rPr>
            </w:pPr>
            <w:r w:rsidRPr="0070099E">
              <w:rPr>
                <w:sz w:val="24"/>
                <w:szCs w:val="24"/>
              </w:rPr>
              <w:t xml:space="preserve">Function </w:t>
            </w:r>
          </w:p>
        </w:tc>
        <w:tc>
          <w:tcPr>
            <w:tcW w:w="1560" w:type="dxa"/>
            <w:shd w:val="clear" w:color="auto" w:fill="D5DCE4"/>
          </w:tcPr>
          <w:p w:rsidR="00057335" w:rsidRPr="0070099E" w:rsidRDefault="002704B3" w:rsidP="0070099E">
            <w:pPr>
              <w:rPr>
                <w:sz w:val="24"/>
                <w:szCs w:val="24"/>
              </w:rPr>
            </w:pPr>
            <w:r w:rsidRPr="0070099E">
              <w:rPr>
                <w:sz w:val="24"/>
                <w:szCs w:val="24"/>
              </w:rPr>
              <w:t xml:space="preserve">Date </w:t>
            </w:r>
          </w:p>
        </w:tc>
        <w:tc>
          <w:tcPr>
            <w:tcW w:w="1842" w:type="dxa"/>
            <w:shd w:val="clear" w:color="auto" w:fill="D5DCE4"/>
          </w:tcPr>
          <w:p w:rsidR="00057335" w:rsidRPr="0070099E" w:rsidRDefault="002704B3" w:rsidP="0070099E">
            <w:pPr>
              <w:rPr>
                <w:sz w:val="24"/>
                <w:szCs w:val="24"/>
              </w:rPr>
            </w:pPr>
            <w:r w:rsidRPr="0070099E">
              <w:rPr>
                <w:sz w:val="24"/>
                <w:szCs w:val="24"/>
              </w:rPr>
              <w:t xml:space="preserve">Amount </w:t>
            </w:r>
          </w:p>
        </w:tc>
      </w:tr>
      <w:tr w:rsidR="00057335" w:rsidRPr="0070099E" w:rsidTr="0070099E">
        <w:tc>
          <w:tcPr>
            <w:tcW w:w="1985" w:type="dxa"/>
            <w:shd w:val="clear" w:color="auto" w:fill="auto"/>
          </w:tcPr>
          <w:p w:rsidR="00057335" w:rsidRPr="0070099E" w:rsidRDefault="00057335" w:rsidP="0070099E">
            <w:pPr>
              <w:rPr>
                <w:sz w:val="24"/>
                <w:szCs w:val="24"/>
              </w:rPr>
            </w:pPr>
            <w:r w:rsidRPr="0070099E">
              <w:rPr>
                <w:sz w:val="24"/>
                <w:szCs w:val="24"/>
              </w:rPr>
              <w:t>(</w:t>
            </w:r>
            <w:proofErr w:type="spellStart"/>
            <w:r w:rsidRPr="0070099E">
              <w:rPr>
                <w:sz w:val="24"/>
                <w:szCs w:val="24"/>
              </w:rPr>
              <w:t>i</w:t>
            </w:r>
            <w:proofErr w:type="spellEnd"/>
            <w:r w:rsidRPr="0070099E">
              <w:rPr>
                <w:sz w:val="24"/>
                <w:szCs w:val="24"/>
              </w:rPr>
              <w:t>) Domestically</w:t>
            </w:r>
          </w:p>
        </w:tc>
        <w:tc>
          <w:tcPr>
            <w:tcW w:w="1984" w:type="dxa"/>
            <w:shd w:val="clear" w:color="auto" w:fill="auto"/>
          </w:tcPr>
          <w:p w:rsidR="00057335" w:rsidRPr="0070099E" w:rsidRDefault="00057335" w:rsidP="0070099E">
            <w:pPr>
              <w:rPr>
                <w:sz w:val="24"/>
                <w:szCs w:val="24"/>
              </w:rPr>
            </w:pPr>
            <w:r w:rsidRPr="0070099E">
              <w:rPr>
                <w:sz w:val="24"/>
                <w:szCs w:val="24"/>
              </w:rPr>
              <w:t>Centre for Affordable Housing Finance in Africa (CAHF)</w:t>
            </w:r>
          </w:p>
        </w:tc>
        <w:tc>
          <w:tcPr>
            <w:tcW w:w="2268" w:type="dxa"/>
            <w:shd w:val="clear" w:color="auto" w:fill="auto"/>
          </w:tcPr>
          <w:p w:rsidR="00057335" w:rsidRPr="0070099E" w:rsidRDefault="00057335" w:rsidP="0070099E">
            <w:pPr>
              <w:rPr>
                <w:sz w:val="24"/>
                <w:szCs w:val="24"/>
              </w:rPr>
            </w:pPr>
            <w:r w:rsidRPr="0070099E">
              <w:rPr>
                <w:sz w:val="24"/>
                <w:szCs w:val="24"/>
              </w:rPr>
              <w:t>Strategic partnership with research specialist in the field of affordable housing to capacitate and strengthen research capability.</w:t>
            </w:r>
          </w:p>
        </w:tc>
        <w:tc>
          <w:tcPr>
            <w:tcW w:w="1560" w:type="dxa"/>
            <w:shd w:val="clear" w:color="auto" w:fill="auto"/>
          </w:tcPr>
          <w:p w:rsidR="00057335" w:rsidRPr="0070099E" w:rsidRDefault="00057335" w:rsidP="0070099E">
            <w:pPr>
              <w:rPr>
                <w:sz w:val="24"/>
                <w:szCs w:val="24"/>
              </w:rPr>
            </w:pPr>
            <w:r w:rsidRPr="0070099E">
              <w:rPr>
                <w:sz w:val="24"/>
                <w:szCs w:val="24"/>
              </w:rPr>
              <w:t>2014 - 2017</w:t>
            </w:r>
          </w:p>
        </w:tc>
        <w:tc>
          <w:tcPr>
            <w:tcW w:w="1842" w:type="dxa"/>
            <w:shd w:val="clear" w:color="auto" w:fill="auto"/>
          </w:tcPr>
          <w:p w:rsidR="00057335" w:rsidRPr="0070099E" w:rsidRDefault="00057335" w:rsidP="0070099E">
            <w:pPr>
              <w:jc w:val="right"/>
              <w:rPr>
                <w:sz w:val="24"/>
                <w:szCs w:val="24"/>
              </w:rPr>
            </w:pPr>
            <w:r w:rsidRPr="0070099E">
              <w:rPr>
                <w:sz w:val="24"/>
                <w:szCs w:val="24"/>
              </w:rPr>
              <w:t>R3 424 243</w:t>
            </w:r>
          </w:p>
        </w:tc>
      </w:tr>
      <w:tr w:rsidR="00057335" w:rsidRPr="0070099E" w:rsidTr="0070099E">
        <w:tc>
          <w:tcPr>
            <w:tcW w:w="1985" w:type="dxa"/>
            <w:shd w:val="clear" w:color="auto" w:fill="auto"/>
          </w:tcPr>
          <w:p w:rsidR="00057335" w:rsidRPr="0070099E" w:rsidRDefault="00057335" w:rsidP="0070099E">
            <w:pPr>
              <w:rPr>
                <w:sz w:val="24"/>
                <w:szCs w:val="24"/>
              </w:rPr>
            </w:pPr>
            <w:r w:rsidRPr="0070099E">
              <w:rPr>
                <w:sz w:val="24"/>
                <w:szCs w:val="24"/>
              </w:rPr>
              <w:t>(ii) Internationally</w:t>
            </w:r>
          </w:p>
        </w:tc>
        <w:tc>
          <w:tcPr>
            <w:tcW w:w="1984" w:type="dxa"/>
            <w:shd w:val="clear" w:color="auto" w:fill="auto"/>
          </w:tcPr>
          <w:p w:rsidR="00057335" w:rsidRPr="0070099E" w:rsidRDefault="00057335" w:rsidP="0070099E">
            <w:pPr>
              <w:rPr>
                <w:sz w:val="24"/>
                <w:szCs w:val="24"/>
              </w:rPr>
            </w:pPr>
            <w:r w:rsidRPr="0070099E">
              <w:rPr>
                <w:sz w:val="24"/>
                <w:szCs w:val="24"/>
              </w:rPr>
              <w:t xml:space="preserve">None </w:t>
            </w:r>
          </w:p>
        </w:tc>
        <w:tc>
          <w:tcPr>
            <w:tcW w:w="2268" w:type="dxa"/>
            <w:shd w:val="clear" w:color="auto" w:fill="auto"/>
          </w:tcPr>
          <w:p w:rsidR="00057335" w:rsidRPr="0070099E" w:rsidRDefault="00057335" w:rsidP="0070099E">
            <w:pPr>
              <w:rPr>
                <w:sz w:val="24"/>
                <w:szCs w:val="24"/>
              </w:rPr>
            </w:pPr>
            <w:r w:rsidRPr="0070099E">
              <w:rPr>
                <w:sz w:val="24"/>
                <w:szCs w:val="24"/>
              </w:rPr>
              <w:t>None</w:t>
            </w:r>
          </w:p>
        </w:tc>
        <w:tc>
          <w:tcPr>
            <w:tcW w:w="1560" w:type="dxa"/>
            <w:shd w:val="clear" w:color="auto" w:fill="auto"/>
          </w:tcPr>
          <w:p w:rsidR="00057335" w:rsidRPr="0070099E" w:rsidRDefault="00057335" w:rsidP="0070099E">
            <w:pPr>
              <w:rPr>
                <w:sz w:val="24"/>
                <w:szCs w:val="24"/>
              </w:rPr>
            </w:pPr>
            <w:r w:rsidRPr="0070099E">
              <w:rPr>
                <w:sz w:val="24"/>
                <w:szCs w:val="24"/>
              </w:rPr>
              <w:t>None</w:t>
            </w:r>
          </w:p>
        </w:tc>
        <w:tc>
          <w:tcPr>
            <w:tcW w:w="1842" w:type="dxa"/>
            <w:shd w:val="clear" w:color="auto" w:fill="auto"/>
          </w:tcPr>
          <w:p w:rsidR="00057335" w:rsidRPr="0070099E" w:rsidRDefault="00057335" w:rsidP="0070099E">
            <w:pPr>
              <w:jc w:val="right"/>
              <w:rPr>
                <w:sz w:val="24"/>
                <w:szCs w:val="24"/>
              </w:rPr>
            </w:pPr>
            <w:r w:rsidRPr="0070099E">
              <w:rPr>
                <w:sz w:val="24"/>
                <w:szCs w:val="24"/>
              </w:rPr>
              <w:t>None</w:t>
            </w:r>
          </w:p>
        </w:tc>
      </w:tr>
    </w:tbl>
    <w:p w:rsidR="00057335" w:rsidRPr="001B723C" w:rsidRDefault="00057335" w:rsidP="00825CCE">
      <w:pPr>
        <w:tabs>
          <w:tab w:val="left" w:pos="284"/>
        </w:tabs>
        <w:spacing w:before="100" w:beforeAutospacing="1" w:after="100" w:afterAutospacing="1" w:line="360" w:lineRule="auto"/>
        <w:outlineLvl w:val="0"/>
        <w:rPr>
          <w:b/>
          <w:sz w:val="24"/>
          <w:szCs w:val="24"/>
          <w:lang w:val="en-ZA"/>
        </w:rPr>
      </w:pPr>
    </w:p>
    <w:sectPr w:rsidR="00057335" w:rsidRPr="001B723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2A" w:rsidRDefault="0090582A" w:rsidP="00054FEC">
      <w:r>
        <w:separator/>
      </w:r>
    </w:p>
  </w:endnote>
  <w:endnote w:type="continuationSeparator" w:id="0">
    <w:p w:rsidR="0090582A" w:rsidRDefault="0090582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2A" w:rsidRDefault="0090582A" w:rsidP="00054FEC">
      <w:r>
        <w:separator/>
      </w:r>
    </w:p>
  </w:footnote>
  <w:footnote w:type="continuationSeparator" w:id="0">
    <w:p w:rsidR="0090582A" w:rsidRDefault="0090582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20694D">
      <w:t>20</w:t>
    </w:r>
    <w:r w:rsidR="00CC67D8">
      <w:t>7</w:t>
    </w:r>
    <w:r w:rsidR="00CD5CEF">
      <w:t>0</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1240"/>
    <w:multiLevelType w:val="hybridMultilevel"/>
    <w:tmpl w:val="812E6744"/>
    <w:lvl w:ilvl="0" w:tplc="050CF6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03A19"/>
    <w:multiLevelType w:val="hybridMultilevel"/>
    <w:tmpl w:val="F0E67162"/>
    <w:lvl w:ilvl="0" w:tplc="48429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17E3C"/>
    <w:multiLevelType w:val="hybridMultilevel"/>
    <w:tmpl w:val="50647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E99"/>
    <w:rsid w:val="000542DB"/>
    <w:rsid w:val="00054FEC"/>
    <w:rsid w:val="0005651C"/>
    <w:rsid w:val="0005666E"/>
    <w:rsid w:val="00057335"/>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F4B3A"/>
    <w:rsid w:val="001005E9"/>
    <w:rsid w:val="00100A49"/>
    <w:rsid w:val="00105052"/>
    <w:rsid w:val="00113198"/>
    <w:rsid w:val="0012375B"/>
    <w:rsid w:val="00131BFD"/>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46D4"/>
    <w:rsid w:val="001B5043"/>
    <w:rsid w:val="001B723C"/>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704B3"/>
    <w:rsid w:val="00273F15"/>
    <w:rsid w:val="00275663"/>
    <w:rsid w:val="002901FA"/>
    <w:rsid w:val="002922CE"/>
    <w:rsid w:val="00294A57"/>
    <w:rsid w:val="002962EB"/>
    <w:rsid w:val="0029651C"/>
    <w:rsid w:val="00297F06"/>
    <w:rsid w:val="002A6ADF"/>
    <w:rsid w:val="002E39B0"/>
    <w:rsid w:val="002E3D9B"/>
    <w:rsid w:val="002F729C"/>
    <w:rsid w:val="00317EFA"/>
    <w:rsid w:val="003225B0"/>
    <w:rsid w:val="00323C61"/>
    <w:rsid w:val="00326ADE"/>
    <w:rsid w:val="00331A75"/>
    <w:rsid w:val="00332EDA"/>
    <w:rsid w:val="00333798"/>
    <w:rsid w:val="00340FED"/>
    <w:rsid w:val="003426C9"/>
    <w:rsid w:val="00355C13"/>
    <w:rsid w:val="00360151"/>
    <w:rsid w:val="00362796"/>
    <w:rsid w:val="003639EF"/>
    <w:rsid w:val="003658A1"/>
    <w:rsid w:val="00372C7A"/>
    <w:rsid w:val="003746B2"/>
    <w:rsid w:val="00386EBC"/>
    <w:rsid w:val="00391B22"/>
    <w:rsid w:val="00397799"/>
    <w:rsid w:val="003A0C97"/>
    <w:rsid w:val="003A48E1"/>
    <w:rsid w:val="003A5293"/>
    <w:rsid w:val="003B2BFD"/>
    <w:rsid w:val="003B7EF6"/>
    <w:rsid w:val="003F2870"/>
    <w:rsid w:val="003F3D4B"/>
    <w:rsid w:val="003F40BD"/>
    <w:rsid w:val="003F4CED"/>
    <w:rsid w:val="003F5497"/>
    <w:rsid w:val="00400487"/>
    <w:rsid w:val="00411FA8"/>
    <w:rsid w:val="00413C30"/>
    <w:rsid w:val="00414C39"/>
    <w:rsid w:val="004171D3"/>
    <w:rsid w:val="00420CAC"/>
    <w:rsid w:val="00421190"/>
    <w:rsid w:val="00421210"/>
    <w:rsid w:val="00421215"/>
    <w:rsid w:val="00430FBB"/>
    <w:rsid w:val="00435C33"/>
    <w:rsid w:val="00437973"/>
    <w:rsid w:val="00442C28"/>
    <w:rsid w:val="00442F09"/>
    <w:rsid w:val="0044715C"/>
    <w:rsid w:val="004516B8"/>
    <w:rsid w:val="00453E58"/>
    <w:rsid w:val="00457E66"/>
    <w:rsid w:val="00461532"/>
    <w:rsid w:val="004622F2"/>
    <w:rsid w:val="00466A67"/>
    <w:rsid w:val="00472722"/>
    <w:rsid w:val="00481F38"/>
    <w:rsid w:val="00493DA5"/>
    <w:rsid w:val="004A27DE"/>
    <w:rsid w:val="004A7396"/>
    <w:rsid w:val="004B3332"/>
    <w:rsid w:val="004B54E9"/>
    <w:rsid w:val="004C34F2"/>
    <w:rsid w:val="004C6286"/>
    <w:rsid w:val="004E1009"/>
    <w:rsid w:val="004E6DB7"/>
    <w:rsid w:val="004F5117"/>
    <w:rsid w:val="00506A53"/>
    <w:rsid w:val="00511D74"/>
    <w:rsid w:val="005134F6"/>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77D72"/>
    <w:rsid w:val="005813E5"/>
    <w:rsid w:val="0058155B"/>
    <w:rsid w:val="00585030"/>
    <w:rsid w:val="0059567A"/>
    <w:rsid w:val="005A0373"/>
    <w:rsid w:val="005A09D3"/>
    <w:rsid w:val="005A13AF"/>
    <w:rsid w:val="005A257C"/>
    <w:rsid w:val="005A3561"/>
    <w:rsid w:val="005A44CC"/>
    <w:rsid w:val="005B2811"/>
    <w:rsid w:val="005B5D50"/>
    <w:rsid w:val="005B77A4"/>
    <w:rsid w:val="005C71CA"/>
    <w:rsid w:val="005D1F3D"/>
    <w:rsid w:val="005D69D1"/>
    <w:rsid w:val="005E69AF"/>
    <w:rsid w:val="005F4728"/>
    <w:rsid w:val="00600BD5"/>
    <w:rsid w:val="00607CAC"/>
    <w:rsid w:val="0061173D"/>
    <w:rsid w:val="00613630"/>
    <w:rsid w:val="00614C11"/>
    <w:rsid w:val="00622769"/>
    <w:rsid w:val="006315F4"/>
    <w:rsid w:val="00634815"/>
    <w:rsid w:val="00634D2F"/>
    <w:rsid w:val="00636C07"/>
    <w:rsid w:val="0063763E"/>
    <w:rsid w:val="00643247"/>
    <w:rsid w:val="00644EAD"/>
    <w:rsid w:val="0064604A"/>
    <w:rsid w:val="00650769"/>
    <w:rsid w:val="0065307F"/>
    <w:rsid w:val="006559CC"/>
    <w:rsid w:val="00657215"/>
    <w:rsid w:val="00657FAD"/>
    <w:rsid w:val="0066568F"/>
    <w:rsid w:val="006729CA"/>
    <w:rsid w:val="00683F69"/>
    <w:rsid w:val="006862AD"/>
    <w:rsid w:val="006932BB"/>
    <w:rsid w:val="00694B17"/>
    <w:rsid w:val="00696206"/>
    <w:rsid w:val="006A3921"/>
    <w:rsid w:val="006A3A9B"/>
    <w:rsid w:val="006A50C0"/>
    <w:rsid w:val="006B057C"/>
    <w:rsid w:val="006B1158"/>
    <w:rsid w:val="006C3ED6"/>
    <w:rsid w:val="006C4112"/>
    <w:rsid w:val="006C7F54"/>
    <w:rsid w:val="006D2C99"/>
    <w:rsid w:val="006D4535"/>
    <w:rsid w:val="006D564E"/>
    <w:rsid w:val="006D638D"/>
    <w:rsid w:val="006F0F7F"/>
    <w:rsid w:val="006F111A"/>
    <w:rsid w:val="006F35CD"/>
    <w:rsid w:val="006F4AF2"/>
    <w:rsid w:val="006F4B1B"/>
    <w:rsid w:val="006F64F8"/>
    <w:rsid w:val="0070099E"/>
    <w:rsid w:val="00704183"/>
    <w:rsid w:val="00705D8F"/>
    <w:rsid w:val="00710F4E"/>
    <w:rsid w:val="00716FB3"/>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57B0"/>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637E"/>
    <w:rsid w:val="00810CD6"/>
    <w:rsid w:val="00814533"/>
    <w:rsid w:val="00821539"/>
    <w:rsid w:val="00825AC5"/>
    <w:rsid w:val="00825CCE"/>
    <w:rsid w:val="00826D26"/>
    <w:rsid w:val="008279FC"/>
    <w:rsid w:val="00845006"/>
    <w:rsid w:val="00852F18"/>
    <w:rsid w:val="00855FC5"/>
    <w:rsid w:val="008575F4"/>
    <w:rsid w:val="00857B58"/>
    <w:rsid w:val="00857E10"/>
    <w:rsid w:val="008709EB"/>
    <w:rsid w:val="0087209D"/>
    <w:rsid w:val="00873BDC"/>
    <w:rsid w:val="00874EAB"/>
    <w:rsid w:val="00875393"/>
    <w:rsid w:val="008773D7"/>
    <w:rsid w:val="008875FA"/>
    <w:rsid w:val="0089247E"/>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582A"/>
    <w:rsid w:val="00907BDD"/>
    <w:rsid w:val="00914AA1"/>
    <w:rsid w:val="00916792"/>
    <w:rsid w:val="00917CDC"/>
    <w:rsid w:val="00927BDA"/>
    <w:rsid w:val="009306E0"/>
    <w:rsid w:val="00933DC0"/>
    <w:rsid w:val="009358D8"/>
    <w:rsid w:val="009407DD"/>
    <w:rsid w:val="009443C0"/>
    <w:rsid w:val="00954574"/>
    <w:rsid w:val="00960969"/>
    <w:rsid w:val="00971F3C"/>
    <w:rsid w:val="00972777"/>
    <w:rsid w:val="00974D24"/>
    <w:rsid w:val="009812B8"/>
    <w:rsid w:val="00982F28"/>
    <w:rsid w:val="00984A0C"/>
    <w:rsid w:val="00984BF1"/>
    <w:rsid w:val="009909AB"/>
    <w:rsid w:val="00991B77"/>
    <w:rsid w:val="009924B5"/>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60EEE"/>
    <w:rsid w:val="00A645C2"/>
    <w:rsid w:val="00A738F3"/>
    <w:rsid w:val="00A73A8F"/>
    <w:rsid w:val="00A749B6"/>
    <w:rsid w:val="00A76A9C"/>
    <w:rsid w:val="00A7704E"/>
    <w:rsid w:val="00A830EA"/>
    <w:rsid w:val="00A90AF6"/>
    <w:rsid w:val="00A9168E"/>
    <w:rsid w:val="00AA08FD"/>
    <w:rsid w:val="00AA2897"/>
    <w:rsid w:val="00AC0B56"/>
    <w:rsid w:val="00AC3E52"/>
    <w:rsid w:val="00AC5723"/>
    <w:rsid w:val="00AD018F"/>
    <w:rsid w:val="00AD6E0C"/>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A6CB1"/>
    <w:rsid w:val="00BB13D8"/>
    <w:rsid w:val="00BC2B00"/>
    <w:rsid w:val="00BC512A"/>
    <w:rsid w:val="00BC6035"/>
    <w:rsid w:val="00BD39FB"/>
    <w:rsid w:val="00BE2758"/>
    <w:rsid w:val="00BE35AA"/>
    <w:rsid w:val="00BF004C"/>
    <w:rsid w:val="00BF05A4"/>
    <w:rsid w:val="00BF183A"/>
    <w:rsid w:val="00BF2675"/>
    <w:rsid w:val="00BF3EE7"/>
    <w:rsid w:val="00BF78F1"/>
    <w:rsid w:val="00C0359C"/>
    <w:rsid w:val="00C0704C"/>
    <w:rsid w:val="00C103F1"/>
    <w:rsid w:val="00C21B68"/>
    <w:rsid w:val="00C23BAA"/>
    <w:rsid w:val="00C24092"/>
    <w:rsid w:val="00C26F5E"/>
    <w:rsid w:val="00C339A4"/>
    <w:rsid w:val="00C34739"/>
    <w:rsid w:val="00C34FD1"/>
    <w:rsid w:val="00C373B4"/>
    <w:rsid w:val="00C42767"/>
    <w:rsid w:val="00C45207"/>
    <w:rsid w:val="00C527FC"/>
    <w:rsid w:val="00C52AA3"/>
    <w:rsid w:val="00C576FE"/>
    <w:rsid w:val="00C57AC2"/>
    <w:rsid w:val="00C617A3"/>
    <w:rsid w:val="00C74E11"/>
    <w:rsid w:val="00C927F2"/>
    <w:rsid w:val="00C960DE"/>
    <w:rsid w:val="00CA1F73"/>
    <w:rsid w:val="00CA6FA2"/>
    <w:rsid w:val="00CB24C2"/>
    <w:rsid w:val="00CC67D8"/>
    <w:rsid w:val="00CD2149"/>
    <w:rsid w:val="00CD26AC"/>
    <w:rsid w:val="00CD5CEF"/>
    <w:rsid w:val="00CE087F"/>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6FA4"/>
    <w:rsid w:val="00D8470F"/>
    <w:rsid w:val="00D849FF"/>
    <w:rsid w:val="00D84DA3"/>
    <w:rsid w:val="00D91F9D"/>
    <w:rsid w:val="00DA0BDC"/>
    <w:rsid w:val="00DA13C0"/>
    <w:rsid w:val="00DB59D7"/>
    <w:rsid w:val="00DB75E0"/>
    <w:rsid w:val="00DC28F1"/>
    <w:rsid w:val="00DD588D"/>
    <w:rsid w:val="00DD7501"/>
    <w:rsid w:val="00DE6494"/>
    <w:rsid w:val="00DF24A7"/>
    <w:rsid w:val="00DF79D0"/>
    <w:rsid w:val="00E06306"/>
    <w:rsid w:val="00E13A36"/>
    <w:rsid w:val="00E154EB"/>
    <w:rsid w:val="00E17DD6"/>
    <w:rsid w:val="00E2469A"/>
    <w:rsid w:val="00E32382"/>
    <w:rsid w:val="00E324D2"/>
    <w:rsid w:val="00E40762"/>
    <w:rsid w:val="00E65C78"/>
    <w:rsid w:val="00E65E8A"/>
    <w:rsid w:val="00E67E28"/>
    <w:rsid w:val="00E76256"/>
    <w:rsid w:val="00E843C3"/>
    <w:rsid w:val="00E84932"/>
    <w:rsid w:val="00E86DC5"/>
    <w:rsid w:val="00E916B8"/>
    <w:rsid w:val="00E971FE"/>
    <w:rsid w:val="00EA6572"/>
    <w:rsid w:val="00EB6AA1"/>
    <w:rsid w:val="00EC171E"/>
    <w:rsid w:val="00EC1A90"/>
    <w:rsid w:val="00EC5D81"/>
    <w:rsid w:val="00ED344E"/>
    <w:rsid w:val="00EE300B"/>
    <w:rsid w:val="00EE37B5"/>
    <w:rsid w:val="00EE5A15"/>
    <w:rsid w:val="00EE7136"/>
    <w:rsid w:val="00EF7055"/>
    <w:rsid w:val="00F000D2"/>
    <w:rsid w:val="00F00E46"/>
    <w:rsid w:val="00F10136"/>
    <w:rsid w:val="00F16910"/>
    <w:rsid w:val="00F17697"/>
    <w:rsid w:val="00F3479A"/>
    <w:rsid w:val="00F34D1B"/>
    <w:rsid w:val="00F363E4"/>
    <w:rsid w:val="00F3663B"/>
    <w:rsid w:val="00F3695E"/>
    <w:rsid w:val="00F374AD"/>
    <w:rsid w:val="00F41641"/>
    <w:rsid w:val="00F51113"/>
    <w:rsid w:val="00F60C74"/>
    <w:rsid w:val="00F6129E"/>
    <w:rsid w:val="00F61C46"/>
    <w:rsid w:val="00F61D4C"/>
    <w:rsid w:val="00F70F41"/>
    <w:rsid w:val="00F70FD4"/>
    <w:rsid w:val="00F74130"/>
    <w:rsid w:val="00F7533F"/>
    <w:rsid w:val="00F83B01"/>
    <w:rsid w:val="00F93680"/>
    <w:rsid w:val="00FA0083"/>
    <w:rsid w:val="00FA12D4"/>
    <w:rsid w:val="00FA14B9"/>
    <w:rsid w:val="00FA759C"/>
    <w:rsid w:val="00FB0AF3"/>
    <w:rsid w:val="00FB5DDB"/>
    <w:rsid w:val="00FC3417"/>
    <w:rsid w:val="00FC35BA"/>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paragraph" w:styleId="ListParagraph">
    <w:name w:val="List Paragraph"/>
    <w:basedOn w:val="Normal"/>
    <w:uiPriority w:val="34"/>
    <w:qFormat/>
    <w:rsid w:val="00716FB3"/>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2017-06-19T15:13:00Z</cp:lastPrinted>
  <dcterms:created xsi:type="dcterms:W3CDTF">2017-09-01T08:28:00Z</dcterms:created>
  <dcterms:modified xsi:type="dcterms:W3CDTF">2017-09-01T08:28:00Z</dcterms:modified>
</cp:coreProperties>
</file>