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5A" w:rsidRDefault="004D765A" w:rsidP="004D765A">
      <w:pPr>
        <w:jc w:val="center"/>
        <w:rPr>
          <w:rFonts w:ascii="Arial" w:hAnsi="Arial" w:cs="Arial"/>
          <w:b/>
        </w:rPr>
      </w:pPr>
      <w:r w:rsidRPr="001F70CA">
        <w:rPr>
          <w:rFonts w:ascii="Arial" w:hAnsi="Arial" w:cs="Arial"/>
          <w:b/>
        </w:rPr>
        <w:t>NATIONAL ASSEMBLY</w:t>
      </w:r>
    </w:p>
    <w:p w:rsidR="004D765A" w:rsidRDefault="004D765A" w:rsidP="004D765A">
      <w:pPr>
        <w:jc w:val="center"/>
        <w:rPr>
          <w:rFonts w:ascii="Arial" w:hAnsi="Arial" w:cs="Arial"/>
          <w:b/>
        </w:rPr>
      </w:pPr>
    </w:p>
    <w:p w:rsidR="004D765A" w:rsidRPr="00B0261A" w:rsidRDefault="004D765A" w:rsidP="004D765A">
      <w:pPr>
        <w:jc w:val="center"/>
        <w:rPr>
          <w:rFonts w:ascii="Arial" w:hAnsi="Arial" w:cs="Arial"/>
          <w:b/>
        </w:rPr>
      </w:pPr>
      <w:r w:rsidRPr="001F70CA">
        <w:rPr>
          <w:rFonts w:ascii="Arial" w:hAnsi="Arial" w:cs="Arial"/>
          <w:b/>
        </w:rPr>
        <w:t>QUESTION</w:t>
      </w:r>
      <w:r>
        <w:rPr>
          <w:rFonts w:ascii="Arial" w:hAnsi="Arial" w:cs="Arial"/>
          <w:b/>
        </w:rPr>
        <w:t>S</w:t>
      </w:r>
      <w:r w:rsidRPr="001F70CA">
        <w:rPr>
          <w:rFonts w:ascii="Arial" w:hAnsi="Arial" w:cs="Arial"/>
          <w:b/>
        </w:rPr>
        <w:t xml:space="preserve"> FOR WRITTEN REPLY</w:t>
      </w:r>
    </w:p>
    <w:p w:rsidR="004D765A" w:rsidRPr="00ED5BB7" w:rsidRDefault="004D765A" w:rsidP="004D765A">
      <w:pPr>
        <w:spacing w:after="0" w:line="360" w:lineRule="auto"/>
        <w:jc w:val="both"/>
        <w:rPr>
          <w:rFonts w:ascii="Arial" w:hAnsi="Arial" w:cs="Arial"/>
        </w:rPr>
      </w:pPr>
    </w:p>
    <w:p w:rsidR="004D765A" w:rsidRPr="003B2A50" w:rsidRDefault="004D765A" w:rsidP="004D765A">
      <w:pPr>
        <w:tabs>
          <w:tab w:val="left" w:pos="810"/>
        </w:tabs>
        <w:spacing w:after="0" w:line="360" w:lineRule="auto"/>
        <w:jc w:val="both"/>
        <w:outlineLvl w:val="0"/>
        <w:rPr>
          <w:rFonts w:ascii="Arial" w:hAnsi="Arial" w:cs="Arial"/>
          <w:b/>
        </w:rPr>
      </w:pPr>
      <w:r w:rsidRPr="003B2A50">
        <w:rPr>
          <w:rFonts w:ascii="Arial" w:hAnsi="Arial" w:cs="Arial"/>
          <w:b/>
        </w:rPr>
        <w:t>2070.</w:t>
      </w:r>
      <w:r w:rsidRPr="003B2A50">
        <w:rPr>
          <w:rFonts w:ascii="Arial" w:hAnsi="Arial" w:cs="Arial"/>
          <w:b/>
        </w:rPr>
        <w:tab/>
        <w:t xml:space="preserve">Mr C H </w:t>
      </w:r>
      <w:proofErr w:type="spellStart"/>
      <w:r w:rsidRPr="003B2A50">
        <w:rPr>
          <w:rFonts w:ascii="Arial" w:hAnsi="Arial" w:cs="Arial"/>
          <w:b/>
        </w:rPr>
        <w:t>H</w:t>
      </w:r>
      <w:proofErr w:type="spellEnd"/>
      <w:r w:rsidRPr="003B2A50">
        <w:rPr>
          <w:rFonts w:ascii="Arial" w:hAnsi="Arial" w:cs="Arial"/>
          <w:b/>
        </w:rPr>
        <w:t xml:space="preserve"> </w:t>
      </w:r>
      <w:proofErr w:type="spellStart"/>
      <w:r w:rsidRPr="003B2A50">
        <w:rPr>
          <w:rFonts w:ascii="Arial" w:hAnsi="Arial" w:cs="Arial"/>
          <w:b/>
        </w:rPr>
        <w:t>Hunsinger</w:t>
      </w:r>
      <w:proofErr w:type="spellEnd"/>
      <w:r w:rsidRPr="003B2A50">
        <w:rPr>
          <w:rFonts w:ascii="Arial" w:hAnsi="Arial" w:cs="Arial"/>
          <w:b/>
        </w:rPr>
        <w:t xml:space="preserve"> (DA) to ask the Minister of Small Business Development:</w:t>
      </w:r>
    </w:p>
    <w:p w:rsidR="004D765A" w:rsidRPr="003B2A50" w:rsidRDefault="004D765A" w:rsidP="004D765A">
      <w:pPr>
        <w:spacing w:after="0" w:line="360" w:lineRule="auto"/>
        <w:ind w:left="1170" w:hanging="360"/>
        <w:jc w:val="both"/>
        <w:rPr>
          <w:rFonts w:ascii="Arial" w:hAnsi="Arial" w:cs="Arial"/>
        </w:rPr>
      </w:pPr>
      <w:r w:rsidRPr="003B2A50">
        <w:rPr>
          <w:rFonts w:ascii="Arial" w:hAnsi="Arial" w:cs="Arial"/>
        </w:rPr>
        <w:t>(1)</w:t>
      </w:r>
      <w:r w:rsidRPr="003B2A50">
        <w:rPr>
          <w:rFonts w:ascii="Arial" w:hAnsi="Arial" w:cs="Arial"/>
        </w:rPr>
        <w:tab/>
        <w:t>Whether each Head of Department (HOD) of her department signed a performance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agreements; if so, (i) when was the last performance assessment of each HOD conducted and (ii) what were the results in each case;</w:t>
      </w:r>
    </w:p>
    <w:p w:rsidR="004D765A" w:rsidRDefault="004D765A" w:rsidP="004D765A">
      <w:pPr>
        <w:spacing w:after="0" w:line="360" w:lineRule="auto"/>
        <w:ind w:left="1170" w:hanging="360"/>
        <w:jc w:val="both"/>
        <w:rPr>
          <w:rFonts w:ascii="Arial" w:hAnsi="Arial" w:cs="Arial"/>
        </w:rPr>
      </w:pPr>
      <w:r w:rsidRPr="003B2A50">
        <w:rPr>
          <w:rFonts w:ascii="Arial" w:hAnsi="Arial" w:cs="Arial"/>
        </w:rPr>
        <w:t>(2)</w:t>
      </w:r>
      <w:r w:rsidRPr="003B2A50">
        <w:rPr>
          <w:rFonts w:ascii="Arial" w:hAnsi="Arial" w:cs="Arial"/>
        </w:rPr>
        <w:tab/>
        <w:t xml:space="preserve">whether any of the HODs who failed to sign a performance </w:t>
      </w:r>
      <w:r w:rsidRPr="003B2A50">
        <w:rPr>
          <w:rFonts w:ascii="Arial" w:hAnsi="Arial" w:cs="Arial"/>
          <w:lang w:val="af-ZA"/>
        </w:rPr>
        <w:t>agreement</w:t>
      </w:r>
      <w:r w:rsidRPr="003B2A50">
        <w:rPr>
          <w:rFonts w:ascii="Arial" w:hAnsi="Arial" w:cs="Arial"/>
        </w:rPr>
        <w:t xml:space="preserve"> received a performance bonus since their appointment; if not, what is the position in this regard; if so, (a) at what rate and (b) what criteria were used to determine the specified rate;</w:t>
      </w:r>
    </w:p>
    <w:p w:rsidR="004D765A" w:rsidRPr="003B2A50" w:rsidRDefault="004D765A" w:rsidP="004D765A">
      <w:pPr>
        <w:spacing w:after="0" w:line="360" w:lineRule="auto"/>
        <w:ind w:left="1170" w:hanging="360"/>
        <w:jc w:val="both"/>
        <w:rPr>
          <w:rFonts w:ascii="Arial" w:hAnsi="Arial" w:cs="Arial"/>
        </w:rPr>
      </w:pPr>
      <w:r w:rsidRPr="003B2A50">
        <w:rPr>
          <w:rFonts w:ascii="Arial" w:hAnsi="Arial" w:cs="Arial"/>
        </w:rPr>
        <w:t>(3)</w:t>
      </w:r>
      <w:r w:rsidRPr="003B2A50">
        <w:rPr>
          <w:rFonts w:ascii="Arial" w:hAnsi="Arial" w:cs="Arial"/>
        </w:rPr>
        <w:tab/>
      </w:r>
      <w:proofErr w:type="gramStart"/>
      <w:r w:rsidRPr="003B2A50">
        <w:rPr>
          <w:rFonts w:ascii="Arial" w:hAnsi="Arial" w:cs="Arial"/>
        </w:rPr>
        <w:t>whether</w:t>
      </w:r>
      <w:proofErr w:type="gramEnd"/>
      <w:r w:rsidRPr="003B2A50">
        <w:rPr>
          <w:rFonts w:ascii="Arial" w:hAnsi="Arial" w:cs="Arial"/>
        </w:rPr>
        <w:t xml:space="preserve"> any of the HODs who signed a performance agreement received a performance bonus since their appointment; if so, (a) at what rate and (b) what criteria were used to determine the rate?</w:t>
      </w:r>
    </w:p>
    <w:p w:rsidR="004D765A" w:rsidRPr="00533B14" w:rsidRDefault="004D765A" w:rsidP="004D765A">
      <w:pPr>
        <w:spacing w:after="0" w:line="360" w:lineRule="auto"/>
        <w:ind w:left="7920"/>
        <w:jc w:val="right"/>
        <w:rPr>
          <w:rFonts w:ascii="Arial" w:hAnsi="Arial" w:cs="Arial"/>
        </w:rPr>
      </w:pPr>
      <w:r w:rsidRPr="00533B14">
        <w:rPr>
          <w:rFonts w:ascii="Arial" w:hAnsi="Arial" w:cs="Arial"/>
        </w:rPr>
        <w:t>NW2381E</w:t>
      </w:r>
    </w:p>
    <w:p w:rsidR="004D765A" w:rsidRDefault="004D765A" w:rsidP="004D765A">
      <w:pPr>
        <w:spacing w:after="0" w:line="360" w:lineRule="auto"/>
        <w:jc w:val="both"/>
        <w:outlineLvl w:val="0"/>
        <w:rPr>
          <w:rFonts w:ascii="Arial" w:hAnsi="Arial" w:cs="Arial"/>
        </w:rPr>
      </w:pPr>
    </w:p>
    <w:p w:rsidR="004D765A" w:rsidRDefault="004D765A" w:rsidP="004D765A">
      <w:pPr>
        <w:spacing w:after="0" w:line="360" w:lineRule="auto"/>
        <w:jc w:val="both"/>
        <w:outlineLvl w:val="0"/>
        <w:rPr>
          <w:rFonts w:ascii="Arial" w:hAnsi="Arial" w:cs="Arial"/>
        </w:rPr>
      </w:pPr>
    </w:p>
    <w:p w:rsidR="004D765A" w:rsidRPr="00ED5BB7" w:rsidRDefault="004D765A" w:rsidP="004D765A">
      <w:pPr>
        <w:spacing w:after="0" w:line="360" w:lineRule="auto"/>
        <w:ind w:left="851"/>
        <w:jc w:val="both"/>
        <w:outlineLvl w:val="0"/>
        <w:rPr>
          <w:rFonts w:ascii="Arial" w:hAnsi="Arial" w:cs="Arial"/>
          <w:b/>
        </w:rPr>
      </w:pPr>
      <w:r w:rsidRPr="00ED5BB7">
        <w:rPr>
          <w:rFonts w:ascii="Arial" w:hAnsi="Arial" w:cs="Arial"/>
          <w:b/>
        </w:rPr>
        <w:t>Written Reply:</w:t>
      </w:r>
    </w:p>
    <w:p w:rsidR="004D765A" w:rsidRPr="00B256DE" w:rsidRDefault="004D765A" w:rsidP="004D765A">
      <w:pPr>
        <w:pStyle w:val="ListParagraph"/>
        <w:numPr>
          <w:ilvl w:val="0"/>
          <w:numId w:val="1"/>
        </w:numPr>
        <w:tabs>
          <w:tab w:val="left" w:pos="1170"/>
        </w:tabs>
        <w:spacing w:after="0" w:line="360" w:lineRule="auto"/>
        <w:ind w:left="1170"/>
        <w:jc w:val="both"/>
        <w:rPr>
          <w:rFonts w:ascii="Arial" w:hAnsi="Arial" w:cs="Arial"/>
        </w:rPr>
      </w:pPr>
      <w:r w:rsidRPr="00B256DE">
        <w:rPr>
          <w:rFonts w:ascii="Arial" w:hAnsi="Arial" w:cs="Arial"/>
        </w:rPr>
        <w:t>The HOD signed a performance agreement (PA) for the 2016/2017 performance management cycle. The PA was signed and submitted to the Department of Performance Monitoring and Evaluation within the due date.</w:t>
      </w:r>
    </w:p>
    <w:p w:rsidR="004D765A" w:rsidRDefault="004D765A" w:rsidP="004D765A">
      <w:pPr>
        <w:pStyle w:val="ListParagraph"/>
        <w:spacing w:after="0" w:line="360" w:lineRule="auto"/>
        <w:ind w:left="810"/>
        <w:jc w:val="both"/>
        <w:rPr>
          <w:rFonts w:ascii="Arial" w:hAnsi="Arial" w:cs="Arial"/>
        </w:rPr>
      </w:pPr>
    </w:p>
    <w:p w:rsidR="004D765A" w:rsidRPr="00B256DE" w:rsidRDefault="004D765A" w:rsidP="004D765A">
      <w:pPr>
        <w:pStyle w:val="ListParagraph"/>
        <w:spacing w:after="0" w:line="360" w:lineRule="auto"/>
        <w:ind w:left="810"/>
        <w:jc w:val="both"/>
        <w:rPr>
          <w:rFonts w:ascii="Arial" w:hAnsi="Arial" w:cs="Arial"/>
        </w:rPr>
      </w:pPr>
    </w:p>
    <w:p w:rsidR="004D765A" w:rsidRPr="00967BAD" w:rsidRDefault="004D765A" w:rsidP="004D765A">
      <w:pPr>
        <w:spacing w:after="0" w:line="360" w:lineRule="auto"/>
        <w:ind w:left="1170" w:hanging="360"/>
        <w:jc w:val="both"/>
        <w:rPr>
          <w:rFonts w:ascii="Arial" w:hAnsi="Arial" w:cs="Arial"/>
        </w:rPr>
      </w:pPr>
      <w:r w:rsidRPr="00967BAD">
        <w:rPr>
          <w:rFonts w:ascii="Arial" w:hAnsi="Arial" w:cs="Arial"/>
        </w:rPr>
        <w:t xml:space="preserve">(a) </w:t>
      </w:r>
      <w:r>
        <w:rPr>
          <w:rFonts w:ascii="Arial" w:hAnsi="Arial" w:cs="Arial"/>
        </w:rPr>
        <w:t xml:space="preserve"> </w:t>
      </w:r>
      <w:r w:rsidRPr="00967BAD">
        <w:rPr>
          <w:rFonts w:ascii="Arial" w:hAnsi="Arial" w:cs="Arial"/>
        </w:rPr>
        <w:t>N/A</w:t>
      </w:r>
      <w:r>
        <w:rPr>
          <w:rFonts w:ascii="Arial" w:hAnsi="Arial" w:cs="Arial"/>
        </w:rPr>
        <w:t xml:space="preserve">. There is one HOD and she was compliant </w:t>
      </w:r>
    </w:p>
    <w:p w:rsidR="004D765A" w:rsidRPr="00967BAD" w:rsidRDefault="004D765A" w:rsidP="004D765A">
      <w:pPr>
        <w:spacing w:after="0" w:line="360" w:lineRule="auto"/>
        <w:ind w:left="1170" w:hanging="360"/>
        <w:jc w:val="both"/>
        <w:rPr>
          <w:rFonts w:ascii="Arial" w:hAnsi="Arial" w:cs="Arial"/>
        </w:rPr>
      </w:pPr>
      <w:r w:rsidRPr="00967BAD">
        <w:rPr>
          <w:rFonts w:ascii="Arial" w:hAnsi="Arial" w:cs="Arial"/>
        </w:rPr>
        <w:t xml:space="preserve">(b) </w:t>
      </w:r>
      <w:r>
        <w:rPr>
          <w:rFonts w:ascii="Arial" w:hAnsi="Arial" w:cs="Arial"/>
        </w:rPr>
        <w:t xml:space="preserve"> </w:t>
      </w:r>
      <w:r w:rsidRPr="00967BAD">
        <w:rPr>
          <w:rFonts w:ascii="Arial" w:hAnsi="Arial" w:cs="Arial"/>
        </w:rPr>
        <w:t>N/A</w:t>
      </w:r>
      <w:r>
        <w:rPr>
          <w:rFonts w:ascii="Arial" w:hAnsi="Arial" w:cs="Arial"/>
        </w:rPr>
        <w:t>. The HOD was compliant</w:t>
      </w:r>
    </w:p>
    <w:p w:rsidR="004D765A" w:rsidRPr="00967BAD" w:rsidRDefault="004D765A" w:rsidP="004D765A">
      <w:pPr>
        <w:spacing w:after="0" w:line="360" w:lineRule="auto"/>
        <w:ind w:left="1170" w:hanging="360"/>
        <w:jc w:val="both"/>
        <w:rPr>
          <w:rFonts w:ascii="Arial" w:hAnsi="Arial" w:cs="Arial"/>
        </w:rPr>
      </w:pPr>
      <w:r w:rsidRPr="00967BAD">
        <w:rPr>
          <w:rFonts w:ascii="Arial" w:hAnsi="Arial" w:cs="Arial"/>
        </w:rPr>
        <w:t xml:space="preserve">(c) </w:t>
      </w:r>
      <w:r>
        <w:rPr>
          <w:rFonts w:ascii="Arial" w:hAnsi="Arial" w:cs="Arial"/>
        </w:rPr>
        <w:t xml:space="preserve"> </w:t>
      </w:r>
      <w:r w:rsidRPr="00967BAD">
        <w:rPr>
          <w:rFonts w:ascii="Arial" w:hAnsi="Arial" w:cs="Arial"/>
        </w:rPr>
        <w:t>N/A</w:t>
      </w:r>
      <w:r>
        <w:rPr>
          <w:rFonts w:ascii="Arial" w:hAnsi="Arial" w:cs="Arial"/>
        </w:rPr>
        <w:t>. The HOD was compliant</w:t>
      </w:r>
      <w:r w:rsidRPr="00967BAD">
        <w:rPr>
          <w:rFonts w:ascii="Arial" w:hAnsi="Arial" w:cs="Arial"/>
        </w:rPr>
        <w:t xml:space="preserve"> </w:t>
      </w:r>
    </w:p>
    <w:p w:rsidR="004D765A" w:rsidRDefault="004D765A" w:rsidP="004D765A">
      <w:pPr>
        <w:spacing w:after="0" w:line="360" w:lineRule="auto"/>
        <w:ind w:left="1170" w:hanging="360"/>
        <w:jc w:val="both"/>
        <w:rPr>
          <w:rFonts w:ascii="Arial" w:hAnsi="Arial" w:cs="Arial"/>
        </w:rPr>
      </w:pPr>
      <w:r w:rsidRPr="00967BAD">
        <w:rPr>
          <w:rFonts w:ascii="Arial" w:hAnsi="Arial" w:cs="Arial"/>
        </w:rPr>
        <w:t xml:space="preserve">(d) </w:t>
      </w:r>
      <w:r>
        <w:rPr>
          <w:rFonts w:ascii="Arial" w:hAnsi="Arial" w:cs="Arial"/>
        </w:rPr>
        <w:t xml:space="preserve"> N/A. </w:t>
      </w:r>
      <w:r w:rsidRPr="00967BAD">
        <w:rPr>
          <w:rFonts w:ascii="Arial" w:hAnsi="Arial" w:cs="Arial"/>
        </w:rPr>
        <w:t xml:space="preserve">The </w:t>
      </w:r>
      <w:r>
        <w:rPr>
          <w:rFonts w:ascii="Arial" w:hAnsi="Arial" w:cs="Arial"/>
        </w:rPr>
        <w:t>HOD was compliant</w:t>
      </w:r>
    </w:p>
    <w:p w:rsidR="004D765A" w:rsidRDefault="004D765A" w:rsidP="004D765A">
      <w:pPr>
        <w:spacing w:after="0" w:line="360" w:lineRule="auto"/>
        <w:ind w:left="810"/>
        <w:jc w:val="both"/>
        <w:rPr>
          <w:rFonts w:ascii="Arial" w:hAnsi="Arial" w:cs="Arial"/>
        </w:rPr>
      </w:pPr>
    </w:p>
    <w:p w:rsidR="004D765A" w:rsidRPr="00B256DE" w:rsidRDefault="004D765A" w:rsidP="004D765A">
      <w:pPr>
        <w:pStyle w:val="ListParagraph"/>
        <w:numPr>
          <w:ilvl w:val="0"/>
          <w:numId w:val="2"/>
        </w:numPr>
        <w:spacing w:after="0" w:line="360" w:lineRule="auto"/>
        <w:ind w:left="1170" w:hanging="360"/>
        <w:jc w:val="both"/>
        <w:rPr>
          <w:rFonts w:ascii="Arial" w:hAnsi="Arial" w:cs="Arial"/>
        </w:rPr>
      </w:pPr>
      <w:r w:rsidRPr="00B256DE">
        <w:rPr>
          <w:rFonts w:ascii="Arial" w:hAnsi="Arial" w:cs="Arial"/>
        </w:rPr>
        <w:lastRenderedPageBreak/>
        <w:t>The last assessment that was conducted for the HOD was for the period 23 September 2015 until 31 March 2016 at the Department of Small Business Development (DSBD) – The Director General was appointed in the Department of Small business Development on 23 September 2015.</w:t>
      </w:r>
    </w:p>
    <w:p w:rsidR="004D765A" w:rsidRPr="00B256DE" w:rsidRDefault="004D765A" w:rsidP="004D765A">
      <w:pPr>
        <w:pStyle w:val="ListParagraph"/>
        <w:numPr>
          <w:ilvl w:val="0"/>
          <w:numId w:val="2"/>
        </w:numPr>
        <w:spacing w:after="0" w:line="360" w:lineRule="auto"/>
        <w:ind w:left="1170" w:hanging="360"/>
        <w:jc w:val="both"/>
        <w:rPr>
          <w:rFonts w:ascii="Arial" w:hAnsi="Arial" w:cs="Arial"/>
        </w:rPr>
      </w:pPr>
      <w:r w:rsidRPr="00B256DE">
        <w:rPr>
          <w:rFonts w:ascii="Arial" w:hAnsi="Arial" w:cs="Arial"/>
        </w:rPr>
        <w:t>The outcome of the assessment at DSBD: 142%, Above Expectation. The employee will qualify for notch progression on condition that the following requirements were met:</w:t>
      </w:r>
    </w:p>
    <w:p w:rsidR="004D765A" w:rsidRPr="00483598" w:rsidRDefault="004D765A" w:rsidP="004D765A">
      <w:pPr>
        <w:pStyle w:val="ListParagraph"/>
        <w:numPr>
          <w:ilvl w:val="0"/>
          <w:numId w:val="3"/>
        </w:numPr>
        <w:spacing w:after="0" w:line="360" w:lineRule="auto"/>
        <w:ind w:left="1170"/>
        <w:jc w:val="both"/>
        <w:rPr>
          <w:rFonts w:ascii="Arial" w:hAnsi="Arial" w:cs="Arial"/>
        </w:rPr>
      </w:pPr>
      <w:r>
        <w:rPr>
          <w:rFonts w:ascii="Arial" w:hAnsi="Arial" w:cs="Arial"/>
        </w:rPr>
        <w:t>S</w:t>
      </w:r>
      <w:r w:rsidRPr="00483598">
        <w:rPr>
          <w:rFonts w:ascii="Arial" w:hAnsi="Arial" w:cs="Arial"/>
        </w:rPr>
        <w:t>ubmission of her P</w:t>
      </w:r>
      <w:r>
        <w:rPr>
          <w:rFonts w:ascii="Arial" w:hAnsi="Arial" w:cs="Arial"/>
        </w:rPr>
        <w:t xml:space="preserve">erformance </w:t>
      </w:r>
      <w:r w:rsidRPr="00483598">
        <w:rPr>
          <w:rFonts w:ascii="Arial" w:hAnsi="Arial" w:cs="Arial"/>
        </w:rPr>
        <w:t>A</w:t>
      </w:r>
      <w:r>
        <w:rPr>
          <w:rFonts w:ascii="Arial" w:hAnsi="Arial" w:cs="Arial"/>
        </w:rPr>
        <w:t>greement</w:t>
      </w:r>
      <w:r w:rsidRPr="00483598">
        <w:rPr>
          <w:rFonts w:ascii="Arial" w:hAnsi="Arial" w:cs="Arial"/>
        </w:rPr>
        <w:t xml:space="preserve"> at the beginning of the cycle by the due date (this must be confirmed and relevant documents must be submitted </w:t>
      </w:r>
      <w:r>
        <w:rPr>
          <w:rFonts w:ascii="Arial" w:hAnsi="Arial" w:cs="Arial"/>
        </w:rPr>
        <w:t>by the previous Department); and</w:t>
      </w:r>
    </w:p>
    <w:p w:rsidR="004D765A" w:rsidRDefault="004D765A" w:rsidP="004D765A">
      <w:pPr>
        <w:pStyle w:val="ListParagraph"/>
        <w:numPr>
          <w:ilvl w:val="0"/>
          <w:numId w:val="3"/>
        </w:numPr>
        <w:spacing w:after="0" w:line="360" w:lineRule="auto"/>
        <w:ind w:left="1170"/>
        <w:jc w:val="both"/>
        <w:rPr>
          <w:rFonts w:ascii="Arial" w:hAnsi="Arial" w:cs="Arial"/>
        </w:rPr>
      </w:pPr>
      <w:r w:rsidRPr="00495F37">
        <w:rPr>
          <w:rFonts w:ascii="Arial" w:hAnsi="Arial" w:cs="Arial"/>
        </w:rPr>
        <w:t xml:space="preserve">The submission and moderation of her first bi-annual appraisal (must be confirmed and relevant documents must be submitted by the previous Department). </w:t>
      </w:r>
    </w:p>
    <w:p w:rsidR="004D765A" w:rsidRPr="00277ED6" w:rsidRDefault="004D765A" w:rsidP="004D765A">
      <w:pPr>
        <w:spacing w:after="0" w:line="360" w:lineRule="auto"/>
        <w:ind w:left="810"/>
        <w:jc w:val="both"/>
        <w:rPr>
          <w:rFonts w:ascii="Arial" w:hAnsi="Arial" w:cs="Arial"/>
        </w:rPr>
      </w:pPr>
      <w:r w:rsidRPr="00277ED6">
        <w:rPr>
          <w:rFonts w:ascii="Arial" w:hAnsi="Arial" w:cs="Arial"/>
        </w:rPr>
        <w:t>No outcomes have yet been processed for the HOD by the DBSD. Also, the HOD will not be paid a cash bonus, since the DPSA has not yet issued any directive for HODS in respect of this matter.</w:t>
      </w:r>
    </w:p>
    <w:p w:rsidR="004D765A" w:rsidRDefault="004D765A" w:rsidP="004D765A">
      <w:pPr>
        <w:spacing w:after="0" w:line="360" w:lineRule="auto"/>
        <w:ind w:left="851"/>
        <w:jc w:val="both"/>
        <w:outlineLvl w:val="0"/>
        <w:rPr>
          <w:rFonts w:ascii="Arial" w:hAnsi="Arial" w:cs="Arial"/>
        </w:rPr>
      </w:pPr>
    </w:p>
    <w:p w:rsidR="004D765A" w:rsidRPr="005B4FBA" w:rsidRDefault="004D765A" w:rsidP="004D765A">
      <w:pPr>
        <w:spacing w:after="0" w:line="360" w:lineRule="auto"/>
        <w:ind w:left="1170" w:hanging="360"/>
        <w:jc w:val="both"/>
        <w:rPr>
          <w:rFonts w:ascii="Arial" w:hAnsi="Arial" w:cs="Arial"/>
        </w:rPr>
      </w:pPr>
      <w:r w:rsidRPr="005B4FBA">
        <w:rPr>
          <w:rFonts w:ascii="Arial" w:hAnsi="Arial" w:cs="Arial"/>
        </w:rPr>
        <w:t xml:space="preserve">(2) No. </w:t>
      </w:r>
      <w:r>
        <w:rPr>
          <w:rFonts w:ascii="Arial" w:hAnsi="Arial" w:cs="Arial"/>
        </w:rPr>
        <w:t>T</w:t>
      </w:r>
      <w:r w:rsidRPr="005B4FBA">
        <w:rPr>
          <w:rFonts w:ascii="Arial" w:hAnsi="Arial" w:cs="Arial"/>
        </w:rPr>
        <w:t>he HOD was compliant with submission of performance agreement and no performance bonus has been received since appointment.</w:t>
      </w:r>
    </w:p>
    <w:p w:rsidR="004D765A" w:rsidRPr="006A1989" w:rsidRDefault="004D765A" w:rsidP="004D765A">
      <w:pPr>
        <w:spacing w:after="0" w:line="360" w:lineRule="auto"/>
        <w:ind w:left="810"/>
        <w:jc w:val="both"/>
        <w:rPr>
          <w:rFonts w:ascii="Arial" w:hAnsi="Arial" w:cs="Arial"/>
        </w:rPr>
      </w:pPr>
      <w:r w:rsidRPr="006A1989">
        <w:rPr>
          <w:rFonts w:ascii="Arial" w:hAnsi="Arial" w:cs="Arial"/>
        </w:rPr>
        <w:t xml:space="preserve">(a) </w:t>
      </w:r>
      <w:r>
        <w:rPr>
          <w:rFonts w:ascii="Arial" w:hAnsi="Arial" w:cs="Arial"/>
        </w:rPr>
        <w:t xml:space="preserve"> </w:t>
      </w:r>
      <w:r w:rsidRPr="006A1989">
        <w:rPr>
          <w:rFonts w:ascii="Arial" w:hAnsi="Arial" w:cs="Arial"/>
        </w:rPr>
        <w:t>N/A</w:t>
      </w:r>
    </w:p>
    <w:p w:rsidR="004D765A" w:rsidRPr="006A1989" w:rsidRDefault="004D765A" w:rsidP="004D765A">
      <w:pPr>
        <w:spacing w:after="0" w:line="360" w:lineRule="auto"/>
        <w:ind w:left="810"/>
        <w:jc w:val="both"/>
        <w:rPr>
          <w:rFonts w:ascii="Arial" w:hAnsi="Arial" w:cs="Arial"/>
        </w:rPr>
      </w:pPr>
      <w:r w:rsidRPr="006A1989">
        <w:rPr>
          <w:rFonts w:ascii="Arial" w:hAnsi="Arial" w:cs="Arial"/>
        </w:rPr>
        <w:t xml:space="preserve">(b) </w:t>
      </w:r>
      <w:r>
        <w:rPr>
          <w:rFonts w:ascii="Arial" w:hAnsi="Arial" w:cs="Arial"/>
        </w:rPr>
        <w:t xml:space="preserve"> </w:t>
      </w:r>
      <w:r w:rsidRPr="006A1989">
        <w:rPr>
          <w:rFonts w:ascii="Arial" w:hAnsi="Arial" w:cs="Arial"/>
        </w:rPr>
        <w:t>N/A</w:t>
      </w:r>
    </w:p>
    <w:p w:rsidR="004D765A" w:rsidRDefault="004D765A" w:rsidP="004D765A">
      <w:pPr>
        <w:spacing w:after="0" w:line="360" w:lineRule="auto"/>
        <w:jc w:val="both"/>
        <w:outlineLvl w:val="0"/>
        <w:rPr>
          <w:rFonts w:ascii="Arial" w:hAnsi="Arial" w:cs="Arial"/>
          <w:b/>
          <w:color w:val="C0504D" w:themeColor="accent2"/>
        </w:rPr>
      </w:pPr>
    </w:p>
    <w:p w:rsidR="004D765A" w:rsidRPr="006A1989" w:rsidRDefault="004D765A" w:rsidP="004D765A">
      <w:pPr>
        <w:spacing w:after="0" w:line="360" w:lineRule="auto"/>
        <w:ind w:left="1170" w:hanging="360"/>
        <w:jc w:val="both"/>
        <w:rPr>
          <w:rFonts w:ascii="Arial" w:hAnsi="Arial" w:cs="Arial"/>
        </w:rPr>
      </w:pPr>
      <w:r w:rsidRPr="006A1989">
        <w:rPr>
          <w:rFonts w:ascii="Arial" w:hAnsi="Arial" w:cs="Arial"/>
        </w:rPr>
        <w:t xml:space="preserve">(3) The HOD has not received a performance bonus since her appointment at the DSBD.  </w:t>
      </w:r>
    </w:p>
    <w:p w:rsidR="004D765A" w:rsidRPr="006A1989" w:rsidRDefault="004D765A" w:rsidP="004D765A">
      <w:pPr>
        <w:spacing w:after="0" w:line="360" w:lineRule="auto"/>
        <w:ind w:left="1170"/>
        <w:jc w:val="both"/>
        <w:rPr>
          <w:rFonts w:ascii="Arial" w:hAnsi="Arial" w:cs="Arial"/>
        </w:rPr>
      </w:pPr>
      <w:r w:rsidRPr="006A1989">
        <w:rPr>
          <w:rFonts w:ascii="Arial" w:hAnsi="Arial" w:cs="Arial"/>
        </w:rPr>
        <w:t>The HOD for DSBD did sign and submit her 2015/2016 and 2016/2017 Performance Agreement</w:t>
      </w:r>
      <w:r>
        <w:rPr>
          <w:rFonts w:ascii="Arial" w:hAnsi="Arial" w:cs="Arial"/>
        </w:rPr>
        <w:t>s</w:t>
      </w:r>
      <w:r w:rsidRPr="006A1989">
        <w:rPr>
          <w:rFonts w:ascii="Arial" w:hAnsi="Arial" w:cs="Arial"/>
        </w:rPr>
        <w:t>. No outcomes have yet been processed (see response at Question (1) (d) (ii)).</w:t>
      </w:r>
    </w:p>
    <w:p w:rsidR="004D765A" w:rsidRPr="006A1989" w:rsidRDefault="004D765A" w:rsidP="004D765A">
      <w:pPr>
        <w:spacing w:after="0" w:line="360" w:lineRule="auto"/>
        <w:ind w:left="810"/>
        <w:jc w:val="both"/>
        <w:rPr>
          <w:rFonts w:ascii="Arial" w:hAnsi="Arial" w:cs="Arial"/>
        </w:rPr>
      </w:pPr>
      <w:r w:rsidRPr="006A1989">
        <w:rPr>
          <w:rFonts w:ascii="Arial" w:hAnsi="Arial" w:cs="Arial"/>
        </w:rPr>
        <w:t>(a) N/A</w:t>
      </w:r>
    </w:p>
    <w:p w:rsidR="004D765A" w:rsidRDefault="004D765A" w:rsidP="004D765A">
      <w:pPr>
        <w:spacing w:after="0" w:line="360" w:lineRule="auto"/>
        <w:ind w:left="810"/>
        <w:jc w:val="both"/>
        <w:outlineLvl w:val="0"/>
        <w:rPr>
          <w:rFonts w:ascii="Arial" w:eastAsia="Calibri" w:hAnsi="Arial" w:cs="Arial"/>
          <w:sz w:val="24"/>
          <w:szCs w:val="24"/>
          <w:lang w:val="af-ZA"/>
        </w:rPr>
      </w:pPr>
      <w:r w:rsidRPr="006A1989">
        <w:rPr>
          <w:rFonts w:ascii="Arial" w:hAnsi="Arial" w:cs="Arial"/>
        </w:rPr>
        <w:t>(b) N/A</w:t>
      </w:r>
      <w:r w:rsidRPr="00ED5BB7">
        <w:rPr>
          <w:rFonts w:ascii="Arial" w:eastAsia="Calibri" w:hAnsi="Arial" w:cs="Arial"/>
          <w:sz w:val="24"/>
          <w:szCs w:val="24"/>
          <w:lang w:val="af-ZA"/>
        </w:rPr>
        <w:tab/>
      </w:r>
      <w:r w:rsidRPr="00ED5BB7">
        <w:rPr>
          <w:rFonts w:ascii="Arial" w:eastAsia="Calibri" w:hAnsi="Arial" w:cs="Arial"/>
          <w:sz w:val="24"/>
          <w:szCs w:val="24"/>
          <w:lang w:val="af-ZA"/>
        </w:rPr>
        <w:tab/>
      </w:r>
      <w:r w:rsidRPr="00ED5BB7">
        <w:rPr>
          <w:rFonts w:ascii="Arial" w:eastAsia="Calibri" w:hAnsi="Arial" w:cs="Arial"/>
          <w:sz w:val="24"/>
          <w:szCs w:val="24"/>
          <w:lang w:val="af-ZA"/>
        </w:rPr>
        <w:tab/>
      </w:r>
      <w:r w:rsidRPr="00ED5BB7">
        <w:rPr>
          <w:rFonts w:ascii="Arial" w:eastAsia="Calibri" w:hAnsi="Arial" w:cs="Arial"/>
          <w:sz w:val="24"/>
          <w:szCs w:val="24"/>
          <w:lang w:val="af-ZA"/>
        </w:rPr>
        <w:tab/>
      </w:r>
      <w:r w:rsidRPr="00ED5BB7">
        <w:rPr>
          <w:rFonts w:ascii="Arial" w:eastAsia="Calibri" w:hAnsi="Arial" w:cs="Arial"/>
          <w:sz w:val="24"/>
          <w:szCs w:val="24"/>
          <w:lang w:val="af-ZA"/>
        </w:rPr>
        <w:tab/>
      </w:r>
    </w:p>
    <w:p w:rsidR="004D765A" w:rsidRDefault="004D765A" w:rsidP="004D765A">
      <w:pPr>
        <w:spacing w:after="0" w:line="360" w:lineRule="auto"/>
        <w:ind w:left="1440" w:hanging="590"/>
        <w:jc w:val="both"/>
        <w:outlineLvl w:val="0"/>
        <w:rPr>
          <w:rFonts w:ascii="Arial" w:eastAsia="Calibri" w:hAnsi="Arial" w:cs="Arial"/>
          <w:sz w:val="24"/>
          <w:szCs w:val="24"/>
          <w:lang w:val="af-ZA"/>
        </w:rPr>
      </w:pPr>
    </w:p>
    <w:p w:rsidR="00CC0BB5" w:rsidRDefault="00CC0BB5"/>
    <w:p w:rsidR="004D765A" w:rsidRDefault="004D765A">
      <w:bookmarkStart w:id="0" w:name="_GoBack"/>
      <w:bookmarkEnd w:id="0"/>
    </w:p>
    <w:sectPr w:rsidR="004D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06E2"/>
    <w:multiLevelType w:val="hybridMultilevel"/>
    <w:tmpl w:val="5366DF92"/>
    <w:lvl w:ilvl="0" w:tplc="8198386E">
      <w:start w:val="1"/>
      <w:numFmt w:val="lowerRoman"/>
      <w:lvlText w:val="(%1)"/>
      <w:lvlJc w:val="left"/>
      <w:pPr>
        <w:ind w:left="294" w:hanging="72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1">
    <w:nsid w:val="47B40720"/>
    <w:multiLevelType w:val="hybridMultilevel"/>
    <w:tmpl w:val="A8040D58"/>
    <w:lvl w:ilvl="0" w:tplc="8EEA4BDC">
      <w:start w:val="1"/>
      <w:numFmt w:val="decimal"/>
      <w:lvlText w:val="(%1)"/>
      <w:lvlJc w:val="left"/>
      <w:pPr>
        <w:ind w:left="99" w:hanging="360"/>
      </w:pPr>
      <w:rPr>
        <w:rFonts w:hint="default"/>
      </w:rPr>
    </w:lvl>
    <w:lvl w:ilvl="1" w:tplc="1C090019" w:tentative="1">
      <w:start w:val="1"/>
      <w:numFmt w:val="lowerLetter"/>
      <w:lvlText w:val="%2."/>
      <w:lvlJc w:val="left"/>
      <w:pPr>
        <w:ind w:left="819" w:hanging="360"/>
      </w:pPr>
    </w:lvl>
    <w:lvl w:ilvl="2" w:tplc="1C09001B" w:tentative="1">
      <w:start w:val="1"/>
      <w:numFmt w:val="lowerRoman"/>
      <w:lvlText w:val="%3."/>
      <w:lvlJc w:val="right"/>
      <w:pPr>
        <w:ind w:left="1539" w:hanging="180"/>
      </w:pPr>
    </w:lvl>
    <w:lvl w:ilvl="3" w:tplc="1C09000F" w:tentative="1">
      <w:start w:val="1"/>
      <w:numFmt w:val="decimal"/>
      <w:lvlText w:val="%4."/>
      <w:lvlJc w:val="left"/>
      <w:pPr>
        <w:ind w:left="2259" w:hanging="360"/>
      </w:pPr>
    </w:lvl>
    <w:lvl w:ilvl="4" w:tplc="1C090019" w:tentative="1">
      <w:start w:val="1"/>
      <w:numFmt w:val="lowerLetter"/>
      <w:lvlText w:val="%5."/>
      <w:lvlJc w:val="left"/>
      <w:pPr>
        <w:ind w:left="2979" w:hanging="360"/>
      </w:pPr>
    </w:lvl>
    <w:lvl w:ilvl="5" w:tplc="1C09001B" w:tentative="1">
      <w:start w:val="1"/>
      <w:numFmt w:val="lowerRoman"/>
      <w:lvlText w:val="%6."/>
      <w:lvlJc w:val="right"/>
      <w:pPr>
        <w:ind w:left="3699" w:hanging="180"/>
      </w:pPr>
    </w:lvl>
    <w:lvl w:ilvl="6" w:tplc="1C09000F" w:tentative="1">
      <w:start w:val="1"/>
      <w:numFmt w:val="decimal"/>
      <w:lvlText w:val="%7."/>
      <w:lvlJc w:val="left"/>
      <w:pPr>
        <w:ind w:left="4419" w:hanging="360"/>
      </w:pPr>
    </w:lvl>
    <w:lvl w:ilvl="7" w:tplc="1C090019" w:tentative="1">
      <w:start w:val="1"/>
      <w:numFmt w:val="lowerLetter"/>
      <w:lvlText w:val="%8."/>
      <w:lvlJc w:val="left"/>
      <w:pPr>
        <w:ind w:left="5139" w:hanging="360"/>
      </w:pPr>
    </w:lvl>
    <w:lvl w:ilvl="8" w:tplc="1C09001B" w:tentative="1">
      <w:start w:val="1"/>
      <w:numFmt w:val="lowerRoman"/>
      <w:lvlText w:val="%9."/>
      <w:lvlJc w:val="right"/>
      <w:pPr>
        <w:ind w:left="5859" w:hanging="180"/>
      </w:pPr>
    </w:lvl>
  </w:abstractNum>
  <w:abstractNum w:abstractNumId="2">
    <w:nsid w:val="4F914361"/>
    <w:multiLevelType w:val="hybridMultilevel"/>
    <w:tmpl w:val="754A0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5A"/>
    <w:rsid w:val="004D765A"/>
    <w:rsid w:val="00CC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5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765A"/>
    <w:pPr>
      <w:ind w:left="720"/>
      <w:contextualSpacing/>
    </w:pPr>
  </w:style>
  <w:style w:type="character" w:customStyle="1" w:styleId="ListParagraphChar">
    <w:name w:val="List Paragraph Char"/>
    <w:link w:val="ListParagraph"/>
    <w:uiPriority w:val="34"/>
    <w:locked/>
    <w:rsid w:val="004D765A"/>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5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765A"/>
    <w:pPr>
      <w:ind w:left="720"/>
      <w:contextualSpacing/>
    </w:pPr>
  </w:style>
  <w:style w:type="character" w:customStyle="1" w:styleId="ListParagraphChar">
    <w:name w:val="List Paragraph Char"/>
    <w:link w:val="ListParagraph"/>
    <w:uiPriority w:val="34"/>
    <w:locked/>
    <w:rsid w:val="004D765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2016-10-07T10:34:00Z</dcterms:created>
  <dcterms:modified xsi:type="dcterms:W3CDTF">2016-10-07T10:36:00Z</dcterms:modified>
</cp:coreProperties>
</file>