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F4" w:rsidRDefault="005009F4">
      <w:pPr>
        <w:pStyle w:val="BodyText"/>
        <w:spacing w:before="10"/>
        <w:rPr>
          <w:rFonts w:ascii="Times New Roman"/>
          <w:sz w:val="28"/>
        </w:rPr>
      </w:pPr>
      <w:r w:rsidRPr="005009F4">
        <w:pict>
          <v:line id="_x0000_s1028" style="position:absolute;z-index:1024;mso-position-horizontal-relative:page;mso-position-vertical-relative:page" from="100.9pt,1in" to="545.5pt,1in">
            <w10:wrap anchorx="page" anchory="page"/>
          </v:line>
        </w:pict>
      </w:r>
      <w:r w:rsidRPr="005009F4">
        <w:pict>
          <v:line id="_x0000_s1027" style="position:absolute;z-index:1048;mso-position-horizontal-relative:page;mso-position-vertical-relative:page" from="100.9pt,329.45pt" to="545.5pt,329.45pt">
            <w10:wrap anchorx="page" anchory="page"/>
          </v:line>
        </w:pict>
      </w:r>
      <w:r w:rsidRPr="005009F4">
        <w:pict>
          <v:line id="_x0000_s1026" style="position:absolute;z-index:-2656;mso-position-horizontal-relative:page;mso-position-vertical-relative:page" from="100.9pt,223.25pt" to="545.5pt,223.25pt">
            <w10:wrap anchorx="page" anchory="page"/>
          </v:line>
        </w:pict>
      </w:r>
    </w:p>
    <w:p w:rsidR="005009F4" w:rsidRDefault="00667AC0">
      <w:pPr>
        <w:pStyle w:val="BodyText"/>
        <w:ind w:left="40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 w:bidi="ar-SA"/>
        </w:rPr>
        <w:drawing>
          <wp:inline distT="0" distB="0" distL="0" distR="0">
            <wp:extent cx="847436" cy="1105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36" cy="11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F4" w:rsidRDefault="005009F4">
      <w:pPr>
        <w:pStyle w:val="BodyText"/>
        <w:spacing w:before="2"/>
        <w:rPr>
          <w:rFonts w:ascii="Times New Roman"/>
        </w:rPr>
      </w:pPr>
    </w:p>
    <w:p w:rsidR="005009F4" w:rsidRDefault="00667AC0">
      <w:pPr>
        <w:pStyle w:val="Heading1"/>
        <w:spacing w:line="669" w:lineRule="auto"/>
        <w:ind w:right="1624"/>
        <w:jc w:val="center"/>
      </w:pPr>
      <w:r>
        <w:t>MINISTRY OF DEFENCE &amp; MILITARY VETERANS NATIONAL ASSEMBLY</w:t>
      </w:r>
    </w:p>
    <w:p w:rsidR="005009F4" w:rsidRDefault="00667AC0">
      <w:pPr>
        <w:spacing w:before="74"/>
        <w:ind w:left="274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QUESTION FOR WRITTEN REPLY</w:t>
      </w:r>
    </w:p>
    <w:p w:rsidR="005009F4" w:rsidRDefault="005009F4">
      <w:pPr>
        <w:pStyle w:val="BodyText"/>
        <w:rPr>
          <w:rFonts w:ascii="Calibri"/>
          <w:b/>
          <w:sz w:val="28"/>
        </w:rPr>
      </w:pPr>
    </w:p>
    <w:p w:rsidR="005009F4" w:rsidRDefault="005009F4">
      <w:pPr>
        <w:pStyle w:val="BodyText"/>
        <w:rPr>
          <w:rFonts w:ascii="Calibri"/>
          <w:b/>
          <w:sz w:val="28"/>
        </w:rPr>
      </w:pPr>
    </w:p>
    <w:p w:rsidR="005009F4" w:rsidRDefault="005009F4">
      <w:pPr>
        <w:pStyle w:val="BodyText"/>
        <w:spacing w:before="1"/>
        <w:rPr>
          <w:rFonts w:ascii="Calibri"/>
          <w:b/>
          <w:sz w:val="27"/>
        </w:rPr>
      </w:pPr>
    </w:p>
    <w:p w:rsidR="005009F4" w:rsidRDefault="00667AC0">
      <w:pPr>
        <w:ind w:left="1111" w:right="117" w:hanging="720"/>
        <w:jc w:val="both"/>
        <w:rPr>
          <w:b/>
          <w:sz w:val="24"/>
        </w:rPr>
      </w:pPr>
      <w:r>
        <w:rPr>
          <w:b/>
          <w:sz w:val="24"/>
        </w:rPr>
        <w:t xml:space="preserve">207. </w:t>
      </w:r>
      <w:proofErr w:type="spellStart"/>
      <w:r>
        <w:rPr>
          <w:b/>
          <w:sz w:val="24"/>
        </w:rPr>
        <w:t>Inkosi</w:t>
      </w:r>
      <w:proofErr w:type="spellEnd"/>
      <w:r>
        <w:rPr>
          <w:b/>
          <w:sz w:val="24"/>
        </w:rPr>
        <w:t xml:space="preserve"> R N </w:t>
      </w:r>
      <w:proofErr w:type="spellStart"/>
      <w:r>
        <w:rPr>
          <w:b/>
          <w:sz w:val="24"/>
        </w:rPr>
        <w:t>Cebekhulu</w:t>
      </w:r>
      <w:proofErr w:type="spellEnd"/>
      <w:r>
        <w:rPr>
          <w:b/>
          <w:sz w:val="24"/>
        </w:rPr>
        <w:t xml:space="preserve"> (IFP) to ask the Minister of </w:t>
      </w:r>
      <w:proofErr w:type="spellStart"/>
      <w:r>
        <w:rPr>
          <w:b/>
          <w:sz w:val="24"/>
        </w:rPr>
        <w:t>Defence</w:t>
      </w:r>
      <w:proofErr w:type="spellEnd"/>
      <w:r>
        <w:rPr>
          <w:b/>
          <w:sz w:val="24"/>
        </w:rPr>
        <w:t xml:space="preserve"> and Military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Veterans:</w:t>
      </w:r>
    </w:p>
    <w:p w:rsidR="005009F4" w:rsidRDefault="005009F4">
      <w:pPr>
        <w:pStyle w:val="BodyText"/>
        <w:spacing w:before="5"/>
        <w:rPr>
          <w:b/>
          <w:sz w:val="24"/>
        </w:rPr>
      </w:pPr>
    </w:p>
    <w:p w:rsidR="005009F4" w:rsidRDefault="00667AC0">
      <w:pPr>
        <w:pStyle w:val="Heading2"/>
        <w:numPr>
          <w:ilvl w:val="0"/>
          <w:numId w:val="1"/>
        </w:numPr>
        <w:tabs>
          <w:tab w:val="left" w:pos="1489"/>
        </w:tabs>
        <w:spacing w:before="1"/>
        <w:ind w:right="119" w:firstLine="0"/>
        <w:jc w:val="both"/>
      </w:pPr>
      <w:r>
        <w:t>What is the total number of vacancies in (</w:t>
      </w:r>
      <w:proofErr w:type="spellStart"/>
      <w:r>
        <w:t>i</w:t>
      </w:r>
      <w:proofErr w:type="spellEnd"/>
      <w:r>
        <w:t>) her department and (ii) each of the provincial departments reporting to her and (b) by what date will the vacancies be filled in each</w:t>
      </w:r>
      <w:r>
        <w:rPr>
          <w:spacing w:val="-6"/>
        </w:rPr>
        <w:t xml:space="preserve"> </w:t>
      </w:r>
      <w:r>
        <w:t>case?</w:t>
      </w:r>
    </w:p>
    <w:p w:rsidR="005009F4" w:rsidRDefault="00667AC0">
      <w:pPr>
        <w:spacing w:line="229" w:lineRule="exact"/>
        <w:ind w:left="1612" w:right="1624"/>
        <w:jc w:val="center"/>
        <w:rPr>
          <w:sz w:val="20"/>
        </w:rPr>
      </w:pPr>
      <w:r>
        <w:rPr>
          <w:sz w:val="20"/>
        </w:rPr>
        <w:t>NW1165E</w:t>
      </w:r>
    </w:p>
    <w:p w:rsidR="005009F4" w:rsidRDefault="005009F4">
      <w:pPr>
        <w:pStyle w:val="BodyText"/>
        <w:rPr>
          <w:sz w:val="24"/>
        </w:rPr>
      </w:pPr>
    </w:p>
    <w:p w:rsidR="005009F4" w:rsidRDefault="00667AC0">
      <w:pPr>
        <w:spacing w:before="1"/>
        <w:ind w:left="391"/>
        <w:rPr>
          <w:b/>
        </w:rPr>
      </w:pPr>
      <w:r>
        <w:rPr>
          <w:b/>
        </w:rPr>
        <w:t>REPLY:</w:t>
      </w:r>
    </w:p>
    <w:p w:rsidR="005009F4" w:rsidRDefault="00667AC0">
      <w:pPr>
        <w:pStyle w:val="ListParagraph"/>
        <w:numPr>
          <w:ilvl w:val="0"/>
          <w:numId w:val="2"/>
        </w:numPr>
        <w:tabs>
          <w:tab w:val="left" w:pos="723"/>
        </w:tabs>
        <w:spacing w:before="128" w:line="360" w:lineRule="auto"/>
        <w:ind w:firstLine="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8"/>
        </w:rPr>
        <w:t xml:space="preserve"> </w:t>
      </w:r>
      <w:r>
        <w:t xml:space="preserve">The strength for the FY2019/20 of the Department of </w:t>
      </w:r>
      <w:proofErr w:type="spellStart"/>
      <w:r>
        <w:t>Defence</w:t>
      </w:r>
      <w:proofErr w:type="spellEnd"/>
      <w:r>
        <w:t xml:space="preserve"> (DOD) is 74,901. The strength at 30 June 2019 was 74,053. The vacancy rate at 30 June 2019 was 848 (</w:t>
      </w:r>
      <w:proofErr w:type="gramStart"/>
      <w:r>
        <w:t>military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civilian).</w:t>
      </w:r>
    </w:p>
    <w:p w:rsidR="005009F4" w:rsidRDefault="005009F4">
      <w:pPr>
        <w:pStyle w:val="BodyText"/>
        <w:spacing w:before="6"/>
        <w:rPr>
          <w:sz w:val="24"/>
        </w:rPr>
      </w:pPr>
    </w:p>
    <w:p w:rsidR="005009F4" w:rsidRDefault="00667AC0">
      <w:pPr>
        <w:pStyle w:val="ListParagraph"/>
        <w:numPr>
          <w:ilvl w:val="0"/>
          <w:numId w:val="2"/>
        </w:numPr>
        <w:tabs>
          <w:tab w:val="left" w:pos="1112"/>
        </w:tabs>
        <w:ind w:left="1111" w:right="116" w:hanging="720"/>
        <w:jc w:val="both"/>
      </w:pPr>
      <w:r>
        <w:t>The military posts will be filled in January 2020 with the annual Milit</w:t>
      </w:r>
      <w:r>
        <w:t>ary Skills Development Intake and the civilian posts are advertised and filled according the Department of Public Service and Administration</w:t>
      </w:r>
      <w:r>
        <w:rPr>
          <w:spacing w:val="-2"/>
        </w:rPr>
        <w:t xml:space="preserve"> </w:t>
      </w:r>
      <w:r>
        <w:t>processes.</w:t>
      </w: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rPr>
          <w:sz w:val="20"/>
        </w:rPr>
      </w:pPr>
    </w:p>
    <w:p w:rsidR="005009F4" w:rsidRDefault="005009F4">
      <w:pPr>
        <w:pStyle w:val="BodyText"/>
        <w:spacing w:before="6"/>
        <w:rPr>
          <w:sz w:val="20"/>
        </w:rPr>
      </w:pPr>
    </w:p>
    <w:p w:rsidR="005009F4" w:rsidRDefault="00667AC0">
      <w:pPr>
        <w:pStyle w:val="Heading2"/>
        <w:rPr>
          <w:rFonts w:ascii="Times New Roman"/>
        </w:rPr>
      </w:pPr>
      <w:r>
        <w:rPr>
          <w:rFonts w:ascii="Times New Roman"/>
        </w:rPr>
        <w:t>1</w:t>
      </w:r>
    </w:p>
    <w:sectPr w:rsidR="005009F4" w:rsidSect="005009F4">
      <w:type w:val="continuous"/>
      <w:pgSz w:w="11910" w:h="16840"/>
      <w:pgMar w:top="1420" w:right="13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4B5"/>
    <w:multiLevelType w:val="hybridMultilevel"/>
    <w:tmpl w:val="953CCB4E"/>
    <w:lvl w:ilvl="0" w:tplc="2ABCC552">
      <w:start w:val="1"/>
      <w:numFmt w:val="lowerLetter"/>
      <w:lvlText w:val="(%1)"/>
      <w:lvlJc w:val="left"/>
      <w:pPr>
        <w:ind w:left="391" w:hanging="33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8F493D4">
      <w:numFmt w:val="bullet"/>
      <w:lvlText w:val="•"/>
      <w:lvlJc w:val="left"/>
      <w:pPr>
        <w:ind w:left="1250" w:hanging="331"/>
      </w:pPr>
      <w:rPr>
        <w:rFonts w:hint="default"/>
        <w:lang w:val="en-US" w:eastAsia="en-US" w:bidi="en-US"/>
      </w:rPr>
    </w:lvl>
    <w:lvl w:ilvl="2" w:tplc="9182C936">
      <w:numFmt w:val="bullet"/>
      <w:lvlText w:val="•"/>
      <w:lvlJc w:val="left"/>
      <w:pPr>
        <w:ind w:left="2101" w:hanging="331"/>
      </w:pPr>
      <w:rPr>
        <w:rFonts w:hint="default"/>
        <w:lang w:val="en-US" w:eastAsia="en-US" w:bidi="en-US"/>
      </w:rPr>
    </w:lvl>
    <w:lvl w:ilvl="3" w:tplc="C1A2E8A4">
      <w:numFmt w:val="bullet"/>
      <w:lvlText w:val="•"/>
      <w:lvlJc w:val="left"/>
      <w:pPr>
        <w:ind w:left="2952" w:hanging="331"/>
      </w:pPr>
      <w:rPr>
        <w:rFonts w:hint="default"/>
        <w:lang w:val="en-US" w:eastAsia="en-US" w:bidi="en-US"/>
      </w:rPr>
    </w:lvl>
    <w:lvl w:ilvl="4" w:tplc="98DCCD5C">
      <w:numFmt w:val="bullet"/>
      <w:lvlText w:val="•"/>
      <w:lvlJc w:val="left"/>
      <w:pPr>
        <w:ind w:left="3803" w:hanging="331"/>
      </w:pPr>
      <w:rPr>
        <w:rFonts w:hint="default"/>
        <w:lang w:val="en-US" w:eastAsia="en-US" w:bidi="en-US"/>
      </w:rPr>
    </w:lvl>
    <w:lvl w:ilvl="5" w:tplc="C686B4E8">
      <w:numFmt w:val="bullet"/>
      <w:lvlText w:val="•"/>
      <w:lvlJc w:val="left"/>
      <w:pPr>
        <w:ind w:left="4654" w:hanging="331"/>
      </w:pPr>
      <w:rPr>
        <w:rFonts w:hint="default"/>
        <w:lang w:val="en-US" w:eastAsia="en-US" w:bidi="en-US"/>
      </w:rPr>
    </w:lvl>
    <w:lvl w:ilvl="6" w:tplc="D9C28EA4">
      <w:numFmt w:val="bullet"/>
      <w:lvlText w:val="•"/>
      <w:lvlJc w:val="left"/>
      <w:pPr>
        <w:ind w:left="5505" w:hanging="331"/>
      </w:pPr>
      <w:rPr>
        <w:rFonts w:hint="default"/>
        <w:lang w:val="en-US" w:eastAsia="en-US" w:bidi="en-US"/>
      </w:rPr>
    </w:lvl>
    <w:lvl w:ilvl="7" w:tplc="AE6AAD8E">
      <w:numFmt w:val="bullet"/>
      <w:lvlText w:val="•"/>
      <w:lvlJc w:val="left"/>
      <w:pPr>
        <w:ind w:left="6356" w:hanging="331"/>
      </w:pPr>
      <w:rPr>
        <w:rFonts w:hint="default"/>
        <w:lang w:val="en-US" w:eastAsia="en-US" w:bidi="en-US"/>
      </w:rPr>
    </w:lvl>
    <w:lvl w:ilvl="8" w:tplc="C1CAFCC6">
      <w:numFmt w:val="bullet"/>
      <w:lvlText w:val="•"/>
      <w:lvlJc w:val="left"/>
      <w:pPr>
        <w:ind w:left="7207" w:hanging="331"/>
      </w:pPr>
      <w:rPr>
        <w:rFonts w:hint="default"/>
        <w:lang w:val="en-US" w:eastAsia="en-US" w:bidi="en-US"/>
      </w:rPr>
    </w:lvl>
  </w:abstractNum>
  <w:abstractNum w:abstractNumId="1">
    <w:nsid w:val="7CA228F0"/>
    <w:multiLevelType w:val="hybridMultilevel"/>
    <w:tmpl w:val="8E5623D0"/>
    <w:lvl w:ilvl="0" w:tplc="625AAF22">
      <w:start w:val="1"/>
      <w:numFmt w:val="lowerLetter"/>
      <w:lvlText w:val="(%1)"/>
      <w:lvlJc w:val="left"/>
      <w:pPr>
        <w:ind w:left="1111" w:hanging="377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966BBB6">
      <w:numFmt w:val="bullet"/>
      <w:lvlText w:val="•"/>
      <w:lvlJc w:val="left"/>
      <w:pPr>
        <w:ind w:left="1898" w:hanging="377"/>
      </w:pPr>
      <w:rPr>
        <w:rFonts w:hint="default"/>
        <w:lang w:val="en-US" w:eastAsia="en-US" w:bidi="en-US"/>
      </w:rPr>
    </w:lvl>
    <w:lvl w:ilvl="2" w:tplc="AAB0A156">
      <w:numFmt w:val="bullet"/>
      <w:lvlText w:val="•"/>
      <w:lvlJc w:val="left"/>
      <w:pPr>
        <w:ind w:left="2677" w:hanging="377"/>
      </w:pPr>
      <w:rPr>
        <w:rFonts w:hint="default"/>
        <w:lang w:val="en-US" w:eastAsia="en-US" w:bidi="en-US"/>
      </w:rPr>
    </w:lvl>
    <w:lvl w:ilvl="3" w:tplc="1152C48A">
      <w:numFmt w:val="bullet"/>
      <w:lvlText w:val="•"/>
      <w:lvlJc w:val="left"/>
      <w:pPr>
        <w:ind w:left="3456" w:hanging="377"/>
      </w:pPr>
      <w:rPr>
        <w:rFonts w:hint="default"/>
        <w:lang w:val="en-US" w:eastAsia="en-US" w:bidi="en-US"/>
      </w:rPr>
    </w:lvl>
    <w:lvl w:ilvl="4" w:tplc="902EAA3C">
      <w:numFmt w:val="bullet"/>
      <w:lvlText w:val="•"/>
      <w:lvlJc w:val="left"/>
      <w:pPr>
        <w:ind w:left="4235" w:hanging="377"/>
      </w:pPr>
      <w:rPr>
        <w:rFonts w:hint="default"/>
        <w:lang w:val="en-US" w:eastAsia="en-US" w:bidi="en-US"/>
      </w:rPr>
    </w:lvl>
    <w:lvl w:ilvl="5" w:tplc="4AACF794">
      <w:numFmt w:val="bullet"/>
      <w:lvlText w:val="•"/>
      <w:lvlJc w:val="left"/>
      <w:pPr>
        <w:ind w:left="5014" w:hanging="377"/>
      </w:pPr>
      <w:rPr>
        <w:rFonts w:hint="default"/>
        <w:lang w:val="en-US" w:eastAsia="en-US" w:bidi="en-US"/>
      </w:rPr>
    </w:lvl>
    <w:lvl w:ilvl="6" w:tplc="771E49A6">
      <w:numFmt w:val="bullet"/>
      <w:lvlText w:val="•"/>
      <w:lvlJc w:val="left"/>
      <w:pPr>
        <w:ind w:left="5793" w:hanging="377"/>
      </w:pPr>
      <w:rPr>
        <w:rFonts w:hint="default"/>
        <w:lang w:val="en-US" w:eastAsia="en-US" w:bidi="en-US"/>
      </w:rPr>
    </w:lvl>
    <w:lvl w:ilvl="7" w:tplc="B872A31C">
      <w:numFmt w:val="bullet"/>
      <w:lvlText w:val="•"/>
      <w:lvlJc w:val="left"/>
      <w:pPr>
        <w:ind w:left="6572" w:hanging="377"/>
      </w:pPr>
      <w:rPr>
        <w:rFonts w:hint="default"/>
        <w:lang w:val="en-US" w:eastAsia="en-US" w:bidi="en-US"/>
      </w:rPr>
    </w:lvl>
    <w:lvl w:ilvl="8" w:tplc="064CF4F2">
      <w:numFmt w:val="bullet"/>
      <w:lvlText w:val="•"/>
      <w:lvlJc w:val="left"/>
      <w:pPr>
        <w:ind w:left="7351" w:hanging="37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009F4"/>
    <w:rsid w:val="005009F4"/>
    <w:rsid w:val="0066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09F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009F4"/>
    <w:pPr>
      <w:spacing w:before="44"/>
      <w:ind w:left="1903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009F4"/>
    <w:pPr>
      <w:ind w:left="275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09F4"/>
  </w:style>
  <w:style w:type="paragraph" w:styleId="ListParagraph">
    <w:name w:val="List Paragraph"/>
    <w:basedOn w:val="Normal"/>
    <w:uiPriority w:val="1"/>
    <w:qFormat/>
    <w:rsid w:val="005009F4"/>
    <w:pPr>
      <w:spacing w:before="1"/>
      <w:ind w:left="1111" w:right="114"/>
      <w:jc w:val="both"/>
    </w:pPr>
  </w:style>
  <w:style w:type="paragraph" w:customStyle="1" w:styleId="TableParagraph">
    <w:name w:val="Table Paragraph"/>
    <w:basedOn w:val="Normal"/>
    <w:uiPriority w:val="1"/>
    <w:qFormat/>
    <w:rsid w:val="005009F4"/>
  </w:style>
  <w:style w:type="paragraph" w:styleId="BalloonText">
    <w:name w:val="Balloon Text"/>
    <w:basedOn w:val="Normal"/>
    <w:link w:val="BalloonTextChar"/>
    <w:uiPriority w:val="99"/>
    <w:semiHidden/>
    <w:unhideWhenUsed/>
    <w:rsid w:val="0066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Proline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dcterms:created xsi:type="dcterms:W3CDTF">2019-07-31T11:49:00Z</dcterms:created>
  <dcterms:modified xsi:type="dcterms:W3CDTF">2019-07-31T11:49:00Z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