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Default="00902F0A">
      <w:pPr>
        <w:pStyle w:val="Body1"/>
        <w:jc w:val="center"/>
        <w:rPr>
          <w:rFonts w:ascii="Arial" w:hAnsi="Arial"/>
          <w:b/>
        </w:rPr>
      </w:pPr>
      <w:r>
        <w:rPr>
          <w:rFonts w:ascii="Arial" w:hAnsi="Arial"/>
          <w:b/>
          <w:noProof/>
          <w:color w:val="FF0000"/>
          <w:lang w:val="en-ZA" w:eastAsia="en-ZA"/>
        </w:rPr>
        <w:drawing>
          <wp:anchor distT="50800" distB="50800" distL="50800" distR="50800" simplePos="0" relativeHeight="251657728" behindDoc="0" locked="0" layoutInCell="1" allowOverlap="1">
            <wp:simplePos x="0" y="0"/>
            <wp:positionH relativeFrom="page">
              <wp:align>center</wp:align>
            </wp:positionH>
            <wp:positionV relativeFrom="page">
              <wp:posOffset>180975</wp:posOffset>
            </wp:positionV>
            <wp:extent cx="4112895" cy="1864360"/>
            <wp:effectExtent l="19050" t="0" r="1905" b="0"/>
            <wp:wrapTight wrapText="bothSides">
              <wp:wrapPolygon edited="0">
                <wp:start x="-100" y="0"/>
                <wp:lineTo x="-100" y="21409"/>
                <wp:lineTo x="21610" y="21409"/>
                <wp:lineTo x="21610" y="0"/>
                <wp:lineTo x="-100"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l="13605" t="5807" r="13361" b="70718"/>
                    <a:stretch>
                      <a:fillRect/>
                    </a:stretch>
                  </pic:blipFill>
                  <pic:spPr bwMode="auto">
                    <a:xfrm>
                      <a:off x="0" y="0"/>
                      <a:ext cx="4112895" cy="1864360"/>
                    </a:xfrm>
                    <a:prstGeom prst="rect">
                      <a:avLst/>
                    </a:prstGeom>
                    <a:noFill/>
                    <a:ln w="12700">
                      <a:noFill/>
                      <a:miter lim="0"/>
                      <a:headEnd/>
                      <a:tailEnd/>
                    </a:ln>
                    <a:effectLst/>
                  </pic:spPr>
                </pic:pic>
              </a:graphicData>
            </a:graphic>
          </wp:anchor>
        </w:drawing>
      </w:r>
    </w:p>
    <w:p w:rsidR="00150B15" w:rsidRDefault="00150B15">
      <w:pPr>
        <w:pStyle w:val="Body1"/>
        <w:jc w:val="center"/>
        <w:rPr>
          <w:rFonts w:ascii="Arial" w:hAnsi="Arial"/>
          <w:b/>
        </w:rPr>
      </w:pPr>
    </w:p>
    <w:p w:rsidR="00150B15" w:rsidRDefault="00150B15" w:rsidP="00E30E99">
      <w:pPr>
        <w:pStyle w:val="Body1"/>
        <w:rPr>
          <w:rFonts w:ascii="Arial" w:hAnsi="Arial"/>
          <w:b/>
        </w:rPr>
      </w:pPr>
    </w:p>
    <w:p w:rsidR="00150B15" w:rsidRDefault="00150B15">
      <w:pPr>
        <w:pStyle w:val="Body1"/>
        <w:jc w:val="right"/>
        <w:rPr>
          <w:rFonts w:ascii="Arial" w:hAnsi="Arial"/>
          <w:b/>
          <w:color w:val="FF0000"/>
        </w:rPr>
      </w:pPr>
    </w:p>
    <w:p w:rsidR="00306351" w:rsidRDefault="00306351">
      <w:pPr>
        <w:pStyle w:val="Body1"/>
        <w:jc w:val="center"/>
        <w:rPr>
          <w:rFonts w:ascii="Arial" w:hAnsi="Arial Unicode MS"/>
          <w:b/>
        </w:rPr>
      </w:pPr>
    </w:p>
    <w:p w:rsidR="00150B15" w:rsidRDefault="00150B15">
      <w:pPr>
        <w:pStyle w:val="Body1"/>
        <w:jc w:val="center"/>
        <w:rPr>
          <w:rFonts w:ascii="Arial" w:hAnsi="Arial"/>
          <w:b/>
        </w:rPr>
      </w:pPr>
      <w:r>
        <w:rPr>
          <w:rFonts w:ascii="Arial" w:hAnsi="Arial Unicode MS"/>
          <w:b/>
        </w:rPr>
        <w:t xml:space="preserve">NATIONAL </w:t>
      </w:r>
      <w:r w:rsidR="00ED53EE">
        <w:rPr>
          <w:rFonts w:ascii="Arial" w:hAnsi="Arial Unicode MS"/>
          <w:b/>
        </w:rPr>
        <w:t>ASSEMBLY</w:t>
      </w:r>
    </w:p>
    <w:p w:rsidR="00150B15" w:rsidRDefault="00150B15">
      <w:pPr>
        <w:pStyle w:val="Body1"/>
        <w:jc w:val="right"/>
        <w:rPr>
          <w:rFonts w:ascii="Arial" w:hAnsi="Arial"/>
          <w:b/>
          <w:color w:val="FF0000"/>
        </w:rPr>
      </w:pPr>
    </w:p>
    <w:p w:rsidR="00150B15" w:rsidRDefault="008A5330" w:rsidP="008A5330">
      <w:pPr>
        <w:tabs>
          <w:tab w:val="left" w:pos="7560"/>
        </w:tabs>
        <w:outlineLvl w:val="0"/>
        <w:rPr>
          <w:rFonts w:ascii="Arial" w:eastAsia="Arial Unicode MS" w:hAnsi="Arial"/>
          <w:b/>
          <w:color w:val="000000"/>
          <w:u w:color="000000"/>
        </w:rPr>
      </w:pPr>
      <w:r>
        <w:rPr>
          <w:rFonts w:ascii="Arial" w:eastAsia="Arial Unicode MS" w:hAnsi="Arial"/>
          <w:b/>
          <w:color w:val="000000"/>
          <w:u w:color="000000"/>
        </w:rPr>
        <w:tab/>
      </w:r>
    </w:p>
    <w:p w:rsidR="00150B15" w:rsidRDefault="00150B15">
      <w:pPr>
        <w:outlineLvl w:val="0"/>
        <w:rPr>
          <w:rFonts w:ascii="Arial" w:eastAsia="Arial Unicode MS" w:hAnsi="Arial"/>
          <w:b/>
          <w:color w:val="000000"/>
          <w:u w:color="000000"/>
        </w:rPr>
      </w:pPr>
      <w:r>
        <w:rPr>
          <w:rFonts w:ascii="Arial" w:eastAsia="Arial Unicode MS" w:hAnsi="Arial Unicode MS"/>
          <w:b/>
          <w:color w:val="000000"/>
          <w:u w:color="000000"/>
        </w:rPr>
        <w:t>WRITTEN REPLY</w:t>
      </w:r>
    </w:p>
    <w:p w:rsidR="00150B15" w:rsidRDefault="00150B15">
      <w:pPr>
        <w:jc w:val="both"/>
        <w:outlineLvl w:val="0"/>
        <w:rPr>
          <w:rFonts w:ascii="Arial" w:eastAsia="Arial Unicode MS" w:hAnsi="Arial"/>
          <w:b/>
          <w:color w:val="000000"/>
          <w:u w:color="000000"/>
        </w:rPr>
      </w:pPr>
    </w:p>
    <w:p w:rsidR="00150B15" w:rsidRDefault="000E0227">
      <w:pPr>
        <w:jc w:val="both"/>
        <w:outlineLvl w:val="0"/>
        <w:rPr>
          <w:rFonts w:ascii="Arial" w:eastAsia="Arial Unicode MS" w:hAnsi="Arial"/>
          <w:b/>
          <w:color w:val="000000"/>
          <w:u w:color="000000"/>
        </w:rPr>
      </w:pPr>
      <w:r>
        <w:rPr>
          <w:rFonts w:ascii="Arial" w:eastAsia="Arial Unicode MS" w:hAnsi="Arial Unicode MS"/>
          <w:b/>
          <w:color w:val="000000"/>
          <w:u w:color="000000"/>
        </w:rPr>
        <w:t>PARLIAMENTARY QUESTION:</w:t>
      </w:r>
      <w:r w:rsidR="00150B15">
        <w:rPr>
          <w:rFonts w:ascii="Arial" w:eastAsia="Arial Unicode MS" w:hAnsi="Arial Unicode MS"/>
          <w:b/>
          <w:color w:val="000000"/>
          <w:u w:color="000000"/>
        </w:rPr>
        <w:t xml:space="preserve"> </w:t>
      </w:r>
      <w:r w:rsidR="00C72B34">
        <w:rPr>
          <w:rFonts w:ascii="Arial" w:eastAsia="Arial Unicode MS" w:hAnsi="Arial Unicode MS"/>
          <w:b/>
          <w:color w:val="000000"/>
          <w:u w:color="000000"/>
        </w:rPr>
        <w:t>2063</w:t>
      </w:r>
      <w:r w:rsidR="00ED53EE">
        <w:rPr>
          <w:rFonts w:ascii="Arial" w:eastAsia="Arial Unicode MS" w:hAnsi="Arial Unicode MS"/>
          <w:b/>
          <w:color w:val="000000"/>
          <w:u w:color="000000"/>
        </w:rPr>
        <w:t xml:space="preserve"> </w:t>
      </w:r>
    </w:p>
    <w:p w:rsidR="00150B15" w:rsidRDefault="00150B15">
      <w:pPr>
        <w:jc w:val="both"/>
        <w:outlineLvl w:val="0"/>
        <w:rPr>
          <w:rFonts w:ascii="Arial" w:eastAsia="Arial Unicode MS" w:hAnsi="Arial"/>
          <w:b/>
          <w:color w:val="000000"/>
          <w:u w:color="000000"/>
        </w:rPr>
      </w:pPr>
    </w:p>
    <w:p w:rsidR="00150B15" w:rsidRDefault="009E2258">
      <w:pPr>
        <w:jc w:val="both"/>
        <w:outlineLvl w:val="0"/>
        <w:rPr>
          <w:rFonts w:ascii="Arial" w:eastAsia="Arial Unicode MS" w:hAnsi="Arial"/>
          <w:color w:val="000000"/>
          <w:u w:color="000000"/>
        </w:rPr>
      </w:pPr>
      <w:r>
        <w:rPr>
          <w:rFonts w:ascii="Arial" w:eastAsia="Arial Unicode MS" w:hAnsi="Arial Unicode MS"/>
          <w:b/>
          <w:color w:val="000000"/>
          <w:u w:color="000000"/>
        </w:rPr>
        <w:t>D</w:t>
      </w:r>
      <w:r w:rsidR="00AC6690">
        <w:rPr>
          <w:rFonts w:ascii="Arial" w:eastAsia="Arial Unicode MS" w:hAnsi="Arial Unicode MS"/>
          <w:b/>
          <w:color w:val="000000"/>
          <w:u w:color="000000"/>
        </w:rPr>
        <w:t xml:space="preserve">ATE OF PUBLICATION: </w:t>
      </w:r>
      <w:r w:rsidR="00530B19">
        <w:rPr>
          <w:rFonts w:ascii="Arial" w:eastAsia="Arial Unicode MS" w:hAnsi="Arial Unicode MS"/>
          <w:b/>
          <w:color w:val="000000"/>
          <w:u w:color="000000"/>
        </w:rPr>
        <w:t>07</w:t>
      </w:r>
      <w:r w:rsidR="00AC6690">
        <w:rPr>
          <w:rFonts w:ascii="Arial" w:eastAsia="Arial Unicode MS" w:hAnsi="Arial Unicode MS"/>
          <w:b/>
          <w:color w:val="000000"/>
          <w:u w:color="000000"/>
        </w:rPr>
        <w:t xml:space="preserve"> August 2017 </w:t>
      </w:r>
    </w:p>
    <w:p w:rsidR="00150B15" w:rsidRDefault="00150B15">
      <w:pPr>
        <w:jc w:val="both"/>
        <w:outlineLvl w:val="0"/>
        <w:rPr>
          <w:rFonts w:ascii="Arial" w:eastAsia="Arial Unicode MS" w:hAnsi="Arial"/>
          <w:color w:val="000000"/>
          <w:u w:color="000000"/>
        </w:rPr>
      </w:pPr>
    </w:p>
    <w:p w:rsidR="00150B15" w:rsidRDefault="00AC6690">
      <w:pPr>
        <w:outlineLvl w:val="0"/>
        <w:rPr>
          <w:rFonts w:ascii="Arial" w:eastAsia="Arial Unicode MS" w:hAnsi="Arial"/>
          <w:b/>
          <w:color w:val="000000"/>
          <w:u w:color="000000"/>
        </w:rPr>
      </w:pPr>
      <w:r>
        <w:rPr>
          <w:rFonts w:ascii="Arial" w:eastAsia="Arial Unicode MS" w:hAnsi="Arial Unicode MS"/>
          <w:b/>
          <w:color w:val="000000"/>
          <w:u w:color="000000"/>
        </w:rPr>
        <w:t>Mr M S Mbatha (EFF)</w:t>
      </w:r>
      <w:r w:rsidR="00C56405">
        <w:rPr>
          <w:rFonts w:ascii="Arial" w:eastAsia="Arial Unicode MS" w:hAnsi="Arial Unicode MS"/>
          <w:b/>
          <w:color w:val="000000"/>
          <w:u w:color="000000"/>
        </w:rPr>
        <w:t xml:space="preserve"> to ask the Minister of Economic Development:</w:t>
      </w:r>
    </w:p>
    <w:p w:rsidR="00FB63F7" w:rsidRDefault="00FB63F7" w:rsidP="0015574C">
      <w:pPr>
        <w:spacing w:line="360" w:lineRule="auto"/>
        <w:jc w:val="both"/>
        <w:outlineLvl w:val="0"/>
        <w:rPr>
          <w:rFonts w:ascii="Arial" w:hAnsi="Arial" w:cs="Arial"/>
        </w:rPr>
      </w:pPr>
    </w:p>
    <w:p w:rsidR="00874C4D" w:rsidRDefault="00930011" w:rsidP="00874C4D">
      <w:pPr>
        <w:spacing w:line="360" w:lineRule="auto"/>
        <w:jc w:val="both"/>
        <w:outlineLvl w:val="0"/>
        <w:rPr>
          <w:rFonts w:ascii="Arial" w:hAnsi="Arial" w:cs="Arial"/>
        </w:rPr>
      </w:pPr>
      <w:r w:rsidRPr="00930011">
        <w:rPr>
          <w:rFonts w:ascii="Arial" w:hAnsi="Arial" w:cs="Arial"/>
        </w:rPr>
        <w:t xml:space="preserve">Whether (a) his department and/or (b) any entities reporting to him are funding, including by way of discretionary funding, any institution of research and development (i) domestically and/or (ii) internationally; if so, (aa)(aaa) what are the names of the specified institutions and (bbb) what are their functions, (bb) from what date has his department or any entity reporting to him been funding them and (cc) what amount has his department contributed towards such funding?  </w:t>
      </w:r>
      <w:r>
        <w:rPr>
          <w:rFonts w:ascii="Arial" w:hAnsi="Arial" w:cs="Arial"/>
        </w:rPr>
        <w:t xml:space="preserve">                                                                                                 </w:t>
      </w:r>
      <w:r w:rsidRPr="00930011">
        <w:rPr>
          <w:rFonts w:ascii="Arial" w:hAnsi="Arial" w:cs="Arial"/>
        </w:rPr>
        <w:t>NW2285E</w:t>
      </w:r>
      <w:r>
        <w:rPr>
          <w:rFonts w:ascii="Arial" w:hAnsi="Arial" w:cs="Arial"/>
        </w:rPr>
        <w:t xml:space="preserve"> </w:t>
      </w:r>
    </w:p>
    <w:p w:rsidR="00874C4D" w:rsidRDefault="00874C4D" w:rsidP="00874C4D">
      <w:pPr>
        <w:spacing w:line="360" w:lineRule="auto"/>
        <w:jc w:val="both"/>
        <w:outlineLvl w:val="0"/>
        <w:rPr>
          <w:rFonts w:ascii="Arial" w:hAnsi="Arial" w:cs="Arial"/>
        </w:rPr>
      </w:pPr>
    </w:p>
    <w:p w:rsidR="00150B15" w:rsidRDefault="00150B15" w:rsidP="00874C4D">
      <w:pPr>
        <w:spacing w:line="360" w:lineRule="auto"/>
        <w:jc w:val="both"/>
        <w:outlineLvl w:val="0"/>
        <w:rPr>
          <w:rFonts w:ascii="Arial" w:eastAsia="Arial Unicode MS" w:hAnsi="Arial Unicode MS"/>
          <w:b/>
          <w:color w:val="000000"/>
          <w:u w:color="000000"/>
        </w:rPr>
      </w:pPr>
      <w:r w:rsidRPr="0015574C">
        <w:rPr>
          <w:rFonts w:ascii="Arial" w:eastAsia="Arial Unicode MS" w:hAnsi="Arial Unicode MS"/>
          <w:b/>
          <w:color w:val="000000"/>
          <w:u w:color="000000"/>
        </w:rPr>
        <w:t>REPLY</w:t>
      </w:r>
    </w:p>
    <w:p w:rsidR="00A1628C" w:rsidRPr="00A1628C" w:rsidRDefault="00A1628C" w:rsidP="00874C4D">
      <w:pPr>
        <w:spacing w:line="360" w:lineRule="auto"/>
        <w:jc w:val="both"/>
        <w:outlineLvl w:val="0"/>
        <w:rPr>
          <w:rFonts w:ascii="Arial" w:eastAsia="Arial Unicode MS" w:hAnsi="Arial Unicode MS"/>
          <w:color w:val="000000"/>
          <w:u w:color="000000"/>
        </w:rPr>
      </w:pPr>
    </w:p>
    <w:p w:rsidR="00A1628C" w:rsidRDefault="00A1628C" w:rsidP="00A1628C">
      <w:pPr>
        <w:spacing w:line="360" w:lineRule="auto"/>
        <w:jc w:val="both"/>
        <w:rPr>
          <w:rFonts w:ascii="Arial" w:hAnsi="Arial" w:cs="Arial"/>
        </w:rPr>
      </w:pPr>
      <w:r w:rsidRPr="00A1628C">
        <w:rPr>
          <w:rFonts w:ascii="Arial" w:hAnsi="Arial" w:cs="Arial"/>
        </w:rPr>
        <w:t>The Economic Development Department, Competition Tribunal and</w:t>
      </w:r>
      <w:r w:rsidRPr="00A1628C">
        <w:rPr>
          <w:rFonts w:ascii="Arial" w:hAnsi="Arial" w:cs="Arial"/>
          <w:color w:val="FF0000"/>
        </w:rPr>
        <w:t xml:space="preserve"> </w:t>
      </w:r>
      <w:r w:rsidRPr="00A1628C">
        <w:rPr>
          <w:rFonts w:ascii="Arial" w:hAnsi="Arial" w:cs="Arial"/>
        </w:rPr>
        <w:t>ITAC are not funding any institution of research and development either domestically or internationally.    Below are details of Competition Commission and IDC funding for institutions of research development</w:t>
      </w:r>
      <w:r>
        <w:rPr>
          <w:rFonts w:ascii="Arial" w:hAnsi="Arial" w:cs="Arial"/>
        </w:rPr>
        <w:t>.</w:t>
      </w:r>
    </w:p>
    <w:p w:rsidR="00090031" w:rsidRDefault="00090031" w:rsidP="00A1628C">
      <w:pPr>
        <w:spacing w:line="360" w:lineRule="auto"/>
        <w:jc w:val="both"/>
        <w:rPr>
          <w:rFonts w:ascii="Arial" w:hAnsi="Arial" w:cs="Arial"/>
        </w:rPr>
      </w:pPr>
    </w:p>
    <w:p w:rsidR="00090031" w:rsidRDefault="00090031" w:rsidP="00A1628C">
      <w:pPr>
        <w:spacing w:line="360" w:lineRule="auto"/>
        <w:jc w:val="both"/>
        <w:rPr>
          <w:rFonts w:ascii="Arial" w:hAnsi="Arial" w:cs="Arial"/>
        </w:rPr>
      </w:pPr>
    </w:p>
    <w:p w:rsidR="00090031" w:rsidRDefault="00090031" w:rsidP="00A1628C">
      <w:pPr>
        <w:spacing w:line="360" w:lineRule="auto"/>
        <w:jc w:val="both"/>
        <w:rPr>
          <w:rFonts w:ascii="Arial" w:hAnsi="Arial" w:cs="Arial"/>
        </w:rPr>
      </w:pPr>
    </w:p>
    <w:p w:rsidR="00090031" w:rsidRDefault="00090031" w:rsidP="00A1628C">
      <w:pPr>
        <w:spacing w:line="360" w:lineRule="auto"/>
        <w:jc w:val="both"/>
        <w:rPr>
          <w:rFonts w:ascii="Arial" w:hAnsi="Arial" w:cs="Arial"/>
        </w:rPr>
      </w:pPr>
    </w:p>
    <w:p w:rsidR="00090031" w:rsidRPr="00090031" w:rsidRDefault="00090031" w:rsidP="00A1628C">
      <w:pPr>
        <w:spacing w:line="360" w:lineRule="auto"/>
        <w:jc w:val="both"/>
        <w:rPr>
          <w:rFonts w:ascii="Arial" w:hAnsi="Arial" w:cs="Arial"/>
        </w:rPr>
      </w:pPr>
    </w:p>
    <w:p w:rsidR="00A1628C" w:rsidRPr="00CC16B1" w:rsidRDefault="00A1628C" w:rsidP="00A1628C">
      <w:pPr>
        <w:spacing w:line="360" w:lineRule="auto"/>
        <w:jc w:val="both"/>
        <w:rPr>
          <w:rFonts w:ascii="Arial" w:hAnsi="Arial" w:cs="Arial"/>
          <w:b/>
        </w:rPr>
      </w:pPr>
      <w:r>
        <w:rPr>
          <w:rFonts w:ascii="Arial" w:hAnsi="Arial" w:cs="Arial"/>
          <w:b/>
        </w:rPr>
        <w:lastRenderedPageBreak/>
        <w:t>Competition Commission</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544"/>
        <w:gridCol w:w="1984"/>
        <w:gridCol w:w="2127"/>
      </w:tblGrid>
      <w:tr w:rsidR="00A1628C" w:rsidRPr="00146987" w:rsidTr="00A37C50">
        <w:tc>
          <w:tcPr>
            <w:tcW w:w="3261" w:type="dxa"/>
            <w:shd w:val="clear" w:color="auto" w:fill="D9D9D9"/>
          </w:tcPr>
          <w:p w:rsidR="00A1628C" w:rsidRPr="00146987" w:rsidRDefault="00A1628C" w:rsidP="00A37C50">
            <w:pPr>
              <w:spacing w:line="360" w:lineRule="auto"/>
              <w:jc w:val="both"/>
              <w:rPr>
                <w:rFonts w:ascii="Arial" w:eastAsia="Calibri" w:hAnsi="Arial" w:cs="Arial"/>
                <w:b/>
                <w:color w:val="FF0000"/>
                <w:sz w:val="22"/>
                <w:szCs w:val="22"/>
              </w:rPr>
            </w:pPr>
            <w:r w:rsidRPr="00146987">
              <w:rPr>
                <w:rFonts w:ascii="Arial" w:eastAsia="Calibri" w:hAnsi="Arial" w:cs="Arial"/>
                <w:b/>
                <w:bCs/>
                <w:sz w:val="20"/>
                <w:szCs w:val="22"/>
              </w:rPr>
              <w:t xml:space="preserve">Beneficiary Institution  </w:t>
            </w:r>
          </w:p>
        </w:tc>
        <w:tc>
          <w:tcPr>
            <w:tcW w:w="3544" w:type="dxa"/>
            <w:shd w:val="clear" w:color="auto" w:fill="D9D9D9"/>
          </w:tcPr>
          <w:p w:rsidR="00A1628C" w:rsidRPr="00146987" w:rsidRDefault="00A1628C" w:rsidP="00A37C50">
            <w:pPr>
              <w:spacing w:line="360" w:lineRule="auto"/>
              <w:jc w:val="both"/>
              <w:rPr>
                <w:rFonts w:ascii="Arial" w:eastAsia="Calibri" w:hAnsi="Arial" w:cs="Arial"/>
                <w:b/>
                <w:color w:val="FF0000"/>
                <w:sz w:val="22"/>
                <w:szCs w:val="22"/>
              </w:rPr>
            </w:pPr>
            <w:r w:rsidRPr="00146987">
              <w:rPr>
                <w:rFonts w:ascii="Arial" w:eastAsia="Calibri" w:hAnsi="Arial" w:cs="Arial"/>
                <w:b/>
                <w:sz w:val="20"/>
                <w:szCs w:val="18"/>
              </w:rPr>
              <w:t>Function</w:t>
            </w:r>
          </w:p>
        </w:tc>
        <w:tc>
          <w:tcPr>
            <w:tcW w:w="1984" w:type="dxa"/>
            <w:shd w:val="clear" w:color="auto" w:fill="D9D9D9"/>
          </w:tcPr>
          <w:p w:rsidR="00A1628C" w:rsidRPr="00146987" w:rsidRDefault="00A1628C" w:rsidP="00A37C50">
            <w:pPr>
              <w:spacing w:line="360" w:lineRule="auto"/>
              <w:jc w:val="both"/>
              <w:rPr>
                <w:rFonts w:ascii="Arial" w:eastAsia="Calibri" w:hAnsi="Arial" w:cs="Arial"/>
                <w:b/>
                <w:color w:val="FF0000"/>
                <w:sz w:val="22"/>
                <w:szCs w:val="22"/>
              </w:rPr>
            </w:pPr>
            <w:r w:rsidRPr="00146987">
              <w:rPr>
                <w:rFonts w:ascii="Arial" w:eastAsia="Calibri" w:hAnsi="Arial" w:cs="Arial"/>
                <w:b/>
                <w:sz w:val="20"/>
                <w:szCs w:val="18"/>
              </w:rPr>
              <w:t>Period of funding</w:t>
            </w:r>
          </w:p>
        </w:tc>
        <w:tc>
          <w:tcPr>
            <w:tcW w:w="2127" w:type="dxa"/>
            <w:shd w:val="clear" w:color="auto" w:fill="D9D9D9"/>
          </w:tcPr>
          <w:p w:rsidR="00A1628C" w:rsidRPr="00146987" w:rsidRDefault="00A1628C" w:rsidP="00A37C50">
            <w:pPr>
              <w:spacing w:line="360" w:lineRule="auto"/>
              <w:jc w:val="both"/>
              <w:rPr>
                <w:rFonts w:ascii="Arial" w:eastAsia="Calibri" w:hAnsi="Arial" w:cs="Arial"/>
                <w:b/>
                <w:bCs/>
                <w:sz w:val="20"/>
                <w:szCs w:val="22"/>
              </w:rPr>
            </w:pPr>
            <w:r w:rsidRPr="00146987">
              <w:rPr>
                <w:rFonts w:ascii="Arial" w:eastAsia="Calibri" w:hAnsi="Arial" w:cs="Arial"/>
                <w:b/>
                <w:bCs/>
                <w:sz w:val="20"/>
                <w:szCs w:val="22"/>
              </w:rPr>
              <w:t>Amount</w:t>
            </w:r>
          </w:p>
          <w:p w:rsidR="00A1628C" w:rsidRPr="00146987" w:rsidRDefault="00A1628C" w:rsidP="00A37C50">
            <w:pPr>
              <w:spacing w:line="360" w:lineRule="auto"/>
              <w:jc w:val="both"/>
              <w:rPr>
                <w:rFonts w:ascii="Arial" w:eastAsia="Calibri" w:hAnsi="Arial" w:cs="Arial"/>
                <w:b/>
                <w:color w:val="FF0000"/>
                <w:sz w:val="22"/>
                <w:szCs w:val="22"/>
              </w:rPr>
            </w:pPr>
          </w:p>
        </w:tc>
      </w:tr>
      <w:tr w:rsidR="00A1628C" w:rsidRPr="00146987" w:rsidTr="00A37C50">
        <w:tc>
          <w:tcPr>
            <w:tcW w:w="3261" w:type="dxa"/>
            <w:shd w:val="clear" w:color="auto" w:fill="FFFFFF"/>
          </w:tcPr>
          <w:p w:rsidR="00A1628C" w:rsidRPr="00146987" w:rsidRDefault="00A1628C" w:rsidP="00A37C50">
            <w:pPr>
              <w:spacing w:line="360" w:lineRule="auto"/>
              <w:jc w:val="both"/>
              <w:rPr>
                <w:rFonts w:ascii="Arial" w:eastAsia="Calibri" w:hAnsi="Arial" w:cs="Arial"/>
                <w:b/>
                <w:bCs/>
                <w:sz w:val="20"/>
                <w:szCs w:val="20"/>
              </w:rPr>
            </w:pPr>
            <w:r w:rsidRPr="00146987">
              <w:rPr>
                <w:rFonts w:ascii="Arial" w:eastAsia="Calibri" w:hAnsi="Arial" w:cs="Arial"/>
                <w:sz w:val="20"/>
                <w:szCs w:val="20"/>
                <w:lang w:val="en-GB"/>
              </w:rPr>
              <w:t>University of Fort Hare</w:t>
            </w:r>
          </w:p>
        </w:tc>
        <w:tc>
          <w:tcPr>
            <w:tcW w:w="3544" w:type="dxa"/>
            <w:shd w:val="clear" w:color="auto" w:fill="FFFFFF"/>
          </w:tcPr>
          <w:p w:rsidR="00A1628C" w:rsidRPr="00146987" w:rsidRDefault="00A1628C" w:rsidP="00A37C50">
            <w:pPr>
              <w:spacing w:line="360" w:lineRule="auto"/>
              <w:jc w:val="both"/>
              <w:rPr>
                <w:rFonts w:ascii="Arial" w:eastAsia="Calibri" w:hAnsi="Arial" w:cs="Arial"/>
                <w:sz w:val="20"/>
                <w:szCs w:val="18"/>
              </w:rPr>
            </w:pPr>
            <w:r w:rsidRPr="00146987">
              <w:rPr>
                <w:rFonts w:ascii="Arial" w:eastAsia="Calibri" w:hAnsi="Arial" w:cs="Arial"/>
                <w:sz w:val="20"/>
                <w:szCs w:val="18"/>
              </w:rPr>
              <w:t xml:space="preserve">Establishment of the University programs on Competition Law and Economics </w:t>
            </w:r>
          </w:p>
        </w:tc>
        <w:tc>
          <w:tcPr>
            <w:tcW w:w="1984" w:type="dxa"/>
            <w:shd w:val="clear" w:color="auto" w:fill="FFFFFF"/>
          </w:tcPr>
          <w:p w:rsidR="00A1628C" w:rsidRPr="00146987" w:rsidRDefault="00A1628C" w:rsidP="00A37C50">
            <w:pPr>
              <w:spacing w:line="360" w:lineRule="auto"/>
              <w:jc w:val="both"/>
              <w:rPr>
                <w:rFonts w:ascii="Arial" w:eastAsia="Calibri" w:hAnsi="Arial" w:cs="Arial"/>
                <w:b/>
                <w:sz w:val="20"/>
                <w:szCs w:val="18"/>
              </w:rPr>
            </w:pPr>
            <w:r w:rsidRPr="00146987">
              <w:rPr>
                <w:rFonts w:ascii="Calibri" w:eastAsia="Calibri" w:hAnsi="Calibri" w:cs="Arial"/>
                <w:sz w:val="22"/>
                <w:szCs w:val="22"/>
              </w:rPr>
              <w:t>April 2017 (valid for one year)</w:t>
            </w:r>
          </w:p>
        </w:tc>
        <w:tc>
          <w:tcPr>
            <w:tcW w:w="2127" w:type="dxa"/>
            <w:shd w:val="clear" w:color="auto" w:fill="FFFFFF"/>
          </w:tcPr>
          <w:p w:rsidR="00A1628C" w:rsidRPr="00146987" w:rsidRDefault="00A1628C" w:rsidP="00A37C50">
            <w:pPr>
              <w:spacing w:line="360" w:lineRule="auto"/>
              <w:jc w:val="both"/>
              <w:rPr>
                <w:rFonts w:ascii="Arial" w:eastAsia="Calibri" w:hAnsi="Arial" w:cs="Arial"/>
                <w:b/>
                <w:bCs/>
                <w:sz w:val="20"/>
                <w:szCs w:val="22"/>
              </w:rPr>
            </w:pPr>
            <w:r w:rsidRPr="00146987">
              <w:rPr>
                <w:rFonts w:ascii="Calibri" w:eastAsia="Calibri" w:hAnsi="Calibri" w:cs="Arial"/>
                <w:sz w:val="22"/>
                <w:szCs w:val="22"/>
              </w:rPr>
              <w:t>R1 000 000.00</w:t>
            </w:r>
          </w:p>
        </w:tc>
      </w:tr>
      <w:tr w:rsidR="00A1628C" w:rsidRPr="00146987" w:rsidTr="00A37C50">
        <w:tc>
          <w:tcPr>
            <w:tcW w:w="3261" w:type="dxa"/>
            <w:shd w:val="clear" w:color="auto" w:fill="FFFFFF"/>
          </w:tcPr>
          <w:p w:rsidR="00A1628C" w:rsidRPr="00146987" w:rsidRDefault="00A1628C" w:rsidP="00A37C50">
            <w:pPr>
              <w:spacing w:line="360" w:lineRule="auto"/>
              <w:jc w:val="both"/>
              <w:rPr>
                <w:rFonts w:ascii="Arial" w:eastAsia="Calibri" w:hAnsi="Arial" w:cs="Arial"/>
                <w:sz w:val="20"/>
                <w:szCs w:val="20"/>
                <w:lang w:val="en-GB"/>
              </w:rPr>
            </w:pPr>
            <w:r w:rsidRPr="00146987">
              <w:rPr>
                <w:rFonts w:ascii="Arial" w:eastAsia="Calibri" w:hAnsi="Arial" w:cs="Arial"/>
                <w:sz w:val="20"/>
                <w:szCs w:val="20"/>
                <w:lang w:val="en-GB"/>
              </w:rPr>
              <w:t>University of Stellenbosch</w:t>
            </w:r>
          </w:p>
        </w:tc>
        <w:tc>
          <w:tcPr>
            <w:tcW w:w="3544" w:type="dxa"/>
            <w:shd w:val="clear" w:color="auto" w:fill="FFFFFF"/>
          </w:tcPr>
          <w:p w:rsidR="00A1628C" w:rsidRPr="00146987" w:rsidRDefault="00A1628C" w:rsidP="00A37C50">
            <w:pPr>
              <w:spacing w:line="360" w:lineRule="auto"/>
              <w:jc w:val="both"/>
              <w:rPr>
                <w:rFonts w:ascii="Arial" w:eastAsia="Calibri" w:hAnsi="Arial" w:cs="Arial"/>
                <w:sz w:val="20"/>
                <w:szCs w:val="18"/>
              </w:rPr>
            </w:pPr>
            <w:r w:rsidRPr="00146987">
              <w:rPr>
                <w:rFonts w:ascii="Arial" w:eastAsia="Calibri" w:hAnsi="Arial" w:cs="Arial"/>
                <w:sz w:val="20"/>
                <w:szCs w:val="18"/>
              </w:rPr>
              <w:t>Establishment of the University programs on Competition Law and Economics</w:t>
            </w:r>
          </w:p>
        </w:tc>
        <w:tc>
          <w:tcPr>
            <w:tcW w:w="1984" w:type="dxa"/>
            <w:shd w:val="clear" w:color="auto" w:fill="FFFFFF"/>
          </w:tcPr>
          <w:p w:rsidR="00A1628C" w:rsidRPr="00146987" w:rsidRDefault="00A1628C" w:rsidP="00A37C50">
            <w:pPr>
              <w:spacing w:line="360" w:lineRule="auto"/>
              <w:jc w:val="both"/>
              <w:rPr>
                <w:rFonts w:ascii="Arial" w:eastAsia="Calibri" w:hAnsi="Arial" w:cs="Arial"/>
                <w:b/>
                <w:sz w:val="20"/>
                <w:szCs w:val="18"/>
              </w:rPr>
            </w:pPr>
            <w:r w:rsidRPr="00146987">
              <w:rPr>
                <w:rFonts w:ascii="Calibri" w:eastAsia="Calibri" w:hAnsi="Calibri" w:cs="Arial"/>
                <w:sz w:val="22"/>
                <w:szCs w:val="22"/>
              </w:rPr>
              <w:t>March 2017 valid for one year</w:t>
            </w:r>
          </w:p>
        </w:tc>
        <w:tc>
          <w:tcPr>
            <w:tcW w:w="2127" w:type="dxa"/>
            <w:shd w:val="clear" w:color="auto" w:fill="FFFFFF"/>
          </w:tcPr>
          <w:p w:rsidR="00A1628C" w:rsidRPr="00146987" w:rsidRDefault="00A1628C" w:rsidP="00A37C50">
            <w:pPr>
              <w:spacing w:line="360" w:lineRule="auto"/>
              <w:jc w:val="both"/>
              <w:rPr>
                <w:rFonts w:ascii="Calibri" w:eastAsia="Calibri" w:hAnsi="Calibri" w:cs="Arial"/>
                <w:sz w:val="22"/>
                <w:szCs w:val="22"/>
              </w:rPr>
            </w:pPr>
            <w:r w:rsidRPr="00146987">
              <w:rPr>
                <w:rFonts w:ascii="Calibri" w:eastAsia="Calibri" w:hAnsi="Calibri" w:cs="Arial"/>
                <w:sz w:val="22"/>
                <w:szCs w:val="22"/>
              </w:rPr>
              <w:t>R2 000 000.00</w:t>
            </w:r>
          </w:p>
        </w:tc>
      </w:tr>
      <w:tr w:rsidR="00A1628C" w:rsidRPr="00146987" w:rsidTr="00A37C50">
        <w:tc>
          <w:tcPr>
            <w:tcW w:w="3261" w:type="dxa"/>
            <w:shd w:val="clear" w:color="auto" w:fill="FFFFFF"/>
          </w:tcPr>
          <w:p w:rsidR="00A1628C" w:rsidRPr="00146987" w:rsidRDefault="00A1628C" w:rsidP="00A37C50">
            <w:pPr>
              <w:spacing w:line="360" w:lineRule="auto"/>
              <w:jc w:val="both"/>
              <w:rPr>
                <w:rFonts w:ascii="Arial" w:eastAsia="Calibri" w:hAnsi="Arial" w:cs="Arial"/>
                <w:sz w:val="20"/>
                <w:szCs w:val="20"/>
                <w:lang w:val="en-GB"/>
              </w:rPr>
            </w:pPr>
            <w:r w:rsidRPr="00146987">
              <w:rPr>
                <w:rFonts w:ascii="Arial" w:eastAsia="Calibri" w:hAnsi="Arial" w:cs="Arial"/>
                <w:sz w:val="20"/>
                <w:szCs w:val="20"/>
                <w:lang w:val="en-GB"/>
              </w:rPr>
              <w:t>University of Johannesburg</w:t>
            </w:r>
          </w:p>
        </w:tc>
        <w:tc>
          <w:tcPr>
            <w:tcW w:w="3544" w:type="dxa"/>
            <w:shd w:val="clear" w:color="auto" w:fill="FFFFFF"/>
          </w:tcPr>
          <w:p w:rsidR="00A1628C" w:rsidRPr="00146987" w:rsidRDefault="00A1628C" w:rsidP="00A37C50">
            <w:pPr>
              <w:spacing w:line="360" w:lineRule="auto"/>
              <w:jc w:val="both"/>
              <w:rPr>
                <w:rFonts w:ascii="Arial" w:eastAsia="Calibri" w:hAnsi="Arial" w:cs="Arial"/>
                <w:sz w:val="20"/>
                <w:szCs w:val="18"/>
              </w:rPr>
            </w:pPr>
            <w:r w:rsidRPr="00146987">
              <w:rPr>
                <w:rFonts w:ascii="Arial" w:eastAsia="Calibri" w:hAnsi="Arial" w:cs="Arial"/>
                <w:sz w:val="20"/>
                <w:szCs w:val="18"/>
              </w:rPr>
              <w:t>Establishment of the University programs on Competition Law and Economics</w:t>
            </w:r>
          </w:p>
        </w:tc>
        <w:tc>
          <w:tcPr>
            <w:tcW w:w="1984" w:type="dxa"/>
            <w:shd w:val="clear" w:color="auto" w:fill="FFFFFF"/>
          </w:tcPr>
          <w:p w:rsidR="00A1628C" w:rsidRPr="00146987" w:rsidRDefault="00A1628C" w:rsidP="00A37C50">
            <w:pPr>
              <w:spacing w:line="360" w:lineRule="auto"/>
              <w:jc w:val="both"/>
              <w:rPr>
                <w:rFonts w:ascii="Arial" w:eastAsia="Calibri" w:hAnsi="Arial" w:cs="Arial"/>
                <w:b/>
                <w:sz w:val="20"/>
                <w:szCs w:val="18"/>
              </w:rPr>
            </w:pPr>
            <w:r w:rsidRPr="00146987">
              <w:rPr>
                <w:rFonts w:ascii="Calibri" w:eastAsia="Calibri" w:hAnsi="Calibri" w:cs="Arial"/>
                <w:sz w:val="22"/>
                <w:szCs w:val="22"/>
              </w:rPr>
              <w:t>March 2017 valid for one year</w:t>
            </w:r>
          </w:p>
        </w:tc>
        <w:tc>
          <w:tcPr>
            <w:tcW w:w="2127" w:type="dxa"/>
            <w:shd w:val="clear" w:color="auto" w:fill="FFFFFF"/>
          </w:tcPr>
          <w:p w:rsidR="00A1628C" w:rsidRPr="00146987" w:rsidRDefault="00A1628C" w:rsidP="00A37C50">
            <w:pPr>
              <w:spacing w:line="360" w:lineRule="auto"/>
              <w:jc w:val="both"/>
              <w:rPr>
                <w:rFonts w:ascii="Calibri" w:eastAsia="Calibri" w:hAnsi="Calibri" w:cs="Arial"/>
                <w:sz w:val="22"/>
                <w:szCs w:val="22"/>
              </w:rPr>
            </w:pPr>
            <w:r w:rsidRPr="00146987">
              <w:rPr>
                <w:rFonts w:ascii="Calibri" w:eastAsia="Calibri" w:hAnsi="Calibri" w:cs="Arial"/>
                <w:sz w:val="22"/>
                <w:szCs w:val="22"/>
              </w:rPr>
              <w:t>R1 000 000.00</w:t>
            </w:r>
          </w:p>
        </w:tc>
      </w:tr>
      <w:tr w:rsidR="00A1628C" w:rsidRPr="00146987" w:rsidTr="00A37C50">
        <w:tc>
          <w:tcPr>
            <w:tcW w:w="3261" w:type="dxa"/>
            <w:shd w:val="clear" w:color="auto" w:fill="FFFFFF"/>
          </w:tcPr>
          <w:p w:rsidR="00A1628C" w:rsidRPr="00146987" w:rsidRDefault="00A1628C" w:rsidP="00A37C50">
            <w:pPr>
              <w:spacing w:line="360" w:lineRule="auto"/>
              <w:jc w:val="both"/>
              <w:rPr>
                <w:rFonts w:ascii="Arial" w:eastAsia="Calibri" w:hAnsi="Arial" w:cs="Arial"/>
                <w:sz w:val="20"/>
                <w:szCs w:val="20"/>
                <w:lang w:val="en-GB"/>
              </w:rPr>
            </w:pPr>
            <w:r w:rsidRPr="00146987">
              <w:rPr>
                <w:rFonts w:ascii="Arial" w:eastAsia="Calibri" w:hAnsi="Arial" w:cs="Arial"/>
                <w:sz w:val="20"/>
                <w:szCs w:val="20"/>
                <w:lang w:val="en-GB"/>
              </w:rPr>
              <w:t>Gordon Institute of Business Science</w:t>
            </w:r>
          </w:p>
        </w:tc>
        <w:tc>
          <w:tcPr>
            <w:tcW w:w="3544" w:type="dxa"/>
            <w:shd w:val="clear" w:color="auto" w:fill="FFFFFF"/>
          </w:tcPr>
          <w:p w:rsidR="00A1628C" w:rsidRPr="00146987" w:rsidRDefault="00A1628C" w:rsidP="00A37C50">
            <w:pPr>
              <w:spacing w:line="360" w:lineRule="auto"/>
              <w:jc w:val="both"/>
              <w:rPr>
                <w:rFonts w:ascii="Arial" w:eastAsia="Calibri" w:hAnsi="Arial" w:cs="Arial"/>
                <w:sz w:val="20"/>
                <w:szCs w:val="18"/>
              </w:rPr>
            </w:pPr>
            <w:r w:rsidRPr="00146987">
              <w:rPr>
                <w:rFonts w:ascii="Arial" w:eastAsia="Calibri" w:hAnsi="Arial" w:cs="Arial"/>
                <w:sz w:val="20"/>
                <w:szCs w:val="18"/>
              </w:rPr>
              <w:t>Establishment of the University programs on Competition Law and Economics</w:t>
            </w:r>
          </w:p>
        </w:tc>
        <w:tc>
          <w:tcPr>
            <w:tcW w:w="1984" w:type="dxa"/>
            <w:shd w:val="clear" w:color="auto" w:fill="FFFFFF"/>
          </w:tcPr>
          <w:p w:rsidR="00A1628C" w:rsidRPr="00146987" w:rsidRDefault="00A1628C" w:rsidP="00A37C50">
            <w:pPr>
              <w:spacing w:line="360" w:lineRule="auto"/>
              <w:jc w:val="both"/>
              <w:rPr>
                <w:rFonts w:ascii="Arial" w:eastAsia="Calibri" w:hAnsi="Arial" w:cs="Arial"/>
                <w:b/>
                <w:sz w:val="20"/>
                <w:szCs w:val="18"/>
              </w:rPr>
            </w:pPr>
            <w:r w:rsidRPr="00146987">
              <w:rPr>
                <w:rFonts w:ascii="Calibri" w:eastAsia="Calibri" w:hAnsi="Calibri" w:cs="Arial"/>
                <w:sz w:val="22"/>
                <w:szCs w:val="22"/>
              </w:rPr>
              <w:t>March 2017 valid for one year</w:t>
            </w:r>
          </w:p>
        </w:tc>
        <w:tc>
          <w:tcPr>
            <w:tcW w:w="2127" w:type="dxa"/>
            <w:shd w:val="clear" w:color="auto" w:fill="FFFFFF"/>
          </w:tcPr>
          <w:p w:rsidR="00A1628C" w:rsidRPr="00146987" w:rsidRDefault="00A1628C" w:rsidP="00A37C50">
            <w:pPr>
              <w:spacing w:line="360" w:lineRule="auto"/>
              <w:jc w:val="both"/>
              <w:rPr>
                <w:rFonts w:ascii="Calibri" w:eastAsia="Calibri" w:hAnsi="Calibri" w:cs="Arial"/>
                <w:sz w:val="22"/>
                <w:szCs w:val="22"/>
              </w:rPr>
            </w:pPr>
            <w:r w:rsidRPr="00146987">
              <w:rPr>
                <w:rFonts w:ascii="Calibri" w:eastAsia="Calibri" w:hAnsi="Calibri" w:cs="Arial"/>
                <w:sz w:val="22"/>
                <w:szCs w:val="22"/>
              </w:rPr>
              <w:t>R850 000.00</w:t>
            </w:r>
          </w:p>
        </w:tc>
      </w:tr>
    </w:tbl>
    <w:p w:rsidR="00A1628C" w:rsidRDefault="00A1628C" w:rsidP="00A1628C">
      <w:pPr>
        <w:jc w:val="both"/>
        <w:rPr>
          <w:rFonts w:ascii="Arial" w:hAnsi="Arial" w:cs="Arial"/>
          <w:b/>
          <w:lang w:val="af-ZA"/>
        </w:rPr>
      </w:pPr>
    </w:p>
    <w:p w:rsidR="00465CBA" w:rsidRPr="002F746C" w:rsidRDefault="00EA204E" w:rsidP="00A1628C">
      <w:pPr>
        <w:jc w:val="both"/>
        <w:rPr>
          <w:rFonts w:ascii="Arial" w:hAnsi="Arial" w:cs="Arial"/>
          <w:b/>
          <w:lang w:val="af-ZA"/>
        </w:rPr>
      </w:pPr>
      <w:r>
        <w:rPr>
          <w:rFonts w:ascii="Arial" w:hAnsi="Arial" w:cs="Arial"/>
          <w:b/>
          <w:lang w:val="af-ZA"/>
        </w:rPr>
        <w:t xml:space="preserve"> </w:t>
      </w:r>
      <w:r w:rsidR="002F746C" w:rsidRPr="002F746C">
        <w:rPr>
          <w:rFonts w:ascii="Arial" w:hAnsi="Arial" w:cs="Arial"/>
          <w:b/>
          <w:lang w:val="af-ZA"/>
        </w:rPr>
        <w:t>IDC</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969"/>
        <w:gridCol w:w="1984"/>
        <w:gridCol w:w="2127"/>
      </w:tblGrid>
      <w:tr w:rsidR="00465CBA" w:rsidRPr="002555FE" w:rsidTr="00A1628C">
        <w:trPr>
          <w:trHeight w:val="251"/>
        </w:trPr>
        <w:tc>
          <w:tcPr>
            <w:tcW w:w="2836" w:type="dxa"/>
            <w:shd w:val="clear" w:color="auto" w:fill="D9D9D9"/>
          </w:tcPr>
          <w:p w:rsidR="00465CBA" w:rsidRPr="002555FE" w:rsidRDefault="00465CBA" w:rsidP="00F52D8A">
            <w:pPr>
              <w:spacing w:line="360" w:lineRule="auto"/>
              <w:jc w:val="center"/>
              <w:rPr>
                <w:rFonts w:ascii="Arial" w:eastAsia="Calibri" w:hAnsi="Arial" w:cs="Arial"/>
                <w:b/>
                <w:sz w:val="20"/>
                <w:szCs w:val="18"/>
              </w:rPr>
            </w:pPr>
            <w:r w:rsidRPr="002555FE">
              <w:rPr>
                <w:rFonts w:ascii="Arial" w:eastAsia="Calibri" w:hAnsi="Arial" w:cs="Arial"/>
                <w:b/>
                <w:sz w:val="20"/>
                <w:szCs w:val="18"/>
              </w:rPr>
              <w:t>Beneficiary institutions</w:t>
            </w:r>
          </w:p>
        </w:tc>
        <w:tc>
          <w:tcPr>
            <w:tcW w:w="3969" w:type="dxa"/>
            <w:shd w:val="clear" w:color="auto" w:fill="D9D9D9"/>
          </w:tcPr>
          <w:p w:rsidR="00465CBA" w:rsidRPr="002555FE" w:rsidRDefault="006C41B3" w:rsidP="00F52D8A">
            <w:pPr>
              <w:spacing w:line="360" w:lineRule="auto"/>
              <w:rPr>
                <w:rFonts w:ascii="Arial" w:eastAsia="Calibri" w:hAnsi="Arial" w:cs="Arial"/>
                <w:b/>
                <w:sz w:val="20"/>
                <w:szCs w:val="18"/>
              </w:rPr>
            </w:pPr>
            <w:r>
              <w:rPr>
                <w:rFonts w:ascii="Arial" w:eastAsia="Calibri" w:hAnsi="Arial" w:cs="Arial"/>
                <w:b/>
                <w:sz w:val="20"/>
                <w:szCs w:val="18"/>
              </w:rPr>
              <w:t>Function</w:t>
            </w:r>
          </w:p>
        </w:tc>
        <w:tc>
          <w:tcPr>
            <w:tcW w:w="1984" w:type="dxa"/>
            <w:shd w:val="clear" w:color="auto" w:fill="D9D9D9"/>
          </w:tcPr>
          <w:p w:rsidR="00465CBA" w:rsidRPr="002555FE" w:rsidRDefault="00465CBA" w:rsidP="00F52D8A">
            <w:pPr>
              <w:spacing w:line="360" w:lineRule="auto"/>
              <w:jc w:val="center"/>
              <w:rPr>
                <w:rFonts w:ascii="Arial" w:eastAsia="Calibri" w:hAnsi="Arial" w:cs="Arial"/>
                <w:b/>
                <w:sz w:val="20"/>
                <w:szCs w:val="18"/>
              </w:rPr>
            </w:pPr>
            <w:r w:rsidRPr="002555FE">
              <w:rPr>
                <w:rFonts w:ascii="Arial" w:eastAsia="Calibri" w:hAnsi="Arial" w:cs="Arial"/>
                <w:b/>
                <w:sz w:val="20"/>
                <w:szCs w:val="18"/>
              </w:rPr>
              <w:t>Period of funding</w:t>
            </w:r>
          </w:p>
        </w:tc>
        <w:tc>
          <w:tcPr>
            <w:tcW w:w="2127" w:type="dxa"/>
            <w:shd w:val="clear" w:color="auto" w:fill="D9D9D9"/>
          </w:tcPr>
          <w:p w:rsidR="00465CBA" w:rsidRPr="002555FE" w:rsidRDefault="00465CBA" w:rsidP="00F52D8A">
            <w:pPr>
              <w:spacing w:line="360" w:lineRule="auto"/>
              <w:jc w:val="center"/>
              <w:rPr>
                <w:rFonts w:ascii="Arial" w:eastAsia="Calibri" w:hAnsi="Arial" w:cs="Arial"/>
                <w:b/>
                <w:sz w:val="20"/>
                <w:szCs w:val="18"/>
              </w:rPr>
            </w:pPr>
            <w:r w:rsidRPr="002555FE">
              <w:rPr>
                <w:rFonts w:ascii="Arial" w:eastAsia="Calibri" w:hAnsi="Arial" w:cs="Arial"/>
                <w:b/>
                <w:sz w:val="20"/>
                <w:szCs w:val="18"/>
              </w:rPr>
              <w:t>IDC Grants over the past 5 years</w:t>
            </w:r>
          </w:p>
        </w:tc>
      </w:tr>
      <w:tr w:rsidR="00465CBA" w:rsidRPr="002555FE" w:rsidTr="00A1628C">
        <w:tc>
          <w:tcPr>
            <w:tcW w:w="2836" w:type="dxa"/>
            <w:shd w:val="clear" w:color="auto" w:fill="auto"/>
          </w:tcPr>
          <w:p w:rsidR="00465CBA" w:rsidRPr="002555FE" w:rsidRDefault="00465CBA" w:rsidP="00A1628C">
            <w:pPr>
              <w:pStyle w:val="ListParagraph"/>
              <w:spacing w:after="0" w:line="360" w:lineRule="auto"/>
              <w:ind w:left="0"/>
              <w:rPr>
                <w:rFonts w:ascii="Arial" w:eastAsia="Calibri" w:hAnsi="Arial" w:cs="Arial"/>
                <w:szCs w:val="18"/>
              </w:rPr>
            </w:pPr>
            <w:r w:rsidRPr="002555FE">
              <w:rPr>
                <w:rFonts w:ascii="Arial" w:eastAsia="Calibri" w:hAnsi="Arial" w:cs="Arial"/>
                <w:szCs w:val="18"/>
              </w:rPr>
              <w:t>Global Reporting Initiative</w:t>
            </w:r>
          </w:p>
          <w:p w:rsidR="00465CBA" w:rsidRPr="002555FE" w:rsidRDefault="00465CBA" w:rsidP="00A1628C">
            <w:pPr>
              <w:pStyle w:val="ListParagraph"/>
              <w:spacing w:after="0" w:line="360" w:lineRule="auto"/>
              <w:ind w:left="-113"/>
              <w:rPr>
                <w:rFonts w:ascii="Arial" w:eastAsia="Calibri" w:hAnsi="Arial" w:cs="Arial"/>
                <w:szCs w:val="18"/>
              </w:rPr>
            </w:pPr>
          </w:p>
        </w:tc>
        <w:tc>
          <w:tcPr>
            <w:tcW w:w="3969" w:type="dxa"/>
            <w:shd w:val="clear" w:color="auto" w:fill="auto"/>
          </w:tcPr>
          <w:p w:rsidR="00465CBA" w:rsidRPr="002555FE" w:rsidRDefault="00465CBA" w:rsidP="00A1628C">
            <w:pPr>
              <w:pStyle w:val="ListParagraph"/>
              <w:spacing w:after="0" w:line="360" w:lineRule="auto"/>
              <w:ind w:left="0"/>
              <w:rPr>
                <w:rFonts w:ascii="Arial" w:eastAsia="Calibri" w:hAnsi="Arial" w:cs="Arial"/>
                <w:szCs w:val="18"/>
              </w:rPr>
            </w:pPr>
            <w:r w:rsidRPr="002555FE">
              <w:rPr>
                <w:rFonts w:ascii="Arial" w:eastAsia="Calibri" w:hAnsi="Arial" w:cs="Arial"/>
                <w:szCs w:val="18"/>
              </w:rPr>
              <w:t>An international community of practice for sustainability reporting, Global Reporting Initiative is a pioneer in the development sustainability reporting over the last two decades.</w:t>
            </w:r>
          </w:p>
        </w:tc>
        <w:tc>
          <w:tcPr>
            <w:tcW w:w="1984" w:type="dxa"/>
            <w:shd w:val="clear" w:color="auto" w:fill="auto"/>
          </w:tcPr>
          <w:p w:rsidR="00465CBA" w:rsidRPr="002555FE" w:rsidRDefault="00465CBA" w:rsidP="00A1628C">
            <w:pPr>
              <w:pStyle w:val="ListParagraph"/>
              <w:spacing w:after="0" w:line="360" w:lineRule="auto"/>
              <w:ind w:left="0"/>
              <w:rPr>
                <w:rFonts w:ascii="Arial" w:eastAsia="Calibri" w:hAnsi="Arial" w:cs="Arial"/>
                <w:szCs w:val="18"/>
              </w:rPr>
            </w:pPr>
            <w:r w:rsidRPr="002555FE">
              <w:rPr>
                <w:rFonts w:ascii="Arial" w:eastAsia="Calibri" w:hAnsi="Arial" w:cs="Arial"/>
                <w:szCs w:val="18"/>
              </w:rPr>
              <w:t>1-year contract</w:t>
            </w:r>
          </w:p>
          <w:p w:rsidR="00465CBA" w:rsidRPr="002555FE" w:rsidRDefault="00465CBA" w:rsidP="00A1628C">
            <w:pPr>
              <w:pStyle w:val="ListParagraph"/>
              <w:spacing w:after="0" w:line="360" w:lineRule="auto"/>
              <w:ind w:left="253"/>
              <w:rPr>
                <w:rFonts w:ascii="Arial" w:eastAsia="Calibri" w:hAnsi="Arial" w:cs="Arial"/>
                <w:szCs w:val="18"/>
              </w:rPr>
            </w:pPr>
          </w:p>
        </w:tc>
        <w:tc>
          <w:tcPr>
            <w:tcW w:w="2127" w:type="dxa"/>
            <w:shd w:val="clear" w:color="auto" w:fill="auto"/>
          </w:tcPr>
          <w:p w:rsidR="00465CBA" w:rsidRPr="002555FE" w:rsidRDefault="00465CBA" w:rsidP="00A1628C">
            <w:pPr>
              <w:pStyle w:val="ListParagraph"/>
              <w:spacing w:after="0" w:line="360" w:lineRule="auto"/>
              <w:ind w:left="0"/>
              <w:rPr>
                <w:rFonts w:ascii="Arial" w:eastAsia="Calibri" w:hAnsi="Arial" w:cs="Arial"/>
                <w:szCs w:val="18"/>
              </w:rPr>
            </w:pPr>
            <w:r w:rsidRPr="002555FE">
              <w:rPr>
                <w:rFonts w:ascii="Arial" w:eastAsia="Calibri" w:hAnsi="Arial" w:cs="Arial"/>
                <w:szCs w:val="18"/>
              </w:rPr>
              <w:t>Euro 14 000 x 1 year</w:t>
            </w:r>
          </w:p>
          <w:p w:rsidR="00465CBA" w:rsidRPr="002555FE" w:rsidRDefault="00465CBA" w:rsidP="00F52D8A">
            <w:pPr>
              <w:spacing w:line="360" w:lineRule="auto"/>
              <w:rPr>
                <w:rFonts w:ascii="Arial" w:eastAsia="Calibri" w:hAnsi="Arial" w:cs="Arial"/>
                <w:sz w:val="20"/>
                <w:szCs w:val="18"/>
              </w:rPr>
            </w:pPr>
          </w:p>
          <w:p w:rsidR="00465CBA" w:rsidRPr="002555FE" w:rsidRDefault="00465CBA" w:rsidP="00F52D8A">
            <w:pPr>
              <w:spacing w:line="360" w:lineRule="auto"/>
              <w:rPr>
                <w:rFonts w:ascii="Arial" w:eastAsia="Calibri" w:hAnsi="Arial" w:cs="Arial"/>
                <w:sz w:val="20"/>
                <w:szCs w:val="18"/>
              </w:rPr>
            </w:pPr>
          </w:p>
          <w:p w:rsidR="00465CBA" w:rsidRPr="002555FE" w:rsidRDefault="00465CBA" w:rsidP="00F52D8A">
            <w:pPr>
              <w:spacing w:line="360" w:lineRule="auto"/>
              <w:rPr>
                <w:rFonts w:ascii="Arial" w:eastAsia="Calibri" w:hAnsi="Arial" w:cs="Arial"/>
                <w:sz w:val="20"/>
                <w:szCs w:val="18"/>
              </w:rPr>
            </w:pPr>
          </w:p>
        </w:tc>
      </w:tr>
      <w:tr w:rsidR="00A1628C" w:rsidRPr="002555FE" w:rsidTr="00A1628C">
        <w:tc>
          <w:tcPr>
            <w:tcW w:w="2836" w:type="dxa"/>
            <w:shd w:val="clear" w:color="auto" w:fill="auto"/>
          </w:tcPr>
          <w:p w:rsidR="00A1628C" w:rsidRPr="00A1628C" w:rsidRDefault="00A1628C" w:rsidP="00A1628C">
            <w:pPr>
              <w:rPr>
                <w:rFonts w:ascii="Arial" w:eastAsia="Calibri" w:hAnsi="Arial" w:cs="Arial"/>
                <w:sz w:val="20"/>
                <w:szCs w:val="18"/>
                <w:lang w:val="en-ZA" w:eastAsia="en-ZA"/>
              </w:rPr>
            </w:pPr>
            <w:r w:rsidRPr="00A1628C">
              <w:rPr>
                <w:rFonts w:ascii="Arial" w:eastAsia="Calibri" w:hAnsi="Arial" w:cs="Arial"/>
                <w:sz w:val="20"/>
                <w:szCs w:val="18"/>
                <w:lang w:val="en-ZA" w:eastAsia="en-ZA"/>
              </w:rPr>
              <w:t>SADC DFI Network &amp; Association of African DFIs</w:t>
            </w:r>
          </w:p>
          <w:p w:rsidR="00A1628C" w:rsidRPr="002555FE" w:rsidRDefault="00A1628C" w:rsidP="00A1628C">
            <w:pPr>
              <w:pStyle w:val="ListParagraph"/>
              <w:spacing w:after="0" w:line="360" w:lineRule="auto"/>
              <w:ind w:left="0"/>
              <w:rPr>
                <w:rFonts w:ascii="Arial" w:eastAsia="Calibri" w:hAnsi="Arial" w:cs="Arial"/>
                <w:szCs w:val="18"/>
              </w:rPr>
            </w:pPr>
          </w:p>
        </w:tc>
        <w:tc>
          <w:tcPr>
            <w:tcW w:w="3969" w:type="dxa"/>
            <w:shd w:val="clear" w:color="auto" w:fill="auto"/>
          </w:tcPr>
          <w:p w:rsidR="00A1628C" w:rsidRPr="00A1628C" w:rsidRDefault="00A1628C" w:rsidP="00A1628C">
            <w:pPr>
              <w:rPr>
                <w:rFonts w:ascii="Arial" w:eastAsia="Calibri" w:hAnsi="Arial" w:cs="Arial"/>
                <w:sz w:val="20"/>
                <w:szCs w:val="18"/>
                <w:lang w:val="en-ZA" w:eastAsia="en-ZA"/>
              </w:rPr>
            </w:pPr>
            <w:r w:rsidRPr="00A1628C">
              <w:rPr>
                <w:rFonts w:ascii="Arial" w:eastAsia="Calibri" w:hAnsi="Arial" w:cs="Arial"/>
                <w:sz w:val="20"/>
                <w:szCs w:val="18"/>
                <w:lang w:val="en-ZA" w:eastAsia="en-ZA"/>
              </w:rPr>
              <w:t>Development of DFIs thus contributing to member countries economic development</w:t>
            </w:r>
          </w:p>
          <w:p w:rsidR="00A1628C" w:rsidRPr="002555FE" w:rsidRDefault="00A1628C" w:rsidP="00A1628C">
            <w:pPr>
              <w:pStyle w:val="ListParagraph"/>
              <w:spacing w:after="0" w:line="360" w:lineRule="auto"/>
              <w:ind w:left="0"/>
              <w:rPr>
                <w:rFonts w:ascii="Arial" w:eastAsia="Calibri" w:hAnsi="Arial" w:cs="Arial"/>
                <w:szCs w:val="18"/>
              </w:rPr>
            </w:pPr>
          </w:p>
        </w:tc>
        <w:tc>
          <w:tcPr>
            <w:tcW w:w="1984" w:type="dxa"/>
            <w:shd w:val="clear" w:color="auto" w:fill="auto"/>
          </w:tcPr>
          <w:p w:rsidR="00A1628C" w:rsidRPr="00A1628C" w:rsidRDefault="00A1628C" w:rsidP="00A1628C">
            <w:pPr>
              <w:rPr>
                <w:rFonts w:ascii="Arial" w:eastAsia="Calibri" w:hAnsi="Arial" w:cs="Arial"/>
                <w:sz w:val="20"/>
                <w:szCs w:val="18"/>
                <w:lang w:val="en-ZA" w:eastAsia="en-ZA"/>
              </w:rPr>
            </w:pPr>
            <w:r w:rsidRPr="00A1628C">
              <w:rPr>
                <w:rFonts w:ascii="Arial" w:eastAsia="Calibri" w:hAnsi="Arial" w:cs="Arial"/>
                <w:sz w:val="20"/>
                <w:szCs w:val="18"/>
                <w:lang w:val="en-ZA" w:eastAsia="en-ZA"/>
              </w:rPr>
              <w:t>Over the past 5 years</w:t>
            </w:r>
          </w:p>
          <w:p w:rsidR="00A1628C" w:rsidRPr="002555FE" w:rsidRDefault="00A1628C" w:rsidP="00A1628C">
            <w:pPr>
              <w:pStyle w:val="ListParagraph"/>
              <w:spacing w:after="0" w:line="360" w:lineRule="auto"/>
              <w:ind w:left="0"/>
              <w:rPr>
                <w:rFonts w:ascii="Arial" w:eastAsia="Calibri" w:hAnsi="Arial" w:cs="Arial"/>
                <w:szCs w:val="18"/>
              </w:rPr>
            </w:pPr>
          </w:p>
        </w:tc>
        <w:tc>
          <w:tcPr>
            <w:tcW w:w="2127" w:type="dxa"/>
            <w:shd w:val="clear" w:color="auto" w:fill="auto"/>
          </w:tcPr>
          <w:p w:rsidR="00A1628C" w:rsidRPr="00A1628C" w:rsidRDefault="00A1628C" w:rsidP="00A1628C">
            <w:pPr>
              <w:rPr>
                <w:rFonts w:ascii="Arial" w:eastAsia="Calibri" w:hAnsi="Arial" w:cs="Arial"/>
                <w:sz w:val="20"/>
                <w:szCs w:val="18"/>
                <w:lang w:val="en-ZA" w:eastAsia="en-ZA"/>
              </w:rPr>
            </w:pPr>
            <w:r w:rsidRPr="00A1628C">
              <w:rPr>
                <w:rFonts w:ascii="Arial" w:eastAsia="Calibri" w:hAnsi="Arial" w:cs="Arial"/>
                <w:sz w:val="20"/>
                <w:szCs w:val="18"/>
                <w:lang w:val="en-ZA" w:eastAsia="en-ZA"/>
              </w:rPr>
              <w:t>$176 684 x 5 years</w:t>
            </w:r>
          </w:p>
          <w:p w:rsidR="00A1628C" w:rsidRPr="002555FE" w:rsidRDefault="00A1628C" w:rsidP="00A1628C">
            <w:pPr>
              <w:pStyle w:val="ListParagraph"/>
              <w:spacing w:after="0" w:line="360" w:lineRule="auto"/>
              <w:ind w:left="0"/>
              <w:rPr>
                <w:rFonts w:ascii="Arial" w:eastAsia="Calibri" w:hAnsi="Arial" w:cs="Arial"/>
                <w:szCs w:val="18"/>
              </w:rPr>
            </w:pPr>
          </w:p>
        </w:tc>
      </w:tr>
      <w:tr w:rsidR="00A1628C" w:rsidRPr="002555FE" w:rsidTr="00A1628C">
        <w:tc>
          <w:tcPr>
            <w:tcW w:w="2836" w:type="dxa"/>
            <w:shd w:val="clear" w:color="auto" w:fill="auto"/>
          </w:tcPr>
          <w:p w:rsidR="00A1628C" w:rsidRPr="002555FE" w:rsidRDefault="00A1628C" w:rsidP="00A1628C">
            <w:pPr>
              <w:pStyle w:val="ListParagraph"/>
              <w:spacing w:after="0" w:line="360" w:lineRule="auto"/>
              <w:ind w:left="0"/>
              <w:rPr>
                <w:rFonts w:ascii="Arial" w:eastAsia="Calibri" w:hAnsi="Arial" w:cs="Arial"/>
                <w:szCs w:val="18"/>
              </w:rPr>
            </w:pPr>
            <w:r w:rsidRPr="00A1628C">
              <w:rPr>
                <w:rFonts w:ascii="Arial" w:eastAsia="Calibri" w:hAnsi="Arial" w:cs="Arial"/>
                <w:szCs w:val="18"/>
              </w:rPr>
              <w:t>Association of African Development Finance Institutions (AADFI)</w:t>
            </w:r>
          </w:p>
        </w:tc>
        <w:tc>
          <w:tcPr>
            <w:tcW w:w="3969" w:type="dxa"/>
            <w:shd w:val="clear" w:color="auto" w:fill="auto"/>
          </w:tcPr>
          <w:p w:rsidR="00A1628C" w:rsidRPr="002555FE" w:rsidRDefault="00A1628C" w:rsidP="00A1628C">
            <w:pPr>
              <w:pStyle w:val="ListParagraph"/>
              <w:spacing w:after="0" w:line="360" w:lineRule="auto"/>
              <w:ind w:left="0"/>
              <w:rPr>
                <w:rFonts w:ascii="Arial" w:eastAsia="Calibri" w:hAnsi="Arial" w:cs="Arial"/>
                <w:szCs w:val="18"/>
              </w:rPr>
            </w:pPr>
            <w:r w:rsidRPr="002555FE">
              <w:rPr>
                <w:rFonts w:ascii="Arial" w:eastAsia="Calibri" w:hAnsi="Arial" w:cs="Arial"/>
                <w:szCs w:val="18"/>
              </w:rPr>
              <w:t>Providing financial support to the Research unit of the Association.</w:t>
            </w:r>
          </w:p>
        </w:tc>
        <w:tc>
          <w:tcPr>
            <w:tcW w:w="1984" w:type="dxa"/>
            <w:shd w:val="clear" w:color="auto" w:fill="auto"/>
          </w:tcPr>
          <w:p w:rsidR="00A1628C" w:rsidRPr="002555FE" w:rsidRDefault="00A1628C" w:rsidP="00A1628C">
            <w:pPr>
              <w:pStyle w:val="ListParagraph"/>
              <w:spacing w:after="0" w:line="360" w:lineRule="auto"/>
              <w:ind w:left="0"/>
              <w:rPr>
                <w:rFonts w:ascii="Arial" w:eastAsia="Calibri" w:hAnsi="Arial" w:cs="Arial"/>
                <w:szCs w:val="18"/>
              </w:rPr>
            </w:pPr>
            <w:r w:rsidRPr="002555FE">
              <w:rPr>
                <w:rFonts w:ascii="Arial" w:eastAsia="Calibri" w:hAnsi="Arial" w:cs="Arial"/>
                <w:szCs w:val="18"/>
              </w:rPr>
              <w:t>Over the past 5 years</w:t>
            </w:r>
          </w:p>
        </w:tc>
        <w:tc>
          <w:tcPr>
            <w:tcW w:w="2127" w:type="dxa"/>
            <w:shd w:val="clear" w:color="auto" w:fill="auto"/>
          </w:tcPr>
          <w:p w:rsidR="00A1628C" w:rsidRPr="00A1628C" w:rsidRDefault="00A1628C" w:rsidP="00A1628C">
            <w:pPr>
              <w:rPr>
                <w:rFonts w:ascii="Arial" w:eastAsia="Calibri" w:hAnsi="Arial" w:cs="Arial"/>
                <w:sz w:val="20"/>
                <w:szCs w:val="18"/>
                <w:lang w:val="en-ZA" w:eastAsia="en-ZA"/>
              </w:rPr>
            </w:pPr>
            <w:r w:rsidRPr="00A1628C">
              <w:rPr>
                <w:rFonts w:ascii="Arial" w:eastAsia="Calibri" w:hAnsi="Arial" w:cs="Arial"/>
                <w:sz w:val="20"/>
                <w:szCs w:val="18"/>
                <w:lang w:val="en-ZA" w:eastAsia="en-ZA"/>
              </w:rPr>
              <w:t>Euro 5000</w:t>
            </w:r>
          </w:p>
          <w:p w:rsidR="00A1628C" w:rsidRPr="002555FE" w:rsidRDefault="00A1628C" w:rsidP="00A1628C">
            <w:pPr>
              <w:pStyle w:val="ListParagraph"/>
              <w:spacing w:after="0" w:line="360" w:lineRule="auto"/>
              <w:ind w:left="0"/>
              <w:rPr>
                <w:rFonts w:ascii="Arial" w:eastAsia="Calibri" w:hAnsi="Arial" w:cs="Arial"/>
                <w:szCs w:val="18"/>
              </w:rPr>
            </w:pPr>
          </w:p>
        </w:tc>
      </w:tr>
      <w:tr w:rsidR="00465CBA" w:rsidRPr="002555FE" w:rsidTr="00A1628C">
        <w:tc>
          <w:tcPr>
            <w:tcW w:w="2836" w:type="dxa"/>
            <w:shd w:val="clear" w:color="auto" w:fill="auto"/>
          </w:tcPr>
          <w:p w:rsidR="00465CBA" w:rsidRPr="002555FE" w:rsidRDefault="00465CBA" w:rsidP="00A1628C">
            <w:pPr>
              <w:pStyle w:val="ListParagraph"/>
              <w:spacing w:after="0" w:line="360" w:lineRule="auto"/>
              <w:ind w:left="0"/>
              <w:rPr>
                <w:rFonts w:ascii="Arial" w:eastAsia="Calibri" w:hAnsi="Arial" w:cs="Arial"/>
                <w:szCs w:val="18"/>
              </w:rPr>
            </w:pPr>
            <w:r w:rsidRPr="002555FE">
              <w:rPr>
                <w:rFonts w:ascii="Arial" w:eastAsia="Calibri" w:hAnsi="Arial" w:cs="Arial"/>
                <w:szCs w:val="18"/>
              </w:rPr>
              <w:t>Regional Industrial Development Strategy (RIDS)</w:t>
            </w:r>
          </w:p>
          <w:p w:rsidR="00465CBA" w:rsidRPr="002555FE" w:rsidRDefault="00465CBA" w:rsidP="00A1628C">
            <w:pPr>
              <w:pStyle w:val="ListParagraph"/>
              <w:spacing w:after="0" w:line="360" w:lineRule="auto"/>
              <w:ind w:left="-113"/>
              <w:rPr>
                <w:rFonts w:ascii="Arial" w:eastAsia="Calibri" w:hAnsi="Arial" w:cs="Arial"/>
                <w:szCs w:val="18"/>
              </w:rPr>
            </w:pPr>
          </w:p>
        </w:tc>
        <w:tc>
          <w:tcPr>
            <w:tcW w:w="3969" w:type="dxa"/>
            <w:shd w:val="clear" w:color="auto" w:fill="auto"/>
          </w:tcPr>
          <w:p w:rsidR="00465CBA" w:rsidRPr="002555FE" w:rsidRDefault="00465CBA" w:rsidP="00A1628C">
            <w:pPr>
              <w:pStyle w:val="ListParagraph"/>
              <w:spacing w:after="0" w:line="360" w:lineRule="auto"/>
              <w:ind w:left="0"/>
              <w:rPr>
                <w:rFonts w:ascii="Arial" w:eastAsia="Calibri" w:hAnsi="Arial" w:cs="Arial"/>
                <w:szCs w:val="18"/>
              </w:rPr>
            </w:pPr>
            <w:r w:rsidRPr="002555FE">
              <w:rPr>
                <w:rFonts w:ascii="Arial" w:eastAsia="Calibri" w:hAnsi="Arial" w:cs="Arial"/>
                <w:szCs w:val="18"/>
              </w:rPr>
              <w:t>Vutha’s Mlilo Fund Impact Assessment</w:t>
            </w:r>
          </w:p>
          <w:p w:rsidR="00465CBA" w:rsidRPr="002555FE" w:rsidRDefault="00465CBA" w:rsidP="00A1628C">
            <w:pPr>
              <w:pStyle w:val="ListParagraph"/>
              <w:spacing w:after="0" w:line="360" w:lineRule="auto"/>
              <w:ind w:left="-108"/>
              <w:rPr>
                <w:rFonts w:ascii="Arial" w:eastAsia="Calibri" w:hAnsi="Arial" w:cs="Arial"/>
                <w:szCs w:val="18"/>
              </w:rPr>
            </w:pPr>
          </w:p>
        </w:tc>
        <w:tc>
          <w:tcPr>
            <w:tcW w:w="1984" w:type="dxa"/>
            <w:shd w:val="clear" w:color="auto" w:fill="auto"/>
          </w:tcPr>
          <w:p w:rsidR="00465CBA" w:rsidRPr="002555FE" w:rsidRDefault="00465CBA" w:rsidP="00A1628C">
            <w:pPr>
              <w:pStyle w:val="ListParagraph"/>
              <w:spacing w:after="0" w:line="360" w:lineRule="auto"/>
              <w:ind w:left="0"/>
              <w:rPr>
                <w:rFonts w:ascii="Arial" w:eastAsia="Calibri" w:hAnsi="Arial" w:cs="Arial"/>
                <w:szCs w:val="18"/>
              </w:rPr>
            </w:pPr>
            <w:r w:rsidRPr="002555FE">
              <w:rPr>
                <w:rFonts w:ascii="Arial" w:eastAsia="Calibri" w:hAnsi="Arial" w:cs="Arial"/>
                <w:szCs w:val="18"/>
              </w:rPr>
              <w:t>July 2014- December 2014</w:t>
            </w:r>
          </w:p>
          <w:p w:rsidR="00465CBA" w:rsidRPr="002555FE" w:rsidRDefault="00465CBA" w:rsidP="00A1628C">
            <w:pPr>
              <w:pStyle w:val="ListParagraph"/>
              <w:spacing w:after="0" w:line="360" w:lineRule="auto"/>
              <w:ind w:left="-107"/>
              <w:rPr>
                <w:rFonts w:ascii="Arial" w:eastAsia="Calibri" w:hAnsi="Arial" w:cs="Arial"/>
                <w:szCs w:val="18"/>
              </w:rPr>
            </w:pPr>
          </w:p>
        </w:tc>
        <w:tc>
          <w:tcPr>
            <w:tcW w:w="2127" w:type="dxa"/>
            <w:shd w:val="clear" w:color="auto" w:fill="auto"/>
          </w:tcPr>
          <w:p w:rsidR="00465CBA" w:rsidRPr="002555FE" w:rsidRDefault="00465CBA" w:rsidP="00A1628C">
            <w:pPr>
              <w:pStyle w:val="ListParagraph"/>
              <w:spacing w:after="0" w:line="360" w:lineRule="auto"/>
              <w:ind w:left="0"/>
              <w:rPr>
                <w:rFonts w:ascii="Arial" w:eastAsia="Calibri" w:hAnsi="Arial" w:cs="Arial"/>
                <w:szCs w:val="18"/>
              </w:rPr>
            </w:pPr>
            <w:r w:rsidRPr="002555FE">
              <w:rPr>
                <w:rFonts w:ascii="Arial" w:eastAsia="Calibri" w:hAnsi="Arial" w:cs="Arial"/>
                <w:szCs w:val="18"/>
              </w:rPr>
              <w:t>R 445 450.00 x 1 year</w:t>
            </w:r>
          </w:p>
          <w:p w:rsidR="00465CBA" w:rsidRPr="002555FE" w:rsidRDefault="00465CBA" w:rsidP="00A1628C">
            <w:pPr>
              <w:pStyle w:val="ListParagraph"/>
              <w:spacing w:after="0" w:line="360" w:lineRule="auto"/>
              <w:ind w:left="-105"/>
              <w:rPr>
                <w:rFonts w:ascii="Arial" w:eastAsia="Calibri" w:hAnsi="Arial" w:cs="Arial"/>
                <w:szCs w:val="18"/>
              </w:rPr>
            </w:pPr>
          </w:p>
        </w:tc>
      </w:tr>
      <w:tr w:rsidR="00A1628C" w:rsidRPr="002555FE" w:rsidTr="00A1628C">
        <w:tc>
          <w:tcPr>
            <w:tcW w:w="2836" w:type="dxa"/>
            <w:shd w:val="clear" w:color="auto" w:fill="auto"/>
          </w:tcPr>
          <w:p w:rsidR="00A1628C" w:rsidRPr="002555FE" w:rsidRDefault="00A1628C" w:rsidP="00A1628C">
            <w:pPr>
              <w:pStyle w:val="ListParagraph"/>
              <w:spacing w:after="0" w:line="360" w:lineRule="auto"/>
              <w:ind w:left="0"/>
              <w:rPr>
                <w:rFonts w:ascii="Arial" w:eastAsia="Calibri" w:hAnsi="Arial" w:cs="Arial"/>
                <w:szCs w:val="18"/>
              </w:rPr>
            </w:pPr>
            <w:r w:rsidRPr="00A1628C">
              <w:rPr>
                <w:rFonts w:ascii="Arial" w:eastAsia="Calibri" w:hAnsi="Arial" w:cs="Arial"/>
                <w:szCs w:val="18"/>
              </w:rPr>
              <w:t>Mining Towns Revitalization (Special/Spatial Intervention Programme funds)</w:t>
            </w:r>
          </w:p>
        </w:tc>
        <w:tc>
          <w:tcPr>
            <w:tcW w:w="3969" w:type="dxa"/>
            <w:shd w:val="clear" w:color="auto" w:fill="auto"/>
          </w:tcPr>
          <w:p w:rsidR="00A1628C" w:rsidRPr="002555FE" w:rsidRDefault="00A1628C" w:rsidP="00A1628C">
            <w:pPr>
              <w:pStyle w:val="ListParagraph"/>
              <w:spacing w:after="0" w:line="360" w:lineRule="auto"/>
              <w:ind w:left="0"/>
              <w:rPr>
                <w:rFonts w:ascii="Arial" w:eastAsia="Calibri" w:hAnsi="Arial" w:cs="Arial"/>
                <w:szCs w:val="18"/>
              </w:rPr>
            </w:pPr>
            <w:r w:rsidRPr="00A1628C">
              <w:rPr>
                <w:rFonts w:ascii="Arial" w:eastAsia="Calibri" w:hAnsi="Arial" w:cs="Arial"/>
                <w:szCs w:val="18"/>
              </w:rPr>
              <w:t>Conducting Economic Activities and Opportunity Assessment Around the declining mining towns in order to improve socio-economic conditions of mining regions for six municipal districts around South Africa.</w:t>
            </w:r>
          </w:p>
        </w:tc>
        <w:tc>
          <w:tcPr>
            <w:tcW w:w="1984" w:type="dxa"/>
            <w:shd w:val="clear" w:color="auto" w:fill="auto"/>
          </w:tcPr>
          <w:p w:rsidR="00A1628C" w:rsidRPr="002555FE" w:rsidRDefault="00A1628C" w:rsidP="00A1628C">
            <w:pPr>
              <w:pStyle w:val="ListParagraph"/>
              <w:spacing w:after="0" w:line="360" w:lineRule="auto"/>
              <w:ind w:left="0"/>
              <w:rPr>
                <w:rFonts w:ascii="Arial" w:eastAsia="Calibri" w:hAnsi="Arial" w:cs="Arial"/>
                <w:szCs w:val="18"/>
              </w:rPr>
            </w:pPr>
            <w:r w:rsidRPr="00A1628C">
              <w:rPr>
                <w:rFonts w:ascii="Arial" w:eastAsia="Calibri" w:hAnsi="Arial" w:cs="Arial"/>
                <w:szCs w:val="18"/>
              </w:rPr>
              <w:t>August 2014 – July 2015</w:t>
            </w:r>
          </w:p>
        </w:tc>
        <w:tc>
          <w:tcPr>
            <w:tcW w:w="2127" w:type="dxa"/>
            <w:shd w:val="clear" w:color="auto" w:fill="auto"/>
          </w:tcPr>
          <w:p w:rsidR="00A1628C" w:rsidRPr="002555FE" w:rsidRDefault="00A1628C" w:rsidP="00A1628C">
            <w:pPr>
              <w:pStyle w:val="ListParagraph"/>
              <w:spacing w:after="0" w:line="360" w:lineRule="auto"/>
              <w:ind w:left="0"/>
              <w:rPr>
                <w:rFonts w:ascii="Arial" w:eastAsia="Calibri" w:hAnsi="Arial" w:cs="Arial"/>
                <w:szCs w:val="18"/>
              </w:rPr>
            </w:pPr>
            <w:r w:rsidRPr="00A1628C">
              <w:rPr>
                <w:rFonts w:ascii="Arial" w:eastAsia="Calibri" w:hAnsi="Arial" w:cs="Arial"/>
                <w:szCs w:val="18"/>
              </w:rPr>
              <w:t>R 2 154 480.00 x 1 year</w:t>
            </w:r>
          </w:p>
        </w:tc>
      </w:tr>
      <w:tr w:rsidR="00465CBA" w:rsidRPr="002555FE" w:rsidTr="00A1628C">
        <w:tc>
          <w:tcPr>
            <w:tcW w:w="2836" w:type="dxa"/>
            <w:shd w:val="clear" w:color="auto" w:fill="auto"/>
          </w:tcPr>
          <w:p w:rsidR="00465CBA" w:rsidRPr="002555FE" w:rsidRDefault="00465CBA" w:rsidP="00F52D8A">
            <w:pPr>
              <w:shd w:val="clear" w:color="auto" w:fill="FFFFFF"/>
              <w:spacing w:line="360" w:lineRule="auto"/>
              <w:rPr>
                <w:rFonts w:ascii="Arial" w:eastAsia="Calibri" w:hAnsi="Arial" w:cs="Arial"/>
                <w:sz w:val="20"/>
                <w:szCs w:val="18"/>
              </w:rPr>
            </w:pPr>
            <w:r w:rsidRPr="002555FE">
              <w:rPr>
                <w:rFonts w:ascii="Arial" w:eastAsia="Calibri" w:hAnsi="Arial" w:cs="Arial"/>
                <w:sz w:val="20"/>
                <w:szCs w:val="18"/>
              </w:rPr>
              <w:t>World Economic Forum -Regional Partnership</w:t>
            </w:r>
          </w:p>
        </w:tc>
        <w:tc>
          <w:tcPr>
            <w:tcW w:w="3969" w:type="dxa"/>
            <w:shd w:val="clear" w:color="auto" w:fill="auto"/>
          </w:tcPr>
          <w:p w:rsidR="00465CBA" w:rsidRPr="002555FE" w:rsidRDefault="00465CBA" w:rsidP="00F52D8A">
            <w:pPr>
              <w:spacing w:line="360" w:lineRule="auto"/>
              <w:rPr>
                <w:rFonts w:ascii="Arial" w:eastAsia="Calibri" w:hAnsi="Arial" w:cs="Arial"/>
                <w:sz w:val="20"/>
                <w:szCs w:val="18"/>
              </w:rPr>
            </w:pPr>
            <w:r w:rsidRPr="002555FE">
              <w:rPr>
                <w:rFonts w:ascii="Arial" w:eastAsia="Calibri" w:hAnsi="Arial" w:cs="Arial"/>
                <w:sz w:val="20"/>
                <w:szCs w:val="18"/>
              </w:rPr>
              <w:t xml:space="preserve">In line with its mandate to expand its investment into the Rest of Africa, the Regional Partnership enables the IDC to strengthen its catalytic role in the continent. It gives the IDC the opportunity to engage with the business communities, key representatives of government and various financial institutions on issues that pertains to the development of the continent.  </w:t>
            </w:r>
          </w:p>
        </w:tc>
        <w:tc>
          <w:tcPr>
            <w:tcW w:w="1984" w:type="dxa"/>
            <w:shd w:val="clear" w:color="auto" w:fill="auto"/>
          </w:tcPr>
          <w:p w:rsidR="00465CBA" w:rsidRPr="002555FE" w:rsidRDefault="00465CBA" w:rsidP="00F52D8A">
            <w:pPr>
              <w:spacing w:line="360" w:lineRule="auto"/>
              <w:rPr>
                <w:rFonts w:ascii="Arial" w:eastAsia="Calibri" w:hAnsi="Arial" w:cs="Arial"/>
                <w:sz w:val="20"/>
                <w:szCs w:val="18"/>
              </w:rPr>
            </w:pPr>
            <w:r w:rsidRPr="002555FE">
              <w:rPr>
                <w:rFonts w:ascii="Arial" w:eastAsia="Calibri" w:hAnsi="Arial" w:cs="Arial"/>
                <w:sz w:val="20"/>
                <w:szCs w:val="18"/>
              </w:rPr>
              <w:t>2017-2019</w:t>
            </w:r>
          </w:p>
        </w:tc>
        <w:tc>
          <w:tcPr>
            <w:tcW w:w="2127" w:type="dxa"/>
            <w:shd w:val="clear" w:color="auto" w:fill="auto"/>
          </w:tcPr>
          <w:p w:rsidR="00465CBA" w:rsidRPr="002555FE" w:rsidRDefault="00465CBA" w:rsidP="00F52D8A">
            <w:pPr>
              <w:spacing w:line="360" w:lineRule="auto"/>
              <w:rPr>
                <w:rFonts w:ascii="Arial" w:eastAsia="Calibri" w:hAnsi="Arial" w:cs="Arial"/>
                <w:sz w:val="20"/>
                <w:szCs w:val="18"/>
              </w:rPr>
            </w:pPr>
            <w:r w:rsidRPr="002555FE">
              <w:rPr>
                <w:rFonts w:ascii="Arial" w:eastAsia="Calibri" w:hAnsi="Arial" w:cs="Arial"/>
                <w:sz w:val="20"/>
                <w:szCs w:val="18"/>
              </w:rPr>
              <w:t>CHF 300,000.00 x 3 years</w:t>
            </w:r>
          </w:p>
        </w:tc>
      </w:tr>
      <w:tr w:rsidR="00465CBA" w:rsidRPr="002555FE" w:rsidTr="00A1628C">
        <w:trPr>
          <w:trHeight w:val="251"/>
        </w:trPr>
        <w:tc>
          <w:tcPr>
            <w:tcW w:w="2836" w:type="dxa"/>
            <w:shd w:val="clear" w:color="auto" w:fill="auto"/>
          </w:tcPr>
          <w:p w:rsidR="00465CBA" w:rsidRPr="002555FE" w:rsidRDefault="00465CBA" w:rsidP="00F52D8A">
            <w:pPr>
              <w:spacing w:line="360" w:lineRule="auto"/>
              <w:rPr>
                <w:rFonts w:ascii="Arial" w:eastAsia="Calibri" w:hAnsi="Arial" w:cs="Arial"/>
                <w:sz w:val="20"/>
                <w:szCs w:val="18"/>
              </w:rPr>
            </w:pPr>
            <w:r w:rsidRPr="002555FE">
              <w:rPr>
                <w:rFonts w:ascii="Arial" w:eastAsia="Calibri" w:hAnsi="Arial" w:cs="Arial"/>
                <w:sz w:val="20"/>
                <w:szCs w:val="18"/>
              </w:rPr>
              <w:t>University of Johannesburg’s Automation and Control Research Centre in the School of Electrical Engineering</w:t>
            </w:r>
          </w:p>
        </w:tc>
        <w:tc>
          <w:tcPr>
            <w:tcW w:w="3969" w:type="dxa"/>
            <w:shd w:val="clear" w:color="auto" w:fill="auto"/>
          </w:tcPr>
          <w:p w:rsidR="00465CBA" w:rsidRPr="002555FE" w:rsidRDefault="00465CBA" w:rsidP="00F52D8A">
            <w:pPr>
              <w:spacing w:line="360" w:lineRule="auto"/>
              <w:rPr>
                <w:rFonts w:ascii="Arial" w:eastAsia="Calibri" w:hAnsi="Arial" w:cs="Arial"/>
                <w:sz w:val="20"/>
                <w:szCs w:val="18"/>
              </w:rPr>
            </w:pPr>
            <w:r w:rsidRPr="002555FE">
              <w:rPr>
                <w:rFonts w:ascii="Arial" w:eastAsia="Calibri" w:hAnsi="Arial" w:cs="Arial"/>
                <w:sz w:val="20"/>
                <w:szCs w:val="18"/>
              </w:rPr>
              <w:t>Automation and Control Research</w:t>
            </w:r>
          </w:p>
        </w:tc>
        <w:tc>
          <w:tcPr>
            <w:tcW w:w="1984" w:type="dxa"/>
            <w:shd w:val="clear" w:color="auto" w:fill="auto"/>
          </w:tcPr>
          <w:p w:rsidR="00465CBA" w:rsidRPr="002555FE" w:rsidRDefault="00465CBA" w:rsidP="00F52D8A">
            <w:pPr>
              <w:spacing w:line="360" w:lineRule="auto"/>
              <w:rPr>
                <w:rFonts w:ascii="Arial" w:eastAsia="Calibri" w:hAnsi="Arial" w:cs="Arial"/>
                <w:sz w:val="20"/>
                <w:szCs w:val="18"/>
              </w:rPr>
            </w:pPr>
            <w:r w:rsidRPr="002555FE">
              <w:rPr>
                <w:rFonts w:ascii="Arial" w:eastAsia="Calibri" w:hAnsi="Arial" w:cs="Arial"/>
                <w:sz w:val="20"/>
                <w:szCs w:val="18"/>
              </w:rPr>
              <w:t>2014</w:t>
            </w:r>
          </w:p>
        </w:tc>
        <w:tc>
          <w:tcPr>
            <w:tcW w:w="2127" w:type="dxa"/>
            <w:shd w:val="clear" w:color="auto" w:fill="auto"/>
          </w:tcPr>
          <w:p w:rsidR="00465CBA" w:rsidRPr="002555FE" w:rsidRDefault="00465CBA" w:rsidP="00F52D8A">
            <w:pPr>
              <w:spacing w:line="360" w:lineRule="auto"/>
              <w:rPr>
                <w:rFonts w:ascii="Arial" w:eastAsia="Calibri" w:hAnsi="Arial" w:cs="Arial"/>
                <w:sz w:val="20"/>
                <w:szCs w:val="18"/>
              </w:rPr>
            </w:pPr>
            <w:r w:rsidRPr="002555FE">
              <w:rPr>
                <w:rFonts w:ascii="Arial" w:eastAsia="Calibri" w:hAnsi="Arial" w:cs="Arial"/>
                <w:sz w:val="20"/>
                <w:szCs w:val="18"/>
              </w:rPr>
              <w:t>R1 million x 1 year</w:t>
            </w:r>
          </w:p>
        </w:tc>
      </w:tr>
      <w:tr w:rsidR="00090031" w:rsidRPr="002555FE" w:rsidTr="00A1628C">
        <w:trPr>
          <w:trHeight w:val="251"/>
        </w:trPr>
        <w:tc>
          <w:tcPr>
            <w:tcW w:w="2836" w:type="dxa"/>
            <w:shd w:val="clear" w:color="auto" w:fill="auto"/>
          </w:tcPr>
          <w:p w:rsidR="00090031" w:rsidRPr="002555FE" w:rsidRDefault="00090031" w:rsidP="00F52D8A">
            <w:pPr>
              <w:spacing w:line="360" w:lineRule="auto"/>
              <w:rPr>
                <w:rFonts w:ascii="Arial" w:eastAsia="Calibri" w:hAnsi="Arial" w:cs="Arial"/>
                <w:sz w:val="20"/>
                <w:szCs w:val="18"/>
              </w:rPr>
            </w:pPr>
            <w:r w:rsidRPr="002F746C">
              <w:rPr>
                <w:rFonts w:ascii="Arial" w:hAnsi="Arial" w:cs="Arial"/>
                <w:sz w:val="20"/>
              </w:rPr>
              <w:t>Mapungubwe Institute for Strategic Reflection (MISTRA)</w:t>
            </w:r>
          </w:p>
        </w:tc>
        <w:tc>
          <w:tcPr>
            <w:tcW w:w="3969" w:type="dxa"/>
            <w:shd w:val="clear" w:color="auto" w:fill="auto"/>
          </w:tcPr>
          <w:p w:rsidR="00090031" w:rsidRPr="002F746C" w:rsidRDefault="00090031" w:rsidP="00090031">
            <w:pPr>
              <w:spacing w:line="360" w:lineRule="auto"/>
              <w:rPr>
                <w:rFonts w:ascii="Arial" w:hAnsi="Arial" w:cs="Arial"/>
                <w:sz w:val="20"/>
              </w:rPr>
            </w:pPr>
            <w:r w:rsidRPr="002F746C">
              <w:rPr>
                <w:rFonts w:ascii="Arial" w:hAnsi="Arial" w:cs="Arial"/>
                <w:sz w:val="20"/>
              </w:rPr>
              <w:t>MISTRA is an independent research institute that takes a long-term view on the strategic challenges facing South Africa, with the aim of deepening debates in issues such as economic, governance, history, culture and natural sciences. MISTRA collaborates with policy-makers and practitioners to ensure implementation of the recommendation emanating from its research findings. It was established in 2010 and has completed numerous comprehensive research projects, including commissioned research projects for a range of clients in the private sector and also released several publications.</w:t>
            </w:r>
          </w:p>
          <w:p w:rsidR="00090031" w:rsidRPr="002555FE" w:rsidRDefault="00090031" w:rsidP="00F52D8A">
            <w:pPr>
              <w:spacing w:line="360" w:lineRule="auto"/>
              <w:rPr>
                <w:rFonts w:ascii="Arial" w:eastAsia="Calibri" w:hAnsi="Arial" w:cs="Arial"/>
                <w:sz w:val="20"/>
                <w:szCs w:val="18"/>
              </w:rPr>
            </w:pPr>
          </w:p>
        </w:tc>
        <w:tc>
          <w:tcPr>
            <w:tcW w:w="1984" w:type="dxa"/>
            <w:shd w:val="clear" w:color="auto" w:fill="auto"/>
          </w:tcPr>
          <w:p w:rsidR="00090031" w:rsidRPr="002555FE" w:rsidRDefault="00090031" w:rsidP="00F52D8A">
            <w:pPr>
              <w:spacing w:line="360" w:lineRule="auto"/>
              <w:rPr>
                <w:rFonts w:ascii="Arial" w:eastAsia="Calibri" w:hAnsi="Arial" w:cs="Arial"/>
                <w:sz w:val="20"/>
                <w:szCs w:val="18"/>
              </w:rPr>
            </w:pPr>
            <w:r w:rsidRPr="002F746C">
              <w:rPr>
                <w:rFonts w:ascii="Arial" w:hAnsi="Arial" w:cs="Arial"/>
                <w:sz w:val="20"/>
              </w:rPr>
              <w:t>Nov 2015  (Only)</w:t>
            </w:r>
          </w:p>
        </w:tc>
        <w:tc>
          <w:tcPr>
            <w:tcW w:w="2127" w:type="dxa"/>
            <w:shd w:val="clear" w:color="auto" w:fill="auto"/>
          </w:tcPr>
          <w:p w:rsidR="00090031" w:rsidRPr="002555FE" w:rsidRDefault="00090031" w:rsidP="00F52D8A">
            <w:pPr>
              <w:spacing w:line="360" w:lineRule="auto"/>
              <w:rPr>
                <w:rFonts w:ascii="Arial" w:eastAsia="Calibri" w:hAnsi="Arial" w:cs="Arial"/>
                <w:sz w:val="20"/>
                <w:szCs w:val="18"/>
              </w:rPr>
            </w:pPr>
            <w:r w:rsidRPr="002F746C">
              <w:rPr>
                <w:rFonts w:ascii="Arial" w:hAnsi="Arial" w:cs="Arial"/>
                <w:sz w:val="20"/>
              </w:rPr>
              <w:t>R500 000.00</w:t>
            </w:r>
          </w:p>
        </w:tc>
      </w:tr>
    </w:tbl>
    <w:p w:rsidR="00F52D8A" w:rsidRDefault="00F52D8A" w:rsidP="00465CBA">
      <w:pPr>
        <w:rPr>
          <w:rFonts w:ascii="Arial" w:hAnsi="Arial" w:cs="Arial"/>
          <w:b/>
          <w:iCs/>
        </w:rPr>
      </w:pPr>
    </w:p>
    <w:p w:rsidR="00090031" w:rsidRDefault="00090031" w:rsidP="00465CBA">
      <w:pPr>
        <w:rPr>
          <w:rFonts w:ascii="Arial" w:hAnsi="Arial" w:cs="Arial"/>
          <w:iC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8"/>
        <w:gridCol w:w="2813"/>
        <w:gridCol w:w="1843"/>
        <w:gridCol w:w="1701"/>
        <w:gridCol w:w="1701"/>
      </w:tblGrid>
      <w:tr w:rsidR="00A1628C" w:rsidRPr="002555FE" w:rsidTr="00A1628C">
        <w:tc>
          <w:tcPr>
            <w:tcW w:w="2858" w:type="dxa"/>
            <w:shd w:val="clear" w:color="auto" w:fill="D9D9D9"/>
          </w:tcPr>
          <w:p w:rsidR="00A1628C" w:rsidRPr="002555FE" w:rsidRDefault="00A1628C" w:rsidP="00F52D8A">
            <w:pPr>
              <w:spacing w:line="360" w:lineRule="auto"/>
              <w:rPr>
                <w:rFonts w:ascii="Arial" w:eastAsia="Calibri" w:hAnsi="Arial" w:cs="Arial"/>
                <w:b/>
                <w:sz w:val="20"/>
                <w:szCs w:val="22"/>
              </w:rPr>
            </w:pPr>
            <w:r w:rsidRPr="002555FE">
              <w:rPr>
                <w:rFonts w:ascii="Arial" w:eastAsia="Calibri" w:hAnsi="Arial" w:cs="Arial"/>
                <w:b/>
                <w:sz w:val="20"/>
                <w:szCs w:val="22"/>
              </w:rPr>
              <w:t>Beneficiary research institutions (undertaking specific research project/s after being selected through open bid process)</w:t>
            </w:r>
          </w:p>
        </w:tc>
        <w:tc>
          <w:tcPr>
            <w:tcW w:w="2813" w:type="dxa"/>
            <w:shd w:val="clear" w:color="auto" w:fill="D9D9D9"/>
          </w:tcPr>
          <w:p w:rsidR="00A1628C" w:rsidRPr="002555FE" w:rsidRDefault="00A1628C" w:rsidP="00F52D8A">
            <w:pPr>
              <w:spacing w:line="360" w:lineRule="auto"/>
              <w:jc w:val="right"/>
              <w:rPr>
                <w:rFonts w:ascii="Arial" w:eastAsia="Calibri" w:hAnsi="Arial" w:cs="Arial"/>
                <w:b/>
                <w:sz w:val="20"/>
                <w:szCs w:val="22"/>
              </w:rPr>
            </w:pPr>
          </w:p>
        </w:tc>
        <w:tc>
          <w:tcPr>
            <w:tcW w:w="1843" w:type="dxa"/>
            <w:shd w:val="clear" w:color="auto" w:fill="D9D9D9"/>
          </w:tcPr>
          <w:p w:rsidR="00A1628C" w:rsidRPr="002555FE" w:rsidRDefault="00A1628C" w:rsidP="00F52D8A">
            <w:pPr>
              <w:spacing w:line="360" w:lineRule="auto"/>
              <w:jc w:val="right"/>
              <w:rPr>
                <w:rFonts w:ascii="Arial" w:eastAsia="Calibri" w:hAnsi="Arial" w:cs="Arial"/>
                <w:b/>
                <w:sz w:val="20"/>
                <w:szCs w:val="22"/>
              </w:rPr>
            </w:pPr>
            <w:r w:rsidRPr="002555FE">
              <w:rPr>
                <w:rFonts w:ascii="Arial" w:eastAsia="Calibri" w:hAnsi="Arial" w:cs="Arial"/>
                <w:b/>
                <w:sz w:val="20"/>
                <w:szCs w:val="22"/>
              </w:rPr>
              <w:t>Total amount approved</w:t>
            </w:r>
          </w:p>
        </w:tc>
        <w:tc>
          <w:tcPr>
            <w:tcW w:w="1701" w:type="dxa"/>
            <w:shd w:val="clear" w:color="auto" w:fill="D9D9D9"/>
          </w:tcPr>
          <w:p w:rsidR="00A1628C" w:rsidRPr="002555FE" w:rsidRDefault="00A1628C" w:rsidP="00F52D8A">
            <w:pPr>
              <w:spacing w:line="360" w:lineRule="auto"/>
              <w:jc w:val="right"/>
              <w:rPr>
                <w:rFonts w:ascii="Arial" w:eastAsia="Calibri" w:hAnsi="Arial" w:cs="Arial"/>
                <w:b/>
                <w:sz w:val="20"/>
                <w:szCs w:val="22"/>
              </w:rPr>
            </w:pPr>
            <w:r w:rsidRPr="002555FE">
              <w:rPr>
                <w:rFonts w:ascii="Arial" w:eastAsia="Calibri" w:hAnsi="Arial" w:cs="Arial"/>
                <w:b/>
                <w:sz w:val="20"/>
                <w:szCs w:val="22"/>
              </w:rPr>
              <w:t>Year approved</w:t>
            </w:r>
          </w:p>
        </w:tc>
        <w:tc>
          <w:tcPr>
            <w:tcW w:w="1701" w:type="dxa"/>
            <w:shd w:val="clear" w:color="auto" w:fill="D9D9D9"/>
          </w:tcPr>
          <w:p w:rsidR="00A1628C" w:rsidRPr="002555FE" w:rsidRDefault="00A1628C" w:rsidP="00F52D8A">
            <w:pPr>
              <w:spacing w:line="360" w:lineRule="auto"/>
              <w:jc w:val="right"/>
              <w:rPr>
                <w:rFonts w:ascii="Arial" w:eastAsia="Calibri" w:hAnsi="Arial" w:cs="Arial"/>
                <w:b/>
                <w:sz w:val="20"/>
                <w:szCs w:val="22"/>
              </w:rPr>
            </w:pPr>
            <w:r w:rsidRPr="002555FE">
              <w:rPr>
                <w:rFonts w:ascii="Arial" w:eastAsia="Calibri" w:hAnsi="Arial" w:cs="Arial"/>
                <w:b/>
                <w:sz w:val="20"/>
                <w:szCs w:val="22"/>
              </w:rPr>
              <w:t>Total disbursements to date</w:t>
            </w:r>
          </w:p>
        </w:tc>
      </w:tr>
      <w:tr w:rsidR="00A1628C" w:rsidRPr="002555FE" w:rsidTr="00A1628C">
        <w:tc>
          <w:tcPr>
            <w:tcW w:w="2858" w:type="dxa"/>
            <w:shd w:val="clear" w:color="auto" w:fill="auto"/>
          </w:tcPr>
          <w:p w:rsidR="00A1628C" w:rsidRPr="002555FE" w:rsidRDefault="00A1628C" w:rsidP="00A1628C">
            <w:pPr>
              <w:spacing w:line="360" w:lineRule="auto"/>
              <w:rPr>
                <w:rFonts w:ascii="Arial" w:eastAsia="Calibri" w:hAnsi="Arial" w:cs="Arial"/>
                <w:sz w:val="20"/>
                <w:szCs w:val="22"/>
              </w:rPr>
            </w:pPr>
            <w:r w:rsidRPr="002555FE">
              <w:rPr>
                <w:rFonts w:ascii="Arial" w:eastAsia="Calibri" w:hAnsi="Arial" w:cs="Arial"/>
                <w:sz w:val="20"/>
                <w:szCs w:val="22"/>
              </w:rPr>
              <w:t>University of KwaZulu-Natal</w:t>
            </w:r>
          </w:p>
        </w:tc>
        <w:tc>
          <w:tcPr>
            <w:tcW w:w="2813" w:type="dxa"/>
          </w:tcPr>
          <w:p w:rsidR="00A1628C" w:rsidRPr="00A1628C" w:rsidRDefault="00A1628C" w:rsidP="00A1628C">
            <w:r w:rsidRPr="00A1628C">
              <w:rPr>
                <w:rFonts w:ascii="Arial" w:eastAsia="Calibri" w:hAnsi="Arial" w:cs="Arial"/>
                <w:sz w:val="20"/>
                <w:szCs w:val="22"/>
              </w:rPr>
              <w:t>Agro-Processing Competitiveness Fund: Research Grant Component (managed by IDC Research &amp; Information department on behalf of EDD)</w:t>
            </w:r>
          </w:p>
        </w:tc>
        <w:tc>
          <w:tcPr>
            <w:tcW w:w="1843"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R1,028,055</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2013</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R685,370</w:t>
            </w:r>
          </w:p>
        </w:tc>
      </w:tr>
      <w:tr w:rsidR="00A1628C" w:rsidRPr="002555FE" w:rsidTr="00A1628C">
        <w:tc>
          <w:tcPr>
            <w:tcW w:w="2858" w:type="dxa"/>
            <w:shd w:val="clear" w:color="auto" w:fill="auto"/>
          </w:tcPr>
          <w:p w:rsidR="00A1628C" w:rsidRPr="002555FE" w:rsidRDefault="00A1628C" w:rsidP="00A1628C">
            <w:pPr>
              <w:spacing w:line="360" w:lineRule="auto"/>
              <w:rPr>
                <w:rFonts w:ascii="Arial" w:eastAsia="Calibri" w:hAnsi="Arial" w:cs="Arial"/>
                <w:sz w:val="20"/>
                <w:szCs w:val="22"/>
              </w:rPr>
            </w:pPr>
            <w:r w:rsidRPr="002555FE">
              <w:rPr>
                <w:rFonts w:ascii="Arial" w:eastAsia="Calibri" w:hAnsi="Arial" w:cs="Arial"/>
                <w:sz w:val="20"/>
                <w:szCs w:val="22"/>
              </w:rPr>
              <w:t>Bureau of Food and Agriculture Policy</w:t>
            </w:r>
          </w:p>
        </w:tc>
        <w:tc>
          <w:tcPr>
            <w:tcW w:w="2813" w:type="dxa"/>
          </w:tcPr>
          <w:p w:rsidR="00A1628C" w:rsidRPr="00A1628C" w:rsidRDefault="00A1628C" w:rsidP="00A1628C">
            <w:r w:rsidRPr="00A1628C">
              <w:rPr>
                <w:rFonts w:ascii="Arial" w:eastAsia="Calibri" w:hAnsi="Arial" w:cs="Arial"/>
                <w:sz w:val="20"/>
                <w:szCs w:val="22"/>
              </w:rPr>
              <w:t>Agro-Processing Competitiveness Fund: Research Grant Component (managed by IDC Research &amp; Information department on behalf of EDD)</w:t>
            </w:r>
          </w:p>
        </w:tc>
        <w:tc>
          <w:tcPr>
            <w:tcW w:w="1843"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R1,072,500</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2013</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R1,072,500</w:t>
            </w:r>
          </w:p>
        </w:tc>
      </w:tr>
      <w:tr w:rsidR="00A1628C" w:rsidRPr="002555FE" w:rsidTr="00A1628C">
        <w:tc>
          <w:tcPr>
            <w:tcW w:w="2858" w:type="dxa"/>
            <w:shd w:val="clear" w:color="auto" w:fill="auto"/>
          </w:tcPr>
          <w:p w:rsidR="00A1628C" w:rsidRPr="002555FE" w:rsidRDefault="00A1628C" w:rsidP="00A1628C">
            <w:pPr>
              <w:spacing w:line="360" w:lineRule="auto"/>
              <w:rPr>
                <w:rFonts w:ascii="Arial" w:eastAsia="Calibri" w:hAnsi="Arial" w:cs="Arial"/>
                <w:sz w:val="20"/>
                <w:szCs w:val="22"/>
              </w:rPr>
            </w:pPr>
            <w:r w:rsidRPr="002555FE">
              <w:rPr>
                <w:rFonts w:ascii="Arial" w:eastAsia="Calibri" w:hAnsi="Arial" w:cs="Arial"/>
                <w:sz w:val="20"/>
                <w:szCs w:val="22"/>
              </w:rPr>
              <w:t>National Agricultural Marketing Council</w:t>
            </w:r>
          </w:p>
        </w:tc>
        <w:tc>
          <w:tcPr>
            <w:tcW w:w="2813" w:type="dxa"/>
          </w:tcPr>
          <w:p w:rsidR="00A1628C" w:rsidRPr="00A1628C" w:rsidRDefault="00A1628C" w:rsidP="00A1628C">
            <w:r w:rsidRPr="00A1628C">
              <w:rPr>
                <w:rFonts w:ascii="Arial" w:eastAsia="Calibri" w:hAnsi="Arial" w:cs="Arial"/>
                <w:sz w:val="20"/>
                <w:szCs w:val="22"/>
              </w:rPr>
              <w:t>Agro-Processing Competitiveness Fund: Research Grant Component (managed by IDC Research &amp; Information department on behalf of EDD)</w:t>
            </w:r>
          </w:p>
        </w:tc>
        <w:tc>
          <w:tcPr>
            <w:tcW w:w="1843"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R920,000</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2013</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R920,000</w:t>
            </w:r>
          </w:p>
        </w:tc>
      </w:tr>
      <w:tr w:rsidR="00A1628C" w:rsidRPr="002555FE" w:rsidTr="00A1628C">
        <w:tc>
          <w:tcPr>
            <w:tcW w:w="2858" w:type="dxa"/>
            <w:shd w:val="clear" w:color="auto" w:fill="auto"/>
          </w:tcPr>
          <w:p w:rsidR="00A1628C" w:rsidRPr="002555FE" w:rsidRDefault="00A1628C" w:rsidP="00A1628C">
            <w:pPr>
              <w:spacing w:line="360" w:lineRule="auto"/>
              <w:rPr>
                <w:rFonts w:ascii="Arial" w:eastAsia="Calibri" w:hAnsi="Arial" w:cs="Arial"/>
                <w:sz w:val="20"/>
                <w:szCs w:val="22"/>
              </w:rPr>
            </w:pPr>
            <w:r w:rsidRPr="002555FE">
              <w:rPr>
                <w:rFonts w:ascii="Arial" w:eastAsia="Calibri" w:hAnsi="Arial" w:cs="Arial"/>
                <w:sz w:val="20"/>
                <w:szCs w:val="22"/>
              </w:rPr>
              <w:t>South African Poultry Association</w:t>
            </w:r>
          </w:p>
        </w:tc>
        <w:tc>
          <w:tcPr>
            <w:tcW w:w="2813" w:type="dxa"/>
          </w:tcPr>
          <w:p w:rsidR="00A1628C" w:rsidRPr="00A1628C" w:rsidRDefault="00A1628C" w:rsidP="00A1628C">
            <w:r w:rsidRPr="00A1628C">
              <w:rPr>
                <w:rFonts w:ascii="Arial" w:eastAsia="Calibri" w:hAnsi="Arial" w:cs="Arial"/>
                <w:sz w:val="20"/>
                <w:szCs w:val="22"/>
              </w:rPr>
              <w:t>Agro-Processing Competitiveness Fund: Research Grant Component (managed by IDC Research &amp; Information department on behalf of EDD)</w:t>
            </w:r>
          </w:p>
        </w:tc>
        <w:tc>
          <w:tcPr>
            <w:tcW w:w="1843"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R808,054</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2013</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R808,054</w:t>
            </w:r>
          </w:p>
        </w:tc>
      </w:tr>
      <w:tr w:rsidR="00A1628C" w:rsidRPr="002555FE" w:rsidTr="00A1628C">
        <w:tc>
          <w:tcPr>
            <w:tcW w:w="2858" w:type="dxa"/>
            <w:shd w:val="clear" w:color="auto" w:fill="auto"/>
          </w:tcPr>
          <w:p w:rsidR="00A1628C" w:rsidRPr="002555FE" w:rsidRDefault="00A1628C" w:rsidP="00A1628C">
            <w:pPr>
              <w:spacing w:line="360" w:lineRule="auto"/>
              <w:rPr>
                <w:rFonts w:ascii="Arial" w:eastAsia="Calibri" w:hAnsi="Arial" w:cs="Arial"/>
                <w:sz w:val="20"/>
                <w:szCs w:val="22"/>
              </w:rPr>
            </w:pPr>
            <w:r w:rsidRPr="002555FE">
              <w:rPr>
                <w:rFonts w:ascii="Arial" w:eastAsia="Calibri" w:hAnsi="Arial" w:cs="Arial"/>
                <w:sz w:val="20"/>
                <w:szCs w:val="22"/>
              </w:rPr>
              <w:t>Blue Karoo Trust</w:t>
            </w:r>
          </w:p>
        </w:tc>
        <w:tc>
          <w:tcPr>
            <w:tcW w:w="2813" w:type="dxa"/>
          </w:tcPr>
          <w:p w:rsidR="00A1628C" w:rsidRPr="00A1628C" w:rsidRDefault="00A1628C" w:rsidP="00A1628C">
            <w:r w:rsidRPr="00A1628C">
              <w:rPr>
                <w:rFonts w:ascii="Arial" w:eastAsia="Calibri" w:hAnsi="Arial" w:cs="Arial"/>
                <w:sz w:val="20"/>
                <w:szCs w:val="22"/>
              </w:rPr>
              <w:t>Agro-Processing Competitiveness Fund: Research Grant Component (managed by IDC Research &amp; Information department on behalf of EDD)</w:t>
            </w:r>
          </w:p>
        </w:tc>
        <w:tc>
          <w:tcPr>
            <w:tcW w:w="1843"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R560,000</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2013</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R560,000</w:t>
            </w:r>
          </w:p>
        </w:tc>
      </w:tr>
      <w:tr w:rsidR="00A1628C" w:rsidRPr="002555FE" w:rsidTr="00A1628C">
        <w:tc>
          <w:tcPr>
            <w:tcW w:w="2858" w:type="dxa"/>
            <w:shd w:val="clear" w:color="auto" w:fill="auto"/>
          </w:tcPr>
          <w:p w:rsidR="00A1628C" w:rsidRPr="002555FE" w:rsidRDefault="00A1628C" w:rsidP="00A1628C">
            <w:pPr>
              <w:spacing w:line="360" w:lineRule="auto"/>
              <w:rPr>
                <w:rFonts w:ascii="Arial" w:eastAsia="Calibri" w:hAnsi="Arial" w:cs="Arial"/>
                <w:sz w:val="20"/>
                <w:szCs w:val="22"/>
              </w:rPr>
            </w:pPr>
            <w:r w:rsidRPr="002555FE">
              <w:rPr>
                <w:rFonts w:ascii="Arial" w:eastAsia="Calibri" w:hAnsi="Arial" w:cs="Arial"/>
                <w:sz w:val="20"/>
                <w:szCs w:val="22"/>
              </w:rPr>
              <w:t>Urban-Econ Development Economists</w:t>
            </w:r>
          </w:p>
        </w:tc>
        <w:tc>
          <w:tcPr>
            <w:tcW w:w="2813" w:type="dxa"/>
          </w:tcPr>
          <w:p w:rsidR="00A1628C" w:rsidRPr="00A1628C" w:rsidRDefault="00A1628C" w:rsidP="00A1628C">
            <w:r w:rsidRPr="00A1628C">
              <w:rPr>
                <w:rFonts w:ascii="Arial" w:eastAsia="Calibri" w:hAnsi="Arial" w:cs="Arial"/>
                <w:sz w:val="20"/>
                <w:szCs w:val="22"/>
              </w:rPr>
              <w:t>Agro-Processing Competitiveness Fund: Research Grant Component (managed by IDC Research &amp; Information department on behalf of EDD)</w:t>
            </w:r>
          </w:p>
        </w:tc>
        <w:tc>
          <w:tcPr>
            <w:tcW w:w="1843"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R387,600</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2013</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R387,600</w:t>
            </w:r>
          </w:p>
        </w:tc>
      </w:tr>
      <w:tr w:rsidR="00A1628C" w:rsidRPr="002555FE" w:rsidTr="00A1628C">
        <w:tc>
          <w:tcPr>
            <w:tcW w:w="2858" w:type="dxa"/>
            <w:shd w:val="clear" w:color="auto" w:fill="auto"/>
          </w:tcPr>
          <w:p w:rsidR="00A1628C" w:rsidRPr="002555FE" w:rsidRDefault="00A1628C" w:rsidP="00A1628C">
            <w:pPr>
              <w:spacing w:line="360" w:lineRule="auto"/>
              <w:rPr>
                <w:rFonts w:ascii="Arial" w:eastAsia="Calibri" w:hAnsi="Arial" w:cs="Arial"/>
                <w:sz w:val="20"/>
                <w:szCs w:val="22"/>
              </w:rPr>
            </w:pPr>
            <w:r w:rsidRPr="002555FE">
              <w:rPr>
                <w:rFonts w:ascii="Arial" w:eastAsia="Calibri" w:hAnsi="Arial" w:cs="Arial"/>
                <w:sz w:val="20"/>
                <w:szCs w:val="22"/>
              </w:rPr>
              <w:t>Nkwele Agribusiness Planning and Investment (Pty) Ltd</w:t>
            </w:r>
          </w:p>
        </w:tc>
        <w:tc>
          <w:tcPr>
            <w:tcW w:w="2813" w:type="dxa"/>
          </w:tcPr>
          <w:p w:rsidR="00A1628C" w:rsidRPr="00A1628C" w:rsidRDefault="00A1628C" w:rsidP="00A1628C">
            <w:r w:rsidRPr="00A1628C">
              <w:rPr>
                <w:rFonts w:ascii="Arial" w:eastAsia="Calibri" w:hAnsi="Arial" w:cs="Arial"/>
                <w:sz w:val="20"/>
                <w:szCs w:val="22"/>
              </w:rPr>
              <w:t>Agro-Processing Competitiveness Fund: Research Grant Component (managed by IDC Research &amp; Information department on behalf of EDD)</w:t>
            </w:r>
          </w:p>
        </w:tc>
        <w:tc>
          <w:tcPr>
            <w:tcW w:w="1843"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R456,000</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2013</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R456,000</w:t>
            </w:r>
          </w:p>
        </w:tc>
      </w:tr>
      <w:tr w:rsidR="00A1628C" w:rsidRPr="002555FE" w:rsidTr="00A1628C">
        <w:tc>
          <w:tcPr>
            <w:tcW w:w="2858" w:type="dxa"/>
            <w:shd w:val="clear" w:color="auto" w:fill="auto"/>
          </w:tcPr>
          <w:p w:rsidR="00A1628C" w:rsidRPr="002555FE" w:rsidRDefault="00A1628C" w:rsidP="00A1628C">
            <w:pPr>
              <w:spacing w:line="360" w:lineRule="auto"/>
              <w:rPr>
                <w:rFonts w:ascii="Arial" w:eastAsia="Calibri" w:hAnsi="Arial" w:cs="Arial"/>
                <w:sz w:val="20"/>
                <w:szCs w:val="22"/>
              </w:rPr>
            </w:pPr>
            <w:r w:rsidRPr="002555FE">
              <w:rPr>
                <w:rFonts w:ascii="Arial" w:eastAsia="Calibri" w:hAnsi="Arial" w:cs="Arial"/>
                <w:sz w:val="20"/>
                <w:szCs w:val="22"/>
              </w:rPr>
              <w:t>Agricultural Research Council</w:t>
            </w:r>
          </w:p>
        </w:tc>
        <w:tc>
          <w:tcPr>
            <w:tcW w:w="2813" w:type="dxa"/>
          </w:tcPr>
          <w:p w:rsidR="00A1628C" w:rsidRPr="00A1628C" w:rsidRDefault="00A1628C" w:rsidP="00A1628C">
            <w:r w:rsidRPr="00A1628C">
              <w:rPr>
                <w:rFonts w:ascii="Arial" w:eastAsia="Calibri" w:hAnsi="Arial" w:cs="Arial"/>
                <w:sz w:val="20"/>
                <w:szCs w:val="22"/>
              </w:rPr>
              <w:t>Agro-Processing Competitiveness Fund: Research Grant Component (managed by IDC Research &amp; Information department on behalf of EDD)</w:t>
            </w:r>
          </w:p>
        </w:tc>
        <w:tc>
          <w:tcPr>
            <w:tcW w:w="1843"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R1,550,000</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2013</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R1550,000</w:t>
            </w:r>
          </w:p>
        </w:tc>
      </w:tr>
      <w:tr w:rsidR="00A1628C" w:rsidRPr="002555FE" w:rsidTr="00A1628C">
        <w:tc>
          <w:tcPr>
            <w:tcW w:w="2858" w:type="dxa"/>
            <w:shd w:val="clear" w:color="auto" w:fill="auto"/>
          </w:tcPr>
          <w:p w:rsidR="00A1628C" w:rsidRPr="002555FE" w:rsidRDefault="00A1628C" w:rsidP="00A1628C">
            <w:pPr>
              <w:spacing w:line="360" w:lineRule="auto"/>
              <w:rPr>
                <w:rFonts w:ascii="Arial" w:eastAsia="Calibri" w:hAnsi="Arial" w:cs="Arial"/>
                <w:sz w:val="20"/>
                <w:szCs w:val="22"/>
              </w:rPr>
            </w:pPr>
            <w:r w:rsidRPr="002555FE">
              <w:rPr>
                <w:rFonts w:ascii="Arial" w:eastAsia="Calibri" w:hAnsi="Arial" w:cs="Arial"/>
                <w:sz w:val="20"/>
                <w:szCs w:val="22"/>
              </w:rPr>
              <w:t>Optimal Agricultural Business Systems Development</w:t>
            </w:r>
          </w:p>
        </w:tc>
        <w:tc>
          <w:tcPr>
            <w:tcW w:w="2813" w:type="dxa"/>
          </w:tcPr>
          <w:p w:rsidR="00A1628C" w:rsidRPr="00A1628C" w:rsidRDefault="00A1628C" w:rsidP="00A1628C">
            <w:r w:rsidRPr="00A1628C">
              <w:rPr>
                <w:rFonts w:ascii="Arial" w:eastAsia="Calibri" w:hAnsi="Arial" w:cs="Arial"/>
                <w:sz w:val="20"/>
                <w:szCs w:val="22"/>
              </w:rPr>
              <w:t>Agro-Processing Competitiveness Fund: Research Grant Component (managed by IDC Research &amp; Information department on behalf of EDD)</w:t>
            </w:r>
          </w:p>
        </w:tc>
        <w:tc>
          <w:tcPr>
            <w:tcW w:w="1843"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R938,620</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2016</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R563,172</w:t>
            </w:r>
          </w:p>
        </w:tc>
      </w:tr>
      <w:tr w:rsidR="00A1628C" w:rsidRPr="002555FE" w:rsidTr="00A1628C">
        <w:tc>
          <w:tcPr>
            <w:tcW w:w="2858" w:type="dxa"/>
            <w:shd w:val="clear" w:color="auto" w:fill="auto"/>
          </w:tcPr>
          <w:p w:rsidR="00A1628C" w:rsidRPr="002555FE" w:rsidRDefault="00A1628C" w:rsidP="00A1628C">
            <w:pPr>
              <w:spacing w:line="360" w:lineRule="auto"/>
              <w:rPr>
                <w:rFonts w:ascii="Arial" w:eastAsia="Calibri" w:hAnsi="Arial" w:cs="Arial"/>
                <w:sz w:val="20"/>
                <w:szCs w:val="22"/>
              </w:rPr>
            </w:pPr>
            <w:r w:rsidRPr="002555FE">
              <w:rPr>
                <w:rFonts w:ascii="Arial" w:eastAsia="Calibri" w:hAnsi="Arial" w:cs="Arial"/>
                <w:sz w:val="20"/>
                <w:szCs w:val="22"/>
              </w:rPr>
              <w:t>Optimal Agricultural Business Systems Development</w:t>
            </w:r>
          </w:p>
        </w:tc>
        <w:tc>
          <w:tcPr>
            <w:tcW w:w="2813" w:type="dxa"/>
          </w:tcPr>
          <w:p w:rsidR="00A1628C" w:rsidRPr="00A1628C" w:rsidRDefault="00A1628C" w:rsidP="00A1628C">
            <w:r w:rsidRPr="00A1628C">
              <w:rPr>
                <w:rFonts w:ascii="Arial" w:eastAsia="Calibri" w:hAnsi="Arial" w:cs="Arial"/>
                <w:sz w:val="20"/>
                <w:szCs w:val="22"/>
              </w:rPr>
              <w:t>Agro-Processing Competitiveness Fund: Research Grant Component (managed by IDC Research &amp; Information department on behalf of EDD)</w:t>
            </w:r>
          </w:p>
        </w:tc>
        <w:tc>
          <w:tcPr>
            <w:tcW w:w="1843"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R1,776,223</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2016</w:t>
            </w:r>
          </w:p>
        </w:tc>
        <w:tc>
          <w:tcPr>
            <w:tcW w:w="1701" w:type="dxa"/>
            <w:shd w:val="clear" w:color="auto" w:fill="auto"/>
          </w:tcPr>
          <w:p w:rsidR="00A1628C" w:rsidRPr="002555FE" w:rsidRDefault="00A1628C" w:rsidP="00A1628C">
            <w:pPr>
              <w:spacing w:line="360" w:lineRule="auto"/>
              <w:jc w:val="right"/>
              <w:rPr>
                <w:rFonts w:ascii="Arial" w:eastAsia="Calibri" w:hAnsi="Arial" w:cs="Arial"/>
                <w:sz w:val="20"/>
                <w:szCs w:val="22"/>
              </w:rPr>
            </w:pPr>
            <w:r w:rsidRPr="002555FE">
              <w:rPr>
                <w:rFonts w:ascii="Arial" w:eastAsia="Calibri" w:hAnsi="Arial" w:cs="Arial"/>
                <w:sz w:val="20"/>
                <w:szCs w:val="22"/>
              </w:rPr>
              <w:t>R803,134</w:t>
            </w:r>
          </w:p>
        </w:tc>
      </w:tr>
      <w:tr w:rsidR="00A1628C" w:rsidRPr="002555FE" w:rsidTr="00A1628C">
        <w:tc>
          <w:tcPr>
            <w:tcW w:w="2858" w:type="dxa"/>
            <w:shd w:val="clear" w:color="auto" w:fill="auto"/>
          </w:tcPr>
          <w:p w:rsidR="00A1628C" w:rsidRPr="002555FE" w:rsidRDefault="00A1628C" w:rsidP="00A1628C">
            <w:pPr>
              <w:rPr>
                <w:rFonts w:ascii="Arial" w:eastAsia="Calibri" w:hAnsi="Arial" w:cs="Arial"/>
                <w:sz w:val="20"/>
                <w:szCs w:val="22"/>
              </w:rPr>
            </w:pPr>
            <w:r w:rsidRPr="002555FE">
              <w:rPr>
                <w:rFonts w:ascii="Arial" w:eastAsia="Calibri" w:hAnsi="Arial" w:cs="Arial"/>
                <w:sz w:val="20"/>
                <w:szCs w:val="22"/>
              </w:rPr>
              <w:t>Urban-Econ Development Economists</w:t>
            </w:r>
          </w:p>
        </w:tc>
        <w:tc>
          <w:tcPr>
            <w:tcW w:w="2813" w:type="dxa"/>
          </w:tcPr>
          <w:p w:rsidR="00A1628C" w:rsidRPr="00A1628C" w:rsidRDefault="00A1628C" w:rsidP="00A1628C">
            <w:r w:rsidRPr="00A1628C">
              <w:rPr>
                <w:rFonts w:ascii="Arial" w:eastAsia="Calibri" w:hAnsi="Arial" w:cs="Arial"/>
                <w:sz w:val="20"/>
                <w:szCs w:val="22"/>
              </w:rPr>
              <w:t>Agro-Processing Competitiveness Fund: Research Grant Component (managed by IDC Research &amp; Information department on behalf of EDD)</w:t>
            </w:r>
          </w:p>
        </w:tc>
        <w:tc>
          <w:tcPr>
            <w:tcW w:w="1843" w:type="dxa"/>
            <w:shd w:val="clear" w:color="auto" w:fill="auto"/>
          </w:tcPr>
          <w:p w:rsidR="00A1628C" w:rsidRPr="002555FE" w:rsidRDefault="00A1628C" w:rsidP="00A1628C">
            <w:pPr>
              <w:jc w:val="right"/>
              <w:rPr>
                <w:rFonts w:ascii="Arial" w:eastAsia="Calibri" w:hAnsi="Arial" w:cs="Arial"/>
                <w:sz w:val="20"/>
                <w:szCs w:val="22"/>
              </w:rPr>
            </w:pPr>
            <w:r w:rsidRPr="002555FE">
              <w:rPr>
                <w:rFonts w:ascii="Arial" w:eastAsia="Calibri" w:hAnsi="Arial" w:cs="Arial"/>
                <w:sz w:val="20"/>
                <w:szCs w:val="22"/>
              </w:rPr>
              <w:t>R387,200</w:t>
            </w:r>
          </w:p>
        </w:tc>
        <w:tc>
          <w:tcPr>
            <w:tcW w:w="1701" w:type="dxa"/>
            <w:shd w:val="clear" w:color="auto" w:fill="auto"/>
          </w:tcPr>
          <w:p w:rsidR="00A1628C" w:rsidRPr="002555FE" w:rsidRDefault="00A1628C" w:rsidP="00A1628C">
            <w:pPr>
              <w:jc w:val="right"/>
              <w:rPr>
                <w:rFonts w:ascii="Arial" w:eastAsia="Calibri" w:hAnsi="Arial" w:cs="Arial"/>
                <w:sz w:val="20"/>
                <w:szCs w:val="22"/>
              </w:rPr>
            </w:pPr>
            <w:r w:rsidRPr="002555FE">
              <w:rPr>
                <w:rFonts w:ascii="Arial" w:eastAsia="Calibri" w:hAnsi="Arial" w:cs="Arial"/>
                <w:sz w:val="20"/>
                <w:szCs w:val="22"/>
              </w:rPr>
              <w:t>2016</w:t>
            </w:r>
          </w:p>
        </w:tc>
        <w:tc>
          <w:tcPr>
            <w:tcW w:w="1701" w:type="dxa"/>
            <w:shd w:val="clear" w:color="auto" w:fill="auto"/>
          </w:tcPr>
          <w:p w:rsidR="00A1628C" w:rsidRPr="002555FE" w:rsidRDefault="00A1628C" w:rsidP="00A1628C">
            <w:pPr>
              <w:jc w:val="right"/>
              <w:rPr>
                <w:rFonts w:ascii="Arial" w:eastAsia="Calibri" w:hAnsi="Arial" w:cs="Arial"/>
                <w:sz w:val="20"/>
                <w:szCs w:val="22"/>
              </w:rPr>
            </w:pPr>
            <w:r w:rsidRPr="002555FE">
              <w:rPr>
                <w:rFonts w:ascii="Arial" w:eastAsia="Calibri" w:hAnsi="Arial" w:cs="Arial"/>
                <w:sz w:val="20"/>
                <w:szCs w:val="22"/>
              </w:rPr>
              <w:t>R387,200</w:t>
            </w:r>
          </w:p>
        </w:tc>
      </w:tr>
      <w:tr w:rsidR="00A1628C" w:rsidRPr="002555FE" w:rsidTr="00A1628C">
        <w:tc>
          <w:tcPr>
            <w:tcW w:w="2858" w:type="dxa"/>
            <w:shd w:val="clear" w:color="auto" w:fill="auto"/>
          </w:tcPr>
          <w:p w:rsidR="00A1628C" w:rsidRPr="002555FE" w:rsidRDefault="00A1628C" w:rsidP="00A1628C">
            <w:pPr>
              <w:rPr>
                <w:rFonts w:ascii="Arial" w:eastAsia="Calibri" w:hAnsi="Arial" w:cs="Arial"/>
                <w:sz w:val="20"/>
                <w:szCs w:val="22"/>
              </w:rPr>
            </w:pPr>
            <w:r w:rsidRPr="002555FE">
              <w:rPr>
                <w:rFonts w:ascii="Arial" w:eastAsia="Calibri" w:hAnsi="Arial" w:cs="Arial"/>
                <w:sz w:val="20"/>
                <w:szCs w:val="22"/>
              </w:rPr>
              <w:t>Luhlaza Integrated Sustainable Solutions</w:t>
            </w:r>
          </w:p>
        </w:tc>
        <w:tc>
          <w:tcPr>
            <w:tcW w:w="2813" w:type="dxa"/>
          </w:tcPr>
          <w:p w:rsidR="00A1628C" w:rsidRPr="00A1628C" w:rsidRDefault="00A1628C" w:rsidP="00A1628C">
            <w:r w:rsidRPr="00A1628C">
              <w:rPr>
                <w:rFonts w:ascii="Arial" w:eastAsia="Calibri" w:hAnsi="Arial" w:cs="Arial"/>
                <w:sz w:val="20"/>
                <w:szCs w:val="22"/>
              </w:rPr>
              <w:t>Agro-Processing Competitiveness Fund: Research Grant Component (managed by IDC Research &amp; Information department on behalf of EDD)</w:t>
            </w:r>
          </w:p>
        </w:tc>
        <w:tc>
          <w:tcPr>
            <w:tcW w:w="1843" w:type="dxa"/>
            <w:shd w:val="clear" w:color="auto" w:fill="auto"/>
          </w:tcPr>
          <w:p w:rsidR="00A1628C" w:rsidRPr="002555FE" w:rsidRDefault="00A1628C" w:rsidP="00A1628C">
            <w:pPr>
              <w:jc w:val="right"/>
              <w:rPr>
                <w:rFonts w:ascii="Arial" w:eastAsia="Calibri" w:hAnsi="Arial" w:cs="Arial"/>
                <w:sz w:val="20"/>
                <w:szCs w:val="22"/>
              </w:rPr>
            </w:pPr>
            <w:r w:rsidRPr="002555FE">
              <w:rPr>
                <w:rFonts w:ascii="Arial" w:eastAsia="Calibri" w:hAnsi="Arial" w:cs="Arial"/>
                <w:sz w:val="20"/>
                <w:szCs w:val="22"/>
              </w:rPr>
              <w:t>R1,734,238</w:t>
            </w:r>
          </w:p>
        </w:tc>
        <w:tc>
          <w:tcPr>
            <w:tcW w:w="1701" w:type="dxa"/>
            <w:shd w:val="clear" w:color="auto" w:fill="auto"/>
          </w:tcPr>
          <w:p w:rsidR="00A1628C" w:rsidRPr="002555FE" w:rsidRDefault="00A1628C" w:rsidP="00A1628C">
            <w:pPr>
              <w:jc w:val="right"/>
              <w:rPr>
                <w:rFonts w:ascii="Arial" w:eastAsia="Calibri" w:hAnsi="Arial" w:cs="Arial"/>
                <w:sz w:val="20"/>
                <w:szCs w:val="22"/>
              </w:rPr>
            </w:pPr>
            <w:r w:rsidRPr="002555FE">
              <w:rPr>
                <w:rFonts w:ascii="Arial" w:eastAsia="Calibri" w:hAnsi="Arial" w:cs="Arial"/>
                <w:sz w:val="20"/>
                <w:szCs w:val="22"/>
              </w:rPr>
              <w:t>2016</w:t>
            </w:r>
          </w:p>
        </w:tc>
        <w:tc>
          <w:tcPr>
            <w:tcW w:w="1701" w:type="dxa"/>
            <w:shd w:val="clear" w:color="auto" w:fill="auto"/>
          </w:tcPr>
          <w:p w:rsidR="00A1628C" w:rsidRPr="002555FE" w:rsidRDefault="00A1628C" w:rsidP="00A1628C">
            <w:pPr>
              <w:jc w:val="right"/>
              <w:rPr>
                <w:rFonts w:ascii="Arial" w:eastAsia="Calibri" w:hAnsi="Arial" w:cs="Arial"/>
                <w:sz w:val="20"/>
                <w:szCs w:val="22"/>
              </w:rPr>
            </w:pPr>
            <w:r w:rsidRPr="002555FE">
              <w:rPr>
                <w:rFonts w:ascii="Arial" w:eastAsia="Calibri" w:hAnsi="Arial" w:cs="Arial"/>
                <w:sz w:val="20"/>
                <w:szCs w:val="22"/>
              </w:rPr>
              <w:t>R540,469</w:t>
            </w:r>
          </w:p>
        </w:tc>
      </w:tr>
      <w:tr w:rsidR="00A1628C" w:rsidRPr="002555FE" w:rsidTr="00A1628C">
        <w:tc>
          <w:tcPr>
            <w:tcW w:w="2858" w:type="dxa"/>
            <w:shd w:val="clear" w:color="auto" w:fill="auto"/>
          </w:tcPr>
          <w:p w:rsidR="00A1628C" w:rsidRPr="002555FE" w:rsidRDefault="00A1628C" w:rsidP="00A1628C">
            <w:pPr>
              <w:rPr>
                <w:rFonts w:ascii="Arial" w:eastAsia="Calibri" w:hAnsi="Arial" w:cs="Arial"/>
                <w:sz w:val="20"/>
                <w:szCs w:val="22"/>
              </w:rPr>
            </w:pPr>
            <w:r w:rsidRPr="002555FE">
              <w:rPr>
                <w:rFonts w:ascii="Arial" w:eastAsia="Calibri" w:hAnsi="Arial" w:cs="Arial"/>
                <w:sz w:val="20"/>
                <w:szCs w:val="22"/>
              </w:rPr>
              <w:t>Urban-Econ Development Economists</w:t>
            </w:r>
          </w:p>
        </w:tc>
        <w:tc>
          <w:tcPr>
            <w:tcW w:w="2813" w:type="dxa"/>
          </w:tcPr>
          <w:p w:rsidR="00A1628C" w:rsidRPr="00A1628C" w:rsidRDefault="00A1628C" w:rsidP="00A1628C">
            <w:r w:rsidRPr="00A1628C">
              <w:rPr>
                <w:rFonts w:ascii="Arial" w:eastAsia="Calibri" w:hAnsi="Arial" w:cs="Arial"/>
                <w:sz w:val="20"/>
                <w:szCs w:val="22"/>
              </w:rPr>
              <w:t>Agro-Processing Competitiveness Fund: Research Grant Component (managed by IDC Research &amp; Information department on behalf of EDD)</w:t>
            </w:r>
          </w:p>
        </w:tc>
        <w:tc>
          <w:tcPr>
            <w:tcW w:w="1843" w:type="dxa"/>
            <w:shd w:val="clear" w:color="auto" w:fill="auto"/>
          </w:tcPr>
          <w:p w:rsidR="00A1628C" w:rsidRPr="002555FE" w:rsidRDefault="00A1628C" w:rsidP="00A1628C">
            <w:pPr>
              <w:jc w:val="right"/>
              <w:rPr>
                <w:rFonts w:ascii="Arial" w:eastAsia="Calibri" w:hAnsi="Arial" w:cs="Arial"/>
                <w:sz w:val="20"/>
                <w:szCs w:val="22"/>
              </w:rPr>
            </w:pPr>
            <w:r w:rsidRPr="002555FE">
              <w:rPr>
                <w:rFonts w:ascii="Arial" w:eastAsia="Calibri" w:hAnsi="Arial" w:cs="Arial"/>
                <w:sz w:val="20"/>
                <w:szCs w:val="22"/>
              </w:rPr>
              <w:t>R878,000</w:t>
            </w:r>
          </w:p>
        </w:tc>
        <w:tc>
          <w:tcPr>
            <w:tcW w:w="1701" w:type="dxa"/>
            <w:shd w:val="clear" w:color="auto" w:fill="auto"/>
          </w:tcPr>
          <w:p w:rsidR="00A1628C" w:rsidRPr="002555FE" w:rsidRDefault="00A1628C" w:rsidP="00A1628C">
            <w:pPr>
              <w:jc w:val="right"/>
              <w:rPr>
                <w:rFonts w:ascii="Arial" w:eastAsia="Calibri" w:hAnsi="Arial" w:cs="Arial"/>
                <w:sz w:val="20"/>
                <w:szCs w:val="22"/>
              </w:rPr>
            </w:pPr>
            <w:r w:rsidRPr="002555FE">
              <w:rPr>
                <w:rFonts w:ascii="Arial" w:eastAsia="Calibri" w:hAnsi="Arial" w:cs="Arial"/>
                <w:sz w:val="20"/>
                <w:szCs w:val="22"/>
              </w:rPr>
              <w:t>2016</w:t>
            </w:r>
          </w:p>
        </w:tc>
        <w:tc>
          <w:tcPr>
            <w:tcW w:w="1701" w:type="dxa"/>
            <w:shd w:val="clear" w:color="auto" w:fill="auto"/>
          </w:tcPr>
          <w:p w:rsidR="00A1628C" w:rsidRPr="002555FE" w:rsidRDefault="00A1628C" w:rsidP="00A1628C">
            <w:pPr>
              <w:jc w:val="right"/>
              <w:rPr>
                <w:rFonts w:ascii="Arial" w:eastAsia="Calibri" w:hAnsi="Arial" w:cs="Arial"/>
                <w:sz w:val="20"/>
                <w:szCs w:val="22"/>
              </w:rPr>
            </w:pPr>
            <w:r w:rsidRPr="002555FE">
              <w:rPr>
                <w:rFonts w:ascii="Arial" w:eastAsia="Calibri" w:hAnsi="Arial" w:cs="Arial"/>
                <w:sz w:val="20"/>
                <w:szCs w:val="22"/>
              </w:rPr>
              <w:t>R74,100</w:t>
            </w:r>
          </w:p>
        </w:tc>
      </w:tr>
    </w:tbl>
    <w:p w:rsidR="00A1628C" w:rsidRDefault="00A1628C" w:rsidP="0015574C">
      <w:pPr>
        <w:spacing w:line="360" w:lineRule="auto"/>
        <w:jc w:val="both"/>
        <w:outlineLvl w:val="0"/>
        <w:rPr>
          <w:rFonts w:ascii="Arial" w:eastAsia="Arial Unicode MS" w:hAnsi="Arial" w:cs="Arial"/>
          <w:b/>
          <w:color w:val="000000"/>
          <w:u w:color="000000"/>
        </w:rPr>
      </w:pPr>
    </w:p>
    <w:p w:rsidR="00A1628C" w:rsidRDefault="00A1628C" w:rsidP="0015574C">
      <w:pPr>
        <w:spacing w:line="360" w:lineRule="auto"/>
        <w:jc w:val="both"/>
        <w:outlineLvl w:val="0"/>
        <w:rPr>
          <w:rFonts w:ascii="Arial" w:eastAsia="Arial Unicode MS" w:hAnsi="Arial" w:cs="Arial"/>
          <w:b/>
          <w:color w:val="000000"/>
          <w:u w:color="000000"/>
        </w:rPr>
      </w:pPr>
    </w:p>
    <w:p w:rsidR="00150B15" w:rsidRPr="0015574C" w:rsidRDefault="009F0DF7" w:rsidP="009F0DF7">
      <w:pPr>
        <w:spacing w:line="360" w:lineRule="auto"/>
        <w:jc w:val="center"/>
        <w:outlineLvl w:val="0"/>
        <w:rPr>
          <w:rFonts w:ascii="Arial" w:eastAsia="Arial Unicode MS" w:hAnsi="Arial"/>
          <w:color w:val="000000"/>
          <w:u w:color="000000"/>
        </w:rPr>
      </w:pPr>
      <w:r>
        <w:rPr>
          <w:rFonts w:ascii="Arial" w:eastAsia="Arial Unicode MS" w:hAnsi="Arial" w:cs="Arial"/>
          <w:b/>
          <w:color w:val="000000"/>
          <w:u w:color="000000"/>
        </w:rPr>
        <w:t>-END-</w:t>
      </w:r>
    </w:p>
    <w:p w:rsidR="00150B15" w:rsidRPr="0015574C" w:rsidRDefault="00150B15" w:rsidP="0015574C">
      <w:pPr>
        <w:pStyle w:val="Body1"/>
        <w:spacing w:line="360" w:lineRule="auto"/>
        <w:jc w:val="both"/>
        <w:rPr>
          <w:rFonts w:ascii="Arial" w:hAnsi="Arial"/>
          <w:szCs w:val="24"/>
        </w:rPr>
      </w:pPr>
    </w:p>
    <w:sectPr w:rsidR="00150B15" w:rsidRPr="0015574C">
      <w:footerReference w:type="default" r:id="rId8"/>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02" w:rsidRDefault="00465B02">
      <w:r>
        <w:separator/>
      </w:r>
    </w:p>
  </w:endnote>
  <w:endnote w:type="continuationSeparator" w:id="0">
    <w:p w:rsidR="00465B02" w:rsidRDefault="00465B02">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0" w:rsidRPr="00F35024" w:rsidRDefault="00B210A0" w:rsidP="00260440">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w:t>
    </w:r>
    <w:r w:rsidR="00F93CF1">
      <w:rPr>
        <w:rFonts w:ascii="Arial" w:hAnsi="Arial" w:cs="Arial"/>
        <w:sz w:val="16"/>
        <w:szCs w:val="16"/>
      </w:rPr>
      <w:t>stion No 2063</w:t>
    </w:r>
  </w:p>
  <w:p w:rsidR="00260440" w:rsidRDefault="00260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02" w:rsidRDefault="00465B02">
      <w:r>
        <w:separator/>
      </w:r>
    </w:p>
  </w:footnote>
  <w:footnote w:type="continuationSeparator" w:id="0">
    <w:p w:rsidR="00465B02" w:rsidRDefault="00465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033358D9"/>
    <w:multiLevelType w:val="multilevel"/>
    <w:tmpl w:val="AE58D16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134"/>
        </w:tabs>
        <w:ind w:left="1134"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FCA6EBD"/>
    <w:multiLevelType w:val="hybridMultilevel"/>
    <w:tmpl w:val="0AEEBADE"/>
    <w:lvl w:ilvl="0" w:tplc="380A4E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1E728D"/>
    <w:multiLevelType w:val="hybridMultilevel"/>
    <w:tmpl w:val="47B41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91B6D"/>
    <w:multiLevelType w:val="hybridMultilevel"/>
    <w:tmpl w:val="376C8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17BF4"/>
    <w:multiLevelType w:val="hybridMultilevel"/>
    <w:tmpl w:val="737CFE74"/>
    <w:lvl w:ilvl="0" w:tplc="4F5AB03A">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45822"/>
    <w:multiLevelType w:val="hybridMultilevel"/>
    <w:tmpl w:val="CC126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E55E2"/>
    <w:multiLevelType w:val="hybridMultilevel"/>
    <w:tmpl w:val="5248F496"/>
    <w:lvl w:ilvl="0" w:tplc="E1C4E1B6">
      <w:start w:val="1"/>
      <w:numFmt w:val="lowerLetter"/>
      <w:lvlText w:val="%1."/>
      <w:lvlJc w:val="left"/>
      <w:pPr>
        <w:ind w:left="720" w:hanging="360"/>
      </w:pPr>
      <w:rPr>
        <w:rFonts w:ascii="Calibri" w:hAnsi="Calibr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36632"/>
    <w:multiLevelType w:val="hybridMultilevel"/>
    <w:tmpl w:val="007E52CE"/>
    <w:lvl w:ilvl="0" w:tplc="F9A2618A">
      <w:start w:val="1"/>
      <w:numFmt w:val="lowerLetter"/>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5DD27F4B"/>
    <w:multiLevelType w:val="hybridMultilevel"/>
    <w:tmpl w:val="007E52CE"/>
    <w:lvl w:ilvl="0" w:tplc="F9A2618A">
      <w:start w:val="1"/>
      <w:numFmt w:val="lowerLetter"/>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C7ABB"/>
    <w:multiLevelType w:val="hybridMultilevel"/>
    <w:tmpl w:val="47B41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B4ADA"/>
    <w:multiLevelType w:val="hybridMultilevel"/>
    <w:tmpl w:val="E02E0A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284E79"/>
    <w:multiLevelType w:val="hybridMultilevel"/>
    <w:tmpl w:val="4A4CA97E"/>
    <w:lvl w:ilvl="0" w:tplc="C6C4C5E4">
      <w:start w:val="1"/>
      <w:numFmt w:val="lowerLetter"/>
      <w:lvlText w:val="%1."/>
      <w:lvlJc w:val="left"/>
      <w:pPr>
        <w:ind w:left="720" w:hanging="360"/>
      </w:pPr>
      <w:rPr>
        <w:rFonts w:ascii="Calibri" w:hAnsi="Calibr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F8030F"/>
    <w:multiLevelType w:val="hybridMultilevel"/>
    <w:tmpl w:val="6702532A"/>
    <w:lvl w:ilvl="0" w:tplc="03D67F0C">
      <w:start w:val="1"/>
      <w:numFmt w:val="lowerLetter"/>
      <w:lvlText w:val="%1."/>
      <w:lvlJc w:val="left"/>
      <w:pPr>
        <w:ind w:left="720" w:hanging="360"/>
      </w:pPr>
      <w:rPr>
        <w:rFonts w:ascii="Calibri" w:hAnsi="Calibr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D954AE"/>
    <w:multiLevelType w:val="hybridMultilevel"/>
    <w:tmpl w:val="48CACA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5"/>
  </w:num>
  <w:num w:numId="7">
    <w:abstractNumId w:val="4"/>
  </w:num>
  <w:num w:numId="8">
    <w:abstractNumId w:val="7"/>
  </w:num>
  <w:num w:numId="9">
    <w:abstractNumId w:val="13"/>
  </w:num>
  <w:num w:numId="10">
    <w:abstractNumId w:val="16"/>
  </w:num>
  <w:num w:numId="11">
    <w:abstractNumId w:val="17"/>
  </w:num>
  <w:num w:numId="12">
    <w:abstractNumId w:val="10"/>
  </w:num>
  <w:num w:numId="13">
    <w:abstractNumId w:val="14"/>
  </w:num>
  <w:num w:numId="14">
    <w:abstractNumId w:val="9"/>
  </w:num>
  <w:num w:numId="15">
    <w:abstractNumId w:val="8"/>
  </w:num>
  <w:num w:numId="16">
    <w:abstractNumId w:val="15"/>
  </w:num>
  <w:num w:numId="17">
    <w:abstractNumId w:val="18"/>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106D0"/>
    <w:rsid w:val="00025853"/>
    <w:rsid w:val="00044FFA"/>
    <w:rsid w:val="00055C79"/>
    <w:rsid w:val="00061336"/>
    <w:rsid w:val="000625CB"/>
    <w:rsid w:val="00066CA1"/>
    <w:rsid w:val="00074562"/>
    <w:rsid w:val="00085476"/>
    <w:rsid w:val="00090031"/>
    <w:rsid w:val="000B1EA6"/>
    <w:rsid w:val="000B1F97"/>
    <w:rsid w:val="000B3E71"/>
    <w:rsid w:val="000D456D"/>
    <w:rsid w:val="000E0227"/>
    <w:rsid w:val="000E189A"/>
    <w:rsid w:val="000E1FDD"/>
    <w:rsid w:val="000F1F0E"/>
    <w:rsid w:val="00145238"/>
    <w:rsid w:val="00146987"/>
    <w:rsid w:val="00150B15"/>
    <w:rsid w:val="0015574C"/>
    <w:rsid w:val="001C2AD4"/>
    <w:rsid w:val="00220BBC"/>
    <w:rsid w:val="0025350D"/>
    <w:rsid w:val="002555FE"/>
    <w:rsid w:val="00260440"/>
    <w:rsid w:val="00264891"/>
    <w:rsid w:val="0028122A"/>
    <w:rsid w:val="002F746C"/>
    <w:rsid w:val="00306351"/>
    <w:rsid w:val="0036028D"/>
    <w:rsid w:val="003736E1"/>
    <w:rsid w:val="003757C3"/>
    <w:rsid w:val="0038671A"/>
    <w:rsid w:val="003A0685"/>
    <w:rsid w:val="003A21CA"/>
    <w:rsid w:val="003E23BB"/>
    <w:rsid w:val="003F4631"/>
    <w:rsid w:val="00465B02"/>
    <w:rsid w:val="00465CBA"/>
    <w:rsid w:val="00467B25"/>
    <w:rsid w:val="00470B0A"/>
    <w:rsid w:val="00472E87"/>
    <w:rsid w:val="00481B4B"/>
    <w:rsid w:val="004A7374"/>
    <w:rsid w:val="004B48AA"/>
    <w:rsid w:val="004E7687"/>
    <w:rsid w:val="004F2F6B"/>
    <w:rsid w:val="005063CE"/>
    <w:rsid w:val="00506BD9"/>
    <w:rsid w:val="00530B19"/>
    <w:rsid w:val="00532D9A"/>
    <w:rsid w:val="00545EEB"/>
    <w:rsid w:val="00563E02"/>
    <w:rsid w:val="00565AF6"/>
    <w:rsid w:val="005C3CC7"/>
    <w:rsid w:val="005F42D6"/>
    <w:rsid w:val="00631328"/>
    <w:rsid w:val="00633F6F"/>
    <w:rsid w:val="00663754"/>
    <w:rsid w:val="006C41B3"/>
    <w:rsid w:val="006D2DF0"/>
    <w:rsid w:val="006D6984"/>
    <w:rsid w:val="006D6BD6"/>
    <w:rsid w:val="006E52D8"/>
    <w:rsid w:val="00736BE5"/>
    <w:rsid w:val="00740569"/>
    <w:rsid w:val="00761B86"/>
    <w:rsid w:val="007621F7"/>
    <w:rsid w:val="007824A8"/>
    <w:rsid w:val="007945B8"/>
    <w:rsid w:val="007A268B"/>
    <w:rsid w:val="007E792E"/>
    <w:rsid w:val="00815036"/>
    <w:rsid w:val="00864DF4"/>
    <w:rsid w:val="00874C4D"/>
    <w:rsid w:val="008A5330"/>
    <w:rsid w:val="008B0FD7"/>
    <w:rsid w:val="008F61DB"/>
    <w:rsid w:val="009011E5"/>
    <w:rsid w:val="00902F0A"/>
    <w:rsid w:val="00904B31"/>
    <w:rsid w:val="00925499"/>
    <w:rsid w:val="00930011"/>
    <w:rsid w:val="00954DB1"/>
    <w:rsid w:val="009628CE"/>
    <w:rsid w:val="009E2258"/>
    <w:rsid w:val="009E41EF"/>
    <w:rsid w:val="009F0DF7"/>
    <w:rsid w:val="00A07DC7"/>
    <w:rsid w:val="00A1628C"/>
    <w:rsid w:val="00A246B7"/>
    <w:rsid w:val="00A37442"/>
    <w:rsid w:val="00A37C50"/>
    <w:rsid w:val="00A52050"/>
    <w:rsid w:val="00A8565A"/>
    <w:rsid w:val="00A90129"/>
    <w:rsid w:val="00AC6690"/>
    <w:rsid w:val="00AE376D"/>
    <w:rsid w:val="00B134C6"/>
    <w:rsid w:val="00B20518"/>
    <w:rsid w:val="00B20D99"/>
    <w:rsid w:val="00B210A0"/>
    <w:rsid w:val="00B237DD"/>
    <w:rsid w:val="00B608B6"/>
    <w:rsid w:val="00B61202"/>
    <w:rsid w:val="00BA0668"/>
    <w:rsid w:val="00BA6E6E"/>
    <w:rsid w:val="00BB6257"/>
    <w:rsid w:val="00C51704"/>
    <w:rsid w:val="00C56405"/>
    <w:rsid w:val="00C72B34"/>
    <w:rsid w:val="00C94200"/>
    <w:rsid w:val="00CA6BA5"/>
    <w:rsid w:val="00CB0627"/>
    <w:rsid w:val="00CB384E"/>
    <w:rsid w:val="00CC16B1"/>
    <w:rsid w:val="00D0013A"/>
    <w:rsid w:val="00D012D5"/>
    <w:rsid w:val="00D07F2A"/>
    <w:rsid w:val="00D5239E"/>
    <w:rsid w:val="00D64012"/>
    <w:rsid w:val="00DB5630"/>
    <w:rsid w:val="00DC262C"/>
    <w:rsid w:val="00DE1AF2"/>
    <w:rsid w:val="00E12D30"/>
    <w:rsid w:val="00E30E99"/>
    <w:rsid w:val="00E45D72"/>
    <w:rsid w:val="00E6001C"/>
    <w:rsid w:val="00E611FD"/>
    <w:rsid w:val="00E644FD"/>
    <w:rsid w:val="00EA204E"/>
    <w:rsid w:val="00EA3BA6"/>
    <w:rsid w:val="00EB2B97"/>
    <w:rsid w:val="00EC309D"/>
    <w:rsid w:val="00ED1D48"/>
    <w:rsid w:val="00ED53EE"/>
    <w:rsid w:val="00EE47A4"/>
    <w:rsid w:val="00EF6032"/>
    <w:rsid w:val="00F45CC2"/>
    <w:rsid w:val="00F52D8A"/>
    <w:rsid w:val="00F63F44"/>
    <w:rsid w:val="00F7168C"/>
    <w:rsid w:val="00F93CF1"/>
    <w:rsid w:val="00FA188A"/>
    <w:rsid w:val="00FB63F7"/>
    <w:rsid w:val="00FF05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532D9A"/>
    <w:pPr>
      <w:keepNext/>
      <w:spacing w:before="240" w:after="60"/>
      <w:outlineLvl w:val="0"/>
    </w:pPr>
    <w:rPr>
      <w:rFonts w:ascii="Calibri Light" w:hAnsi="Calibri Light"/>
      <w:b/>
      <w:bCs/>
      <w:kern w:val="32"/>
      <w:sz w:val="32"/>
      <w:szCs w:val="32"/>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uiPriority w:val="99"/>
    <w:locked/>
    <w:rsid w:val="00C56405"/>
    <w:pPr>
      <w:tabs>
        <w:tab w:val="center" w:pos="4513"/>
        <w:tab w:val="right" w:pos="9026"/>
      </w:tabs>
    </w:pPr>
  </w:style>
  <w:style w:type="character" w:customStyle="1" w:styleId="HeaderChar">
    <w:name w:val="Header Char"/>
    <w:link w:val="Header"/>
    <w:uiPriority w:val="99"/>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cs="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 w:type="character" w:customStyle="1" w:styleId="Heading1Char">
    <w:name w:val="Heading 1 Char"/>
    <w:link w:val="Heading1"/>
    <w:rsid w:val="00532D9A"/>
    <w:rPr>
      <w:rFonts w:ascii="Calibri Light" w:eastAsia="Times New Roman" w:hAnsi="Calibri Light" w:cs="Times New Roman"/>
      <w:b/>
      <w:bCs/>
      <w:kern w:val="32"/>
      <w:sz w:val="32"/>
      <w:szCs w:val="32"/>
      <w:lang w:val="en-US" w:eastAsia="en-US"/>
    </w:rPr>
  </w:style>
  <w:style w:type="character" w:styleId="Strong">
    <w:name w:val="Strong"/>
    <w:qFormat/>
    <w:locked/>
    <w:rsid w:val="00532D9A"/>
    <w:rPr>
      <w:b/>
      <w:bCs/>
    </w:rPr>
  </w:style>
  <w:style w:type="paragraph" w:styleId="Subtitle">
    <w:name w:val="Subtitle"/>
    <w:basedOn w:val="Normal"/>
    <w:next w:val="Normal"/>
    <w:link w:val="SubtitleChar"/>
    <w:qFormat/>
    <w:locked/>
    <w:rsid w:val="00532D9A"/>
    <w:pPr>
      <w:spacing w:after="60"/>
      <w:jc w:val="center"/>
      <w:outlineLvl w:val="1"/>
    </w:pPr>
    <w:rPr>
      <w:rFonts w:ascii="Calibri Light" w:hAnsi="Calibri Light"/>
    </w:rPr>
  </w:style>
  <w:style w:type="character" w:customStyle="1" w:styleId="SubtitleChar">
    <w:name w:val="Subtitle Char"/>
    <w:link w:val="Subtitle"/>
    <w:rsid w:val="00532D9A"/>
    <w:rPr>
      <w:rFonts w:ascii="Calibri Light" w:eastAsia="Times New Roman" w:hAnsi="Calibri Light" w:cs="Times New Roman"/>
      <w:sz w:val="24"/>
      <w:szCs w:val="24"/>
      <w:lang w:val="en-US" w:eastAsia="en-US"/>
    </w:rPr>
  </w:style>
  <w:style w:type="paragraph" w:styleId="Title">
    <w:name w:val="Title"/>
    <w:basedOn w:val="Normal"/>
    <w:next w:val="Normal"/>
    <w:link w:val="TitleChar"/>
    <w:qFormat/>
    <w:locked/>
    <w:rsid w:val="00532D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32D9A"/>
    <w:rPr>
      <w:rFonts w:ascii="Calibri Light" w:eastAsia="Times New Roman" w:hAnsi="Calibri Light" w:cs="Times New Roman"/>
      <w:b/>
      <w:bCs/>
      <w:kern w:val="28"/>
      <w:sz w:val="32"/>
      <w:szCs w:val="32"/>
      <w:lang w:val="en-US" w:eastAsia="en-US"/>
    </w:rPr>
  </w:style>
  <w:style w:type="paragraph" w:styleId="NoSpacing">
    <w:name w:val="No Spacing"/>
    <w:uiPriority w:val="1"/>
    <w:qFormat/>
    <w:rsid w:val="00532D9A"/>
    <w:rPr>
      <w:sz w:val="24"/>
      <w:szCs w:val="24"/>
      <w:lang w:val="en-US" w:eastAsia="en-US"/>
    </w:rPr>
  </w:style>
  <w:style w:type="character" w:styleId="SubtleEmphasis">
    <w:name w:val="Subtle Emphasis"/>
    <w:uiPriority w:val="19"/>
    <w:qFormat/>
    <w:rsid w:val="00532D9A"/>
    <w:rPr>
      <w:i/>
      <w:iCs/>
      <w:color w:val="404040"/>
    </w:rPr>
  </w:style>
  <w:style w:type="character" w:customStyle="1" w:styleId="ListParagraphChar">
    <w:name w:val="List Paragraph Char"/>
    <w:link w:val="ListParagraph"/>
    <w:uiPriority w:val="34"/>
    <w:locked/>
    <w:rsid w:val="00E611FD"/>
  </w:style>
  <w:style w:type="paragraph" w:styleId="ListParagraph">
    <w:name w:val="List Paragraph"/>
    <w:basedOn w:val="Normal"/>
    <w:link w:val="ListParagraphChar"/>
    <w:uiPriority w:val="34"/>
    <w:qFormat/>
    <w:rsid w:val="00E611FD"/>
    <w:pPr>
      <w:spacing w:after="160" w:line="256" w:lineRule="auto"/>
      <w:ind w:left="720"/>
      <w:contextualSpacing/>
    </w:pPr>
    <w:rPr>
      <w:sz w:val="20"/>
      <w:szCs w:val="20"/>
      <w:lang w:val="en-ZA" w:eastAsia="en-ZA"/>
    </w:rPr>
  </w:style>
  <w:style w:type="table" w:styleId="TableGrid">
    <w:name w:val="Table Grid"/>
    <w:basedOn w:val="TableNormal"/>
    <w:uiPriority w:val="39"/>
    <w:locked/>
    <w:rsid w:val="00E611F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2017-08-16T10:32:00Z</cp:lastPrinted>
  <dcterms:created xsi:type="dcterms:W3CDTF">2017-08-18T12:20:00Z</dcterms:created>
  <dcterms:modified xsi:type="dcterms:W3CDTF">2017-08-18T12:20:00Z</dcterms:modified>
</cp:coreProperties>
</file>