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D40F7A"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8C03B8">
        <w:rPr>
          <w:rFonts w:cs="Arial"/>
          <w:b/>
          <w:sz w:val="24"/>
          <w:szCs w:val="24"/>
          <w:lang w:val="en-US" w:eastAsia="en-US"/>
        </w:rPr>
        <w:t>20</w:t>
      </w:r>
      <w:r w:rsidR="008B21B2">
        <w:rPr>
          <w:rFonts w:cs="Arial"/>
          <w:b/>
          <w:sz w:val="24"/>
          <w:szCs w:val="24"/>
          <w:lang w:val="en-US" w:eastAsia="en-US"/>
        </w:rPr>
        <w:t>4</w:t>
      </w:r>
      <w:r w:rsidR="008B3847">
        <w:rPr>
          <w:rFonts w:cs="Arial"/>
          <w:b/>
          <w:sz w:val="24"/>
          <w:szCs w:val="24"/>
          <w:lang w:val="en-US" w:eastAsia="en-US"/>
        </w:rPr>
        <w:t>8</w:t>
      </w:r>
      <w:r w:rsidR="00E526CF" w:rsidRPr="000B4F40">
        <w:rPr>
          <w:rFonts w:cs="Arial"/>
          <w:b/>
          <w:sz w:val="24"/>
          <w:szCs w:val="24"/>
          <w:lang w:val="en-US" w:eastAsia="en-US"/>
        </w:rPr>
        <w:t>[</w:t>
      </w:r>
      <w:r w:rsidR="008B21B2" w:rsidRPr="008B21B2">
        <w:rPr>
          <w:rFonts w:eastAsia="Calibri" w:cs="Arial"/>
          <w:b/>
          <w:sz w:val="24"/>
          <w:szCs w:val="24"/>
          <w:lang w:val="en-US" w:eastAsia="en-US"/>
        </w:rPr>
        <w:t>NW2610E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C03B8">
        <w:rPr>
          <w:rFonts w:cs="Arial"/>
          <w:b/>
          <w:sz w:val="24"/>
          <w:szCs w:val="24"/>
          <w:lang w:val="en-US" w:eastAsia="en-US"/>
        </w:rPr>
        <w:t>34</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B21B2">
        <w:rPr>
          <w:rFonts w:cs="Arial"/>
          <w:b/>
          <w:sz w:val="24"/>
          <w:szCs w:val="24"/>
          <w:lang w:val="en-US" w:eastAsia="en-US"/>
        </w:rPr>
        <w:t>28AUGUST</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7A795E">
        <w:rPr>
          <w:rFonts w:cs="Arial"/>
          <w:b/>
          <w:sz w:val="24"/>
          <w:szCs w:val="24"/>
          <w:lang w:val="en-US" w:eastAsia="en-US"/>
        </w:rPr>
        <w:t>30 OCTOBER</w:t>
      </w:r>
      <w:r w:rsidR="008B21B2">
        <w:rPr>
          <w:rFonts w:cs="Arial"/>
          <w:b/>
          <w:sz w:val="24"/>
          <w:szCs w:val="24"/>
          <w:lang w:val="en-US" w:eastAsia="en-US"/>
        </w:rPr>
        <w:t xml:space="preserve"> 2020</w:t>
      </w:r>
    </w:p>
    <w:p w:rsidR="00865277" w:rsidRDefault="00865277" w:rsidP="00B44E3D">
      <w:pPr>
        <w:jc w:val="left"/>
        <w:rPr>
          <w:rFonts w:cs="Arial"/>
          <w:b/>
          <w:sz w:val="24"/>
          <w:szCs w:val="24"/>
          <w:lang w:val="en-US" w:eastAsia="en-US"/>
        </w:rPr>
      </w:pPr>
    </w:p>
    <w:p w:rsidR="00BA53FA" w:rsidRDefault="008C03B8" w:rsidP="00865277">
      <w:pPr>
        <w:ind w:left="720" w:hanging="810"/>
        <w:outlineLvl w:val="0"/>
        <w:rPr>
          <w:rFonts w:eastAsia="Calibri" w:cs="Arial"/>
          <w:b/>
          <w:bCs/>
          <w:sz w:val="24"/>
          <w:szCs w:val="24"/>
          <w:lang w:val="af-ZA" w:eastAsia="en-US"/>
        </w:rPr>
      </w:pPr>
      <w:r>
        <w:rPr>
          <w:rFonts w:eastAsia="Calibri" w:cs="Arial"/>
          <w:b/>
          <w:sz w:val="24"/>
          <w:szCs w:val="24"/>
        </w:rPr>
        <w:t>20</w:t>
      </w:r>
      <w:r w:rsidR="008B21B2">
        <w:rPr>
          <w:rFonts w:eastAsia="Calibri" w:cs="Arial"/>
          <w:b/>
          <w:sz w:val="24"/>
          <w:szCs w:val="24"/>
        </w:rPr>
        <w:t>4</w:t>
      </w:r>
      <w:r w:rsidR="008B3847">
        <w:rPr>
          <w:rFonts w:eastAsia="Calibri" w:cs="Arial"/>
          <w:b/>
          <w:sz w:val="24"/>
          <w:szCs w:val="24"/>
        </w:rPr>
        <w:t>8</w:t>
      </w:r>
      <w:r w:rsidR="008425A3" w:rsidRPr="00FB6528">
        <w:rPr>
          <w:rFonts w:eastAsia="Calibri" w:cs="Arial"/>
          <w:b/>
          <w:sz w:val="24"/>
          <w:szCs w:val="24"/>
        </w:rPr>
        <w:t>.</w:t>
      </w:r>
      <w:r w:rsidR="00E32A64" w:rsidRPr="00FB6528">
        <w:rPr>
          <w:rFonts w:eastAsia="Calibri" w:cs="Arial"/>
          <w:b/>
          <w:bCs/>
          <w:sz w:val="24"/>
          <w:szCs w:val="24"/>
          <w:lang w:val="af-ZA" w:eastAsia="en-US"/>
        </w:rPr>
        <w:tab/>
      </w:r>
      <w:r w:rsidR="008B21B2">
        <w:rPr>
          <w:rFonts w:eastAsia="Calibri" w:cs="Arial"/>
          <w:b/>
          <w:bCs/>
          <w:sz w:val="24"/>
          <w:szCs w:val="24"/>
          <w:lang w:val="en-US"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865277" w:rsidRPr="00FB6528" w:rsidRDefault="00865277" w:rsidP="00865277">
      <w:pPr>
        <w:ind w:left="720" w:hanging="810"/>
        <w:outlineLvl w:val="0"/>
        <w:rPr>
          <w:rFonts w:eastAsia="Calibri" w:cs="Arial"/>
          <w:b/>
          <w:bCs/>
          <w:sz w:val="24"/>
          <w:szCs w:val="24"/>
          <w:lang w:val="af-ZA" w:eastAsia="en-US"/>
        </w:rPr>
      </w:pPr>
    </w:p>
    <w:p w:rsidR="008B21B2" w:rsidRPr="008B21B2" w:rsidRDefault="008B21B2" w:rsidP="00865277">
      <w:pPr>
        <w:rPr>
          <w:rFonts w:eastAsia="Calibri" w:cs="Arial"/>
          <w:color w:val="000000" w:themeColor="text1"/>
          <w:sz w:val="24"/>
          <w:szCs w:val="24"/>
        </w:rPr>
      </w:pPr>
      <w:r w:rsidRPr="008B21B2">
        <w:rPr>
          <w:rFonts w:eastAsia="Calibri" w:cs="Arial"/>
          <w:color w:val="000000" w:themeColor="text1"/>
          <w:sz w:val="24"/>
          <w:szCs w:val="24"/>
        </w:rPr>
        <w:t>(1)</w:t>
      </w:r>
      <w:r w:rsidRPr="008B21B2">
        <w:rPr>
          <w:rFonts w:eastAsia="Calibri" w:cs="Arial"/>
          <w:color w:val="000000" w:themeColor="text1"/>
          <w:sz w:val="24"/>
          <w:szCs w:val="24"/>
        </w:rPr>
        <w:tab/>
        <w:t>In light of the fact that small, medium and micro enterprises (SMMEs) demand between 10% and 15% Preliminary and General (P&amp;Gs) over and above the 30% to which they are entitled on some projects, what (a) steps is her department taking, especially through the Construction Industry Development Board, to educate and upskill SMMEs on (i) financial matters, (ii) contractual matters and (iii) any other related matters, (b) recourse do the contractors have where SMMEs threaten to close sites unless their demands are met in terms of the P&amp;G and (c) intervention will her department offer in such a case;</w:t>
      </w:r>
    </w:p>
    <w:p w:rsidR="008B21B2" w:rsidRPr="008B21B2" w:rsidRDefault="008B21B2" w:rsidP="00865277">
      <w:pPr>
        <w:rPr>
          <w:rFonts w:eastAsia="Calibri" w:cs="Arial"/>
          <w:color w:val="000000" w:themeColor="text1"/>
          <w:sz w:val="24"/>
          <w:szCs w:val="24"/>
        </w:rPr>
      </w:pPr>
      <w:r w:rsidRPr="008B21B2">
        <w:rPr>
          <w:rFonts w:eastAsia="Calibri" w:cs="Arial"/>
          <w:color w:val="000000" w:themeColor="text1"/>
          <w:sz w:val="24"/>
          <w:szCs w:val="24"/>
        </w:rPr>
        <w:t>(2)</w:t>
      </w:r>
      <w:r w:rsidRPr="008B21B2">
        <w:rPr>
          <w:rFonts w:eastAsia="Calibri" w:cs="Arial"/>
          <w:color w:val="000000" w:themeColor="text1"/>
          <w:sz w:val="24"/>
          <w:szCs w:val="24"/>
        </w:rPr>
        <w:tab/>
        <w:t>whether her department will blacklist and/or penalise an SMME for closing down a site on a spurious issue such as P&amp;G to which they are not entitled but demand anyway; if not, why not; if so,</w:t>
      </w:r>
    </w:p>
    <w:p w:rsidR="008B21B2" w:rsidRDefault="008B21B2" w:rsidP="00865277">
      <w:pPr>
        <w:ind w:right="-14"/>
        <w:outlineLvl w:val="0"/>
        <w:rPr>
          <w:rFonts w:eastAsia="Calibri" w:cs="Arial"/>
          <w:color w:val="000000" w:themeColor="text1"/>
          <w:sz w:val="24"/>
          <w:szCs w:val="24"/>
        </w:rPr>
      </w:pPr>
      <w:r w:rsidRPr="008B21B2">
        <w:rPr>
          <w:rFonts w:eastAsia="Calibri" w:cs="Arial"/>
          <w:color w:val="000000" w:themeColor="text1"/>
          <w:sz w:val="24"/>
          <w:szCs w:val="24"/>
        </w:rPr>
        <w:t>(3)</w:t>
      </w:r>
      <w:r w:rsidRPr="008B21B2">
        <w:rPr>
          <w:rFonts w:eastAsia="Calibri" w:cs="Arial"/>
          <w:color w:val="000000" w:themeColor="text1"/>
          <w:sz w:val="24"/>
          <w:szCs w:val="24"/>
        </w:rPr>
        <w:tab/>
        <w:t xml:space="preserve">whether her department is acknowledging the existence of the so-called Construction Mafia; if not, why not; if so, what steps is she taking to address the matter? </w:t>
      </w:r>
    </w:p>
    <w:p w:rsidR="008B21B2" w:rsidRPr="008B21B2" w:rsidRDefault="008B21B2" w:rsidP="00865277">
      <w:pPr>
        <w:ind w:right="-14"/>
        <w:outlineLvl w:val="0"/>
        <w:rPr>
          <w:rFonts w:eastAsia="SimSun" w:cs="Arial"/>
          <w:b/>
          <w:color w:val="000000" w:themeColor="text1"/>
          <w:sz w:val="24"/>
          <w:szCs w:val="24"/>
          <w:lang w:eastAsia="en-ZA"/>
        </w:rPr>
      </w:pP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Pr>
          <w:rFonts w:eastAsia="Calibri" w:cs="Arial"/>
          <w:color w:val="000000" w:themeColor="text1"/>
          <w:sz w:val="24"/>
          <w:szCs w:val="24"/>
        </w:rPr>
        <w:tab/>
      </w:r>
      <w:r w:rsidRPr="008B21B2">
        <w:rPr>
          <w:rFonts w:eastAsia="SimSun" w:cs="Arial"/>
          <w:b/>
          <w:color w:val="000000" w:themeColor="text1"/>
          <w:sz w:val="24"/>
          <w:szCs w:val="24"/>
          <w:lang w:eastAsia="en-ZA"/>
        </w:rPr>
        <w:t>NW2610E</w:t>
      </w:r>
    </w:p>
    <w:p w:rsidR="00A966FC" w:rsidRPr="00743527" w:rsidRDefault="004D2F24" w:rsidP="00865277">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BD4499">
      <w:pPr>
        <w:spacing w:line="300" w:lineRule="auto"/>
        <w:rPr>
          <w:rFonts w:cs="Arial"/>
          <w:b/>
          <w:sz w:val="24"/>
          <w:szCs w:val="24"/>
          <w:lang w:eastAsia="en-US"/>
        </w:rPr>
      </w:pPr>
      <w:r w:rsidRPr="004B7D74">
        <w:rPr>
          <w:rFonts w:cs="Arial"/>
          <w:b/>
          <w:sz w:val="24"/>
          <w:szCs w:val="24"/>
          <w:u w:val="single"/>
          <w:lang w:eastAsia="en-US"/>
        </w:rPr>
        <w:t>REPLY</w:t>
      </w:r>
    </w:p>
    <w:p w:rsidR="00874C55" w:rsidRDefault="00874C55" w:rsidP="00865277">
      <w:pPr>
        <w:rPr>
          <w:rFonts w:cs="Arial"/>
          <w:b/>
          <w:szCs w:val="22"/>
          <w:lang w:eastAsia="en-US"/>
        </w:rPr>
      </w:pPr>
    </w:p>
    <w:p w:rsidR="00513A90" w:rsidRDefault="009D55BB" w:rsidP="00865277">
      <w:pPr>
        <w:rPr>
          <w:b/>
          <w:bCs/>
          <w:sz w:val="24"/>
          <w:szCs w:val="24"/>
        </w:rPr>
      </w:pPr>
      <w:r>
        <w:rPr>
          <w:b/>
          <w:bCs/>
          <w:sz w:val="24"/>
          <w:szCs w:val="24"/>
        </w:rPr>
        <w:t>The Minister of Public Works and</w:t>
      </w:r>
      <w:r w:rsidR="002265E0">
        <w:rPr>
          <w:b/>
          <w:bCs/>
          <w:sz w:val="24"/>
          <w:szCs w:val="24"/>
        </w:rPr>
        <w:t xml:space="preserve"> Infrastructure: </w:t>
      </w:r>
    </w:p>
    <w:p w:rsidR="00865277" w:rsidRPr="00391C4D" w:rsidRDefault="007A795E" w:rsidP="00865277">
      <w:pPr>
        <w:pStyle w:val="ListParagraph"/>
        <w:numPr>
          <w:ilvl w:val="0"/>
          <w:numId w:val="23"/>
        </w:numPr>
        <w:spacing w:before="100" w:beforeAutospacing="1" w:after="100" w:afterAutospacing="1"/>
        <w:rPr>
          <w:rFonts w:eastAsia="Calibri" w:cs="Arial"/>
          <w:color w:val="000000" w:themeColor="text1"/>
          <w:sz w:val="24"/>
          <w:szCs w:val="24"/>
        </w:rPr>
      </w:pPr>
      <w:r>
        <w:rPr>
          <w:rFonts w:eastAsia="Calibri" w:cs="Arial"/>
          <w:color w:val="000000" w:themeColor="text1"/>
          <w:sz w:val="24"/>
          <w:szCs w:val="24"/>
        </w:rPr>
        <w:t>I was informed by the Department of Public Works and Infrastructure (DPWI) that the p</w:t>
      </w:r>
      <w:r w:rsidR="00865277" w:rsidRPr="00391C4D">
        <w:rPr>
          <w:rFonts w:eastAsia="Calibri" w:cs="Arial"/>
          <w:color w:val="000000" w:themeColor="text1"/>
          <w:sz w:val="24"/>
          <w:szCs w:val="24"/>
        </w:rPr>
        <w:t xml:space="preserve">reliminary and General costs (P&amp;Gs) are factored in and priced by the main contractor in the Bill of Quantities. As such, if 30 percent sub-contracting was imposed by the client when going out on tender, in terms the Preferential Procurement Regulations of 2017, the sub-contracting agreement must be 30 percent of the value of the entire contract amount awarded to the main contractor. This therefore means that the P&amp;Gs would be factored in the contract amount due </w:t>
      </w:r>
      <w:r w:rsidR="00865277" w:rsidRPr="00391C4D">
        <w:rPr>
          <w:rFonts w:eastAsia="Calibri" w:cs="Arial"/>
          <w:color w:val="000000" w:themeColor="text1"/>
          <w:sz w:val="24"/>
          <w:szCs w:val="24"/>
        </w:rPr>
        <w:lastRenderedPageBreak/>
        <w:t xml:space="preserve">to the sub-contractor. </w:t>
      </w:r>
      <w:r w:rsidR="00865277">
        <w:rPr>
          <w:rFonts w:eastAsia="Calibri" w:cs="Arial"/>
          <w:color w:val="000000" w:themeColor="text1"/>
          <w:sz w:val="24"/>
          <w:szCs w:val="24"/>
        </w:rPr>
        <w:t>I</w:t>
      </w:r>
      <w:r w:rsidR="00865277" w:rsidRPr="00391C4D">
        <w:rPr>
          <w:rFonts w:eastAsia="Calibri" w:cs="Arial"/>
          <w:color w:val="000000" w:themeColor="text1"/>
          <w:sz w:val="24"/>
          <w:szCs w:val="24"/>
        </w:rPr>
        <w:t xml:space="preserve">n terms of </w:t>
      </w:r>
      <w:r w:rsidR="00865277">
        <w:rPr>
          <w:rFonts w:eastAsia="Calibri" w:cs="Arial"/>
          <w:color w:val="000000" w:themeColor="text1"/>
          <w:sz w:val="24"/>
          <w:szCs w:val="24"/>
        </w:rPr>
        <w:t>this</w:t>
      </w:r>
      <w:r w:rsidR="00865277" w:rsidRPr="00391C4D">
        <w:rPr>
          <w:rFonts w:eastAsia="Calibri" w:cs="Arial"/>
          <w:color w:val="000000" w:themeColor="text1"/>
          <w:sz w:val="24"/>
          <w:szCs w:val="24"/>
        </w:rPr>
        <w:t xml:space="preserve"> the subcontractor would then balance </w:t>
      </w:r>
      <w:r w:rsidR="00865277">
        <w:rPr>
          <w:rFonts w:eastAsia="Calibri" w:cs="Arial"/>
          <w:color w:val="000000" w:themeColor="text1"/>
          <w:sz w:val="24"/>
          <w:szCs w:val="24"/>
        </w:rPr>
        <w:t>their</w:t>
      </w:r>
      <w:r w:rsidR="00865277" w:rsidRPr="00391C4D">
        <w:rPr>
          <w:rFonts w:eastAsia="Calibri" w:cs="Arial"/>
          <w:color w:val="000000" w:themeColor="text1"/>
          <w:sz w:val="24"/>
          <w:szCs w:val="24"/>
        </w:rPr>
        <w:t xml:space="preserve"> rates from what was originally priced by the main contractor.</w:t>
      </w:r>
    </w:p>
    <w:p w:rsidR="00865277" w:rsidRDefault="00865277" w:rsidP="00865277">
      <w:pPr>
        <w:pStyle w:val="ListParagraph"/>
        <w:spacing w:before="100" w:beforeAutospacing="1" w:after="100" w:afterAutospacing="1"/>
        <w:rPr>
          <w:rFonts w:eastAsia="Calibri" w:cs="Arial"/>
          <w:color w:val="000000" w:themeColor="text1"/>
          <w:sz w:val="24"/>
          <w:szCs w:val="24"/>
        </w:rPr>
      </w:pPr>
    </w:p>
    <w:p w:rsidR="00865277" w:rsidRDefault="00865277" w:rsidP="00865277">
      <w:pPr>
        <w:pStyle w:val="ListParagraph"/>
        <w:spacing w:before="100" w:beforeAutospacing="1" w:after="100" w:afterAutospacing="1"/>
        <w:rPr>
          <w:rFonts w:eastAsia="Calibri" w:cs="Arial"/>
          <w:color w:val="000000" w:themeColor="text1"/>
          <w:sz w:val="24"/>
          <w:szCs w:val="24"/>
        </w:rPr>
      </w:pPr>
      <w:r>
        <w:rPr>
          <w:rFonts w:eastAsia="Calibri" w:cs="Arial"/>
          <w:color w:val="000000" w:themeColor="text1"/>
          <w:sz w:val="24"/>
          <w:szCs w:val="24"/>
        </w:rPr>
        <w:t>NB: the rates submitted, priced and contracted by the main contractor cannot be increased after the awarding of the contract, as this would mean the change of the original contract terms. Therefore sub-contractors cannot claim any amounts over above what is in the original contract.</w:t>
      </w:r>
    </w:p>
    <w:p w:rsidR="00865277" w:rsidRPr="00A96AC3" w:rsidRDefault="00865277" w:rsidP="00865277">
      <w:pPr>
        <w:spacing w:before="100" w:beforeAutospacing="1" w:after="100" w:afterAutospacing="1"/>
        <w:ind w:left="720"/>
        <w:rPr>
          <w:rFonts w:eastAsia="Calibri" w:cs="Arial"/>
          <w:color w:val="000000" w:themeColor="text1"/>
          <w:sz w:val="24"/>
          <w:szCs w:val="24"/>
        </w:rPr>
      </w:pPr>
      <w:r>
        <w:rPr>
          <w:rFonts w:eastAsia="Calibri" w:cs="Arial"/>
          <w:color w:val="000000" w:themeColor="text1"/>
          <w:sz w:val="24"/>
          <w:szCs w:val="24"/>
        </w:rPr>
        <w:t xml:space="preserve">(a) </w:t>
      </w:r>
      <w:r w:rsidRPr="00391C4D">
        <w:rPr>
          <w:rFonts w:eastAsia="Calibri" w:cs="Arial"/>
          <w:color w:val="000000" w:themeColor="text1"/>
          <w:sz w:val="24"/>
          <w:szCs w:val="24"/>
        </w:rPr>
        <w:t>(i), (ii) and (</w:t>
      </w:r>
      <w:r>
        <w:rPr>
          <w:rFonts w:eastAsia="Calibri" w:cs="Arial"/>
          <w:color w:val="000000" w:themeColor="text1"/>
          <w:sz w:val="24"/>
          <w:szCs w:val="24"/>
        </w:rPr>
        <w:t>iii) The CIDB has programmes to capacitate stakeholders, including SMME’s, and has produced emerging contractor tools and guidelines such as, the Contractor Management Guidelines (CMG 101), as well the basic guide on the 3Rs (Rights,</w:t>
      </w:r>
      <w:r w:rsidRPr="00A96AC3">
        <w:rPr>
          <w:rFonts w:eastAsia="Calibri" w:cs="Arial"/>
          <w:color w:val="000000" w:themeColor="text1"/>
          <w:sz w:val="24"/>
          <w:szCs w:val="24"/>
        </w:rPr>
        <w:t xml:space="preserve"> Responsibilities and Risks</w:t>
      </w:r>
      <w:r>
        <w:rPr>
          <w:rFonts w:eastAsia="Calibri" w:cs="Arial"/>
          <w:color w:val="000000" w:themeColor="text1"/>
          <w:sz w:val="24"/>
          <w:szCs w:val="24"/>
        </w:rPr>
        <w:t>).</w:t>
      </w:r>
    </w:p>
    <w:p w:rsidR="00865277" w:rsidRPr="00A96AC3" w:rsidRDefault="00865277" w:rsidP="00865277">
      <w:pPr>
        <w:pStyle w:val="ListParagraph"/>
        <w:spacing w:before="100" w:beforeAutospacing="1" w:after="100" w:afterAutospacing="1"/>
        <w:rPr>
          <w:rFonts w:eastAsia="Calibri" w:cs="Arial"/>
          <w:color w:val="000000" w:themeColor="text1"/>
          <w:sz w:val="24"/>
          <w:szCs w:val="24"/>
        </w:rPr>
      </w:pPr>
      <w:r>
        <w:rPr>
          <w:rFonts w:eastAsia="Calibri" w:cs="Arial"/>
          <w:color w:val="000000" w:themeColor="text1"/>
          <w:sz w:val="24"/>
          <w:szCs w:val="24"/>
        </w:rPr>
        <w:t>(b) Threats by SMME’s to close off the sites or any interruptions to complete a project are a reportable violation of the CIDB code of conduct. The conduct as such is punishable in terms of Regulation 27A of the CIDB regulations. For any dispute that may push SMMEs to close off sites dispute resolution m</w:t>
      </w:r>
      <w:r w:rsidRPr="00A96AC3">
        <w:rPr>
          <w:rFonts w:eastAsia="Calibri" w:cs="Arial"/>
          <w:color w:val="000000" w:themeColor="text1"/>
          <w:sz w:val="24"/>
          <w:szCs w:val="24"/>
        </w:rPr>
        <w:t>echanisms are spelt out in the contract.</w:t>
      </w:r>
    </w:p>
    <w:p w:rsidR="00865277" w:rsidRPr="00A96AC3" w:rsidRDefault="00865277" w:rsidP="00865277">
      <w:pPr>
        <w:spacing w:before="100" w:beforeAutospacing="1" w:after="100" w:afterAutospacing="1"/>
        <w:ind w:left="720"/>
        <w:rPr>
          <w:rFonts w:eastAsia="Calibri" w:cs="Arial"/>
          <w:color w:val="000000" w:themeColor="text1"/>
          <w:sz w:val="24"/>
          <w:szCs w:val="24"/>
        </w:rPr>
      </w:pPr>
      <w:r>
        <w:rPr>
          <w:rFonts w:eastAsia="Calibri" w:cs="Arial"/>
          <w:color w:val="000000" w:themeColor="text1"/>
          <w:sz w:val="24"/>
          <w:szCs w:val="24"/>
        </w:rPr>
        <w:t xml:space="preserve">(c) </w:t>
      </w:r>
      <w:r w:rsidRPr="00A96AC3">
        <w:rPr>
          <w:rFonts w:eastAsia="Calibri" w:cs="Arial"/>
          <w:color w:val="000000" w:themeColor="text1"/>
          <w:sz w:val="24"/>
          <w:szCs w:val="24"/>
        </w:rPr>
        <w:t>The CIDB can only intervene upon such matters being reported in terms of Regulations 28</w:t>
      </w:r>
      <w:r>
        <w:rPr>
          <w:rFonts w:eastAsia="Calibri" w:cs="Arial"/>
          <w:color w:val="000000" w:themeColor="text1"/>
          <w:sz w:val="24"/>
          <w:szCs w:val="24"/>
        </w:rPr>
        <w:t xml:space="preserve"> and as per the provisions of the contract between the conflicting parties</w:t>
      </w:r>
      <w:r w:rsidRPr="00A96AC3">
        <w:rPr>
          <w:rFonts w:eastAsia="Calibri" w:cs="Arial"/>
          <w:color w:val="000000" w:themeColor="text1"/>
          <w:sz w:val="24"/>
          <w:szCs w:val="24"/>
        </w:rPr>
        <w:t>.</w:t>
      </w:r>
    </w:p>
    <w:p w:rsidR="00865277" w:rsidRDefault="00865277" w:rsidP="00865277">
      <w:pPr>
        <w:spacing w:before="100" w:beforeAutospacing="1" w:after="100" w:afterAutospacing="1"/>
        <w:ind w:left="720" w:hanging="720"/>
        <w:rPr>
          <w:rFonts w:eastAsia="Calibri" w:cs="Arial"/>
          <w:color w:val="000000" w:themeColor="text1"/>
          <w:sz w:val="24"/>
          <w:szCs w:val="24"/>
        </w:rPr>
      </w:pPr>
      <w:r>
        <w:rPr>
          <w:rFonts w:eastAsia="Calibri" w:cs="Arial"/>
          <w:color w:val="000000" w:themeColor="text1"/>
          <w:sz w:val="24"/>
          <w:szCs w:val="24"/>
        </w:rPr>
        <w:t>(2)</w:t>
      </w:r>
      <w:r>
        <w:rPr>
          <w:rFonts w:eastAsia="Calibri" w:cs="Arial"/>
          <w:color w:val="000000" w:themeColor="text1"/>
          <w:sz w:val="24"/>
          <w:szCs w:val="24"/>
        </w:rPr>
        <w:tab/>
        <w:t>As stated above</w:t>
      </w:r>
      <w:r w:rsidRPr="00257776">
        <w:rPr>
          <w:rFonts w:eastAsia="Calibri" w:cs="Arial"/>
          <w:color w:val="000000" w:themeColor="text1"/>
          <w:sz w:val="24"/>
          <w:szCs w:val="24"/>
        </w:rPr>
        <w:t xml:space="preserve"> in </w:t>
      </w:r>
      <w:r>
        <w:rPr>
          <w:rFonts w:eastAsia="Calibri" w:cs="Arial"/>
          <w:color w:val="000000" w:themeColor="text1"/>
          <w:sz w:val="24"/>
          <w:szCs w:val="24"/>
        </w:rPr>
        <w:t>(1) (b) threats to close off the sites or any interruptions to complete a project are a reportable violation of the CIDB code of conduct, and shall be dealt with according to the stipulations of the code.</w:t>
      </w:r>
    </w:p>
    <w:p w:rsidR="00865277" w:rsidRPr="00865277" w:rsidRDefault="00865277" w:rsidP="00865277">
      <w:pPr>
        <w:spacing w:before="100" w:beforeAutospacing="1" w:after="100" w:afterAutospacing="1"/>
        <w:ind w:left="720" w:hanging="720"/>
        <w:rPr>
          <w:rFonts w:eastAsia="Calibri" w:cs="Arial"/>
          <w:b/>
          <w:sz w:val="24"/>
          <w:szCs w:val="24"/>
        </w:rPr>
      </w:pPr>
      <w:r>
        <w:rPr>
          <w:rFonts w:eastAsia="Calibri" w:cs="Arial"/>
          <w:color w:val="000000" w:themeColor="text1"/>
          <w:sz w:val="24"/>
          <w:szCs w:val="24"/>
        </w:rPr>
        <w:t>(3)</w:t>
      </w:r>
      <w:r>
        <w:rPr>
          <w:rFonts w:eastAsia="Calibri" w:cs="Arial"/>
          <w:color w:val="000000" w:themeColor="text1"/>
          <w:sz w:val="24"/>
          <w:szCs w:val="24"/>
        </w:rPr>
        <w:tab/>
      </w:r>
      <w:r w:rsidR="007A795E">
        <w:rPr>
          <w:rFonts w:eastAsia="Calibri" w:cs="Arial"/>
          <w:color w:val="000000" w:themeColor="text1"/>
          <w:sz w:val="24"/>
          <w:szCs w:val="24"/>
        </w:rPr>
        <w:t>Yes, this is alleged criminal activities and is dealt with by the Security Cluster.</w:t>
      </w:r>
    </w:p>
    <w:p w:rsidR="00865277" w:rsidRDefault="00865277" w:rsidP="00BD4499">
      <w:pPr>
        <w:spacing w:line="300" w:lineRule="auto"/>
        <w:rPr>
          <w:b/>
          <w:bCs/>
          <w:sz w:val="24"/>
          <w:szCs w:val="24"/>
        </w:rPr>
      </w:pPr>
      <w:bookmarkStart w:id="0" w:name="_GoBack"/>
      <w:bookmarkEnd w:id="0"/>
    </w:p>
    <w:sectPr w:rsidR="00865277"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E4C" w:rsidRDefault="00DA0E4C" w:rsidP="00B01072">
      <w:r>
        <w:separator/>
      </w:r>
    </w:p>
  </w:endnote>
  <w:endnote w:type="continuationSeparator" w:id="1">
    <w:p w:rsidR="00DA0E4C" w:rsidRDefault="00DA0E4C" w:rsidP="00B0107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6B3809">
      <w:rPr>
        <w:rFonts w:eastAsiaTheme="majorEastAsia" w:cs="Arial"/>
        <w:b/>
        <w:sz w:val="18"/>
        <w:szCs w:val="18"/>
      </w:rPr>
      <w:t>20</w:t>
    </w:r>
    <w:r w:rsidR="008B21B2">
      <w:rPr>
        <w:rFonts w:eastAsiaTheme="majorEastAsia" w:cs="Arial"/>
        <w:b/>
        <w:sz w:val="18"/>
        <w:szCs w:val="18"/>
      </w:rPr>
      <w:t>4</w:t>
    </w:r>
    <w:r w:rsidR="008B3847">
      <w:rPr>
        <w:rFonts w:eastAsiaTheme="majorEastAsia" w:cs="Arial"/>
        <w:b/>
        <w:sz w:val="18"/>
        <w:szCs w:val="18"/>
      </w:rPr>
      <w:t>8</w:t>
    </w:r>
    <w:r w:rsidRPr="00A86DF9">
      <w:rPr>
        <w:rFonts w:eastAsiaTheme="majorEastAsia" w:cs="Arial"/>
        <w:b/>
        <w:sz w:val="18"/>
        <w:szCs w:val="18"/>
      </w:rPr>
      <w:t xml:space="preserve"> (WRITTEN)</w:t>
    </w:r>
    <w:r w:rsidRPr="003930E2">
      <w:rPr>
        <w:rFonts w:eastAsiaTheme="majorEastAsia" w:cs="Arial"/>
        <w:b/>
        <w:sz w:val="18"/>
        <w:szCs w:val="18"/>
      </w:rPr>
      <w:t xml:space="preserve">– </w:t>
    </w:r>
    <w:r w:rsidR="008B21B2" w:rsidRPr="008B21B2">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D40F7A" w:rsidRPr="00D40F7A">
      <w:rPr>
        <w:rFonts w:eastAsiaTheme="minorEastAsia" w:cs="Arial"/>
        <w:b/>
        <w:sz w:val="18"/>
        <w:szCs w:val="18"/>
      </w:rPr>
      <w:fldChar w:fldCharType="begin"/>
    </w:r>
    <w:r w:rsidRPr="00E66692">
      <w:rPr>
        <w:rFonts w:cs="Arial"/>
        <w:b/>
        <w:sz w:val="18"/>
        <w:szCs w:val="18"/>
      </w:rPr>
      <w:instrText xml:space="preserve"> PAGE   \* MERGEFORMAT </w:instrText>
    </w:r>
    <w:r w:rsidR="00D40F7A" w:rsidRPr="00D40F7A">
      <w:rPr>
        <w:rFonts w:eastAsiaTheme="minorEastAsia" w:cs="Arial"/>
        <w:b/>
        <w:sz w:val="18"/>
        <w:szCs w:val="18"/>
      </w:rPr>
      <w:fldChar w:fldCharType="separate"/>
    </w:r>
    <w:r w:rsidR="00777B01" w:rsidRPr="00777B01">
      <w:rPr>
        <w:rFonts w:eastAsiaTheme="majorEastAsia" w:cs="Arial"/>
        <w:b/>
        <w:noProof/>
        <w:sz w:val="18"/>
        <w:szCs w:val="18"/>
      </w:rPr>
      <w:t>1</w:t>
    </w:r>
    <w:r w:rsidR="00D40F7A" w:rsidRPr="00E66692">
      <w:rPr>
        <w:rFonts w:eastAsiaTheme="majorEastAsia" w:cs="Arial"/>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E4C" w:rsidRDefault="00DA0E4C" w:rsidP="00B01072">
      <w:r>
        <w:separator/>
      </w:r>
    </w:p>
  </w:footnote>
  <w:footnote w:type="continuationSeparator" w:id="1">
    <w:p w:rsidR="00DA0E4C" w:rsidRDefault="00DA0E4C"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B0D" w:rsidRDefault="007C7B0D">
    <w:pPr>
      <w:pStyle w:val="Header"/>
      <w:jc w:val="right"/>
    </w:pPr>
  </w:p>
  <w:p w:rsidR="007C7B0D" w:rsidRDefault="007C7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507338"/>
    <w:multiLevelType w:val="hybridMultilevel"/>
    <w:tmpl w:val="01B85136"/>
    <w:lvl w:ilvl="0" w:tplc="9E244A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941C4"/>
    <w:multiLevelType w:val="hybridMultilevel"/>
    <w:tmpl w:val="37ECCB40"/>
    <w:lvl w:ilvl="0" w:tplc="E3D2AA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718F54F1"/>
    <w:multiLevelType w:val="hybridMultilevel"/>
    <w:tmpl w:val="32A412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21"/>
  </w:num>
  <w:num w:numId="5">
    <w:abstractNumId w:val="7"/>
  </w:num>
  <w:num w:numId="6">
    <w:abstractNumId w:val="17"/>
  </w:num>
  <w:num w:numId="7">
    <w:abstractNumId w:val="3"/>
  </w:num>
  <w:num w:numId="8">
    <w:abstractNumId w:val="5"/>
  </w:num>
  <w:num w:numId="9">
    <w:abstractNumId w:val="2"/>
  </w:num>
  <w:num w:numId="10">
    <w:abstractNumId w:val="14"/>
  </w:num>
  <w:num w:numId="11">
    <w:abstractNumId w:val="16"/>
  </w:num>
  <w:num w:numId="12">
    <w:abstractNumId w:val="0"/>
  </w:num>
  <w:num w:numId="13">
    <w:abstractNumId w:val="15"/>
  </w:num>
  <w:num w:numId="14">
    <w:abstractNumId w:val="22"/>
  </w:num>
  <w:num w:numId="15">
    <w:abstractNumId w:val="4"/>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1"/>
  </w:num>
  <w:num w:numId="21">
    <w:abstractNumId w:val="18"/>
  </w:num>
  <w:num w:numId="22">
    <w:abstractNumId w:val="20"/>
  </w:num>
  <w:num w:numId="2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194B"/>
    <w:rsid w:val="00074F49"/>
    <w:rsid w:val="00076BCC"/>
    <w:rsid w:val="0008103D"/>
    <w:rsid w:val="0008569E"/>
    <w:rsid w:val="00086349"/>
    <w:rsid w:val="0009125C"/>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55F3A"/>
    <w:rsid w:val="001602D9"/>
    <w:rsid w:val="00162A0F"/>
    <w:rsid w:val="00163F3B"/>
    <w:rsid w:val="00166FD7"/>
    <w:rsid w:val="001729E9"/>
    <w:rsid w:val="001743CF"/>
    <w:rsid w:val="00174560"/>
    <w:rsid w:val="00177367"/>
    <w:rsid w:val="00180395"/>
    <w:rsid w:val="0018124B"/>
    <w:rsid w:val="00181EF5"/>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28"/>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662EB"/>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C792C"/>
    <w:rsid w:val="002E6B86"/>
    <w:rsid w:val="00301B48"/>
    <w:rsid w:val="00302C99"/>
    <w:rsid w:val="003031BE"/>
    <w:rsid w:val="003074FB"/>
    <w:rsid w:val="00307BEC"/>
    <w:rsid w:val="003171A9"/>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96386"/>
    <w:rsid w:val="003A0AD7"/>
    <w:rsid w:val="003B1FAF"/>
    <w:rsid w:val="003B3F50"/>
    <w:rsid w:val="003D262F"/>
    <w:rsid w:val="003D3567"/>
    <w:rsid w:val="003D3867"/>
    <w:rsid w:val="003D41B8"/>
    <w:rsid w:val="003D6168"/>
    <w:rsid w:val="003E21E3"/>
    <w:rsid w:val="003E27DF"/>
    <w:rsid w:val="003E2910"/>
    <w:rsid w:val="003E5694"/>
    <w:rsid w:val="003F3ABB"/>
    <w:rsid w:val="003F3C93"/>
    <w:rsid w:val="003F628A"/>
    <w:rsid w:val="003F6C7B"/>
    <w:rsid w:val="00401221"/>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0563"/>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06268"/>
    <w:rsid w:val="00513712"/>
    <w:rsid w:val="00513A90"/>
    <w:rsid w:val="005144F3"/>
    <w:rsid w:val="0052239F"/>
    <w:rsid w:val="00524D71"/>
    <w:rsid w:val="005271BF"/>
    <w:rsid w:val="00531D8A"/>
    <w:rsid w:val="005330F9"/>
    <w:rsid w:val="0053382B"/>
    <w:rsid w:val="00536224"/>
    <w:rsid w:val="00540DA6"/>
    <w:rsid w:val="00542521"/>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16945"/>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95EF2"/>
    <w:rsid w:val="006A027A"/>
    <w:rsid w:val="006A05C9"/>
    <w:rsid w:val="006B1166"/>
    <w:rsid w:val="006B3809"/>
    <w:rsid w:val="006B79CB"/>
    <w:rsid w:val="006C1F95"/>
    <w:rsid w:val="006C3E5B"/>
    <w:rsid w:val="006D0841"/>
    <w:rsid w:val="006D14B5"/>
    <w:rsid w:val="006D1A51"/>
    <w:rsid w:val="006D4597"/>
    <w:rsid w:val="006D4C8A"/>
    <w:rsid w:val="006E1211"/>
    <w:rsid w:val="006E1C1F"/>
    <w:rsid w:val="006E54EA"/>
    <w:rsid w:val="006E6EDC"/>
    <w:rsid w:val="006F2930"/>
    <w:rsid w:val="006F36F8"/>
    <w:rsid w:val="006F6CCD"/>
    <w:rsid w:val="0070345B"/>
    <w:rsid w:val="00705DD0"/>
    <w:rsid w:val="00706B26"/>
    <w:rsid w:val="00713D62"/>
    <w:rsid w:val="007144AF"/>
    <w:rsid w:val="007254B8"/>
    <w:rsid w:val="0073270F"/>
    <w:rsid w:val="00736080"/>
    <w:rsid w:val="00737327"/>
    <w:rsid w:val="00737457"/>
    <w:rsid w:val="00741804"/>
    <w:rsid w:val="007422B3"/>
    <w:rsid w:val="00743527"/>
    <w:rsid w:val="00755DEC"/>
    <w:rsid w:val="0075656E"/>
    <w:rsid w:val="00760875"/>
    <w:rsid w:val="007625B5"/>
    <w:rsid w:val="00762641"/>
    <w:rsid w:val="007713CC"/>
    <w:rsid w:val="0077480B"/>
    <w:rsid w:val="00777B01"/>
    <w:rsid w:val="00781562"/>
    <w:rsid w:val="00794233"/>
    <w:rsid w:val="007950DA"/>
    <w:rsid w:val="00795939"/>
    <w:rsid w:val="007A03D5"/>
    <w:rsid w:val="007A1A41"/>
    <w:rsid w:val="007A4243"/>
    <w:rsid w:val="007A7318"/>
    <w:rsid w:val="007A795E"/>
    <w:rsid w:val="007B1417"/>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2722"/>
    <w:rsid w:val="008039CD"/>
    <w:rsid w:val="00803A16"/>
    <w:rsid w:val="00810319"/>
    <w:rsid w:val="008208CF"/>
    <w:rsid w:val="008232E5"/>
    <w:rsid w:val="00824C2B"/>
    <w:rsid w:val="00831826"/>
    <w:rsid w:val="00836EA6"/>
    <w:rsid w:val="008425A3"/>
    <w:rsid w:val="00847567"/>
    <w:rsid w:val="00854D28"/>
    <w:rsid w:val="0085572D"/>
    <w:rsid w:val="00860122"/>
    <w:rsid w:val="00865277"/>
    <w:rsid w:val="00870CEE"/>
    <w:rsid w:val="008717E7"/>
    <w:rsid w:val="00873D00"/>
    <w:rsid w:val="00873D6D"/>
    <w:rsid w:val="00874C55"/>
    <w:rsid w:val="0088064A"/>
    <w:rsid w:val="00881332"/>
    <w:rsid w:val="0089342B"/>
    <w:rsid w:val="008961F8"/>
    <w:rsid w:val="00897581"/>
    <w:rsid w:val="008A28F5"/>
    <w:rsid w:val="008A35A9"/>
    <w:rsid w:val="008A4354"/>
    <w:rsid w:val="008B21B2"/>
    <w:rsid w:val="008B3660"/>
    <w:rsid w:val="008B3847"/>
    <w:rsid w:val="008C03B8"/>
    <w:rsid w:val="008C472C"/>
    <w:rsid w:val="008D1494"/>
    <w:rsid w:val="008D376A"/>
    <w:rsid w:val="008D5076"/>
    <w:rsid w:val="008E2D55"/>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4ADC"/>
    <w:rsid w:val="00997315"/>
    <w:rsid w:val="009A121F"/>
    <w:rsid w:val="009A34AE"/>
    <w:rsid w:val="009A4F0E"/>
    <w:rsid w:val="009A792F"/>
    <w:rsid w:val="009B07DF"/>
    <w:rsid w:val="009B418A"/>
    <w:rsid w:val="009B7DB2"/>
    <w:rsid w:val="009C7EB9"/>
    <w:rsid w:val="009D256C"/>
    <w:rsid w:val="009D55BB"/>
    <w:rsid w:val="009E20D1"/>
    <w:rsid w:val="009E2EF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42F4"/>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97D51"/>
    <w:rsid w:val="00BA0CBE"/>
    <w:rsid w:val="00BA210F"/>
    <w:rsid w:val="00BA3676"/>
    <w:rsid w:val="00BA53FA"/>
    <w:rsid w:val="00BA5896"/>
    <w:rsid w:val="00BB5559"/>
    <w:rsid w:val="00BC3F53"/>
    <w:rsid w:val="00BC449E"/>
    <w:rsid w:val="00BC494E"/>
    <w:rsid w:val="00BC5C94"/>
    <w:rsid w:val="00BC6AE1"/>
    <w:rsid w:val="00BD1E79"/>
    <w:rsid w:val="00BD2228"/>
    <w:rsid w:val="00BD4499"/>
    <w:rsid w:val="00BD53C1"/>
    <w:rsid w:val="00C00EF2"/>
    <w:rsid w:val="00C05CEB"/>
    <w:rsid w:val="00C1369E"/>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615D1"/>
    <w:rsid w:val="00C72E84"/>
    <w:rsid w:val="00C734C8"/>
    <w:rsid w:val="00C91A13"/>
    <w:rsid w:val="00C92946"/>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5185"/>
    <w:rsid w:val="00CE70D6"/>
    <w:rsid w:val="00CE74B8"/>
    <w:rsid w:val="00CF3116"/>
    <w:rsid w:val="00D06A91"/>
    <w:rsid w:val="00D10DEB"/>
    <w:rsid w:val="00D133E8"/>
    <w:rsid w:val="00D15ADE"/>
    <w:rsid w:val="00D2038B"/>
    <w:rsid w:val="00D20CFA"/>
    <w:rsid w:val="00D26A6A"/>
    <w:rsid w:val="00D277FC"/>
    <w:rsid w:val="00D31524"/>
    <w:rsid w:val="00D3269F"/>
    <w:rsid w:val="00D343D3"/>
    <w:rsid w:val="00D377B6"/>
    <w:rsid w:val="00D40F7A"/>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0E4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0C51"/>
    <w:rsid w:val="00DE24CD"/>
    <w:rsid w:val="00DE7CB5"/>
    <w:rsid w:val="00DF0F83"/>
    <w:rsid w:val="00DF1799"/>
    <w:rsid w:val="00DF49DC"/>
    <w:rsid w:val="00DF6074"/>
    <w:rsid w:val="00E0095B"/>
    <w:rsid w:val="00E00E52"/>
    <w:rsid w:val="00E0385B"/>
    <w:rsid w:val="00E123EB"/>
    <w:rsid w:val="00E13322"/>
    <w:rsid w:val="00E165B9"/>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55ED9"/>
    <w:rsid w:val="00E60FD3"/>
    <w:rsid w:val="00E619AA"/>
    <w:rsid w:val="00E61D8B"/>
    <w:rsid w:val="00E66692"/>
    <w:rsid w:val="00E74EEE"/>
    <w:rsid w:val="00E779E4"/>
    <w:rsid w:val="00E808B7"/>
    <w:rsid w:val="00E85BBD"/>
    <w:rsid w:val="00E8666B"/>
    <w:rsid w:val="00E868F5"/>
    <w:rsid w:val="00E91444"/>
    <w:rsid w:val="00E92F28"/>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59B3"/>
    <w:rsid w:val="00F067FB"/>
    <w:rsid w:val="00F0701D"/>
    <w:rsid w:val="00F07CC1"/>
    <w:rsid w:val="00F121A7"/>
    <w:rsid w:val="00F15568"/>
    <w:rsid w:val="00F16197"/>
    <w:rsid w:val="00F26CF4"/>
    <w:rsid w:val="00F26E1D"/>
    <w:rsid w:val="00F318FF"/>
    <w:rsid w:val="00F33787"/>
    <w:rsid w:val="00F3566A"/>
    <w:rsid w:val="00F360E0"/>
    <w:rsid w:val="00F4037A"/>
    <w:rsid w:val="00F40625"/>
    <w:rsid w:val="00F43075"/>
    <w:rsid w:val="00F4452F"/>
    <w:rsid w:val="00F50930"/>
    <w:rsid w:val="00F54C57"/>
    <w:rsid w:val="00F5621E"/>
    <w:rsid w:val="00F57765"/>
    <w:rsid w:val="00F63F16"/>
    <w:rsid w:val="00F70197"/>
    <w:rsid w:val="00F73AF6"/>
    <w:rsid w:val="00F73C7B"/>
    <w:rsid w:val="00F76576"/>
    <w:rsid w:val="00F8042B"/>
    <w:rsid w:val="00F8053A"/>
    <w:rsid w:val="00F809F4"/>
    <w:rsid w:val="00F814DF"/>
    <w:rsid w:val="00F82A2E"/>
    <w:rsid w:val="00F831E0"/>
    <w:rsid w:val="00F83FAE"/>
    <w:rsid w:val="00F84401"/>
    <w:rsid w:val="00F84A5B"/>
    <w:rsid w:val="00F91060"/>
    <w:rsid w:val="00F930FA"/>
    <w:rsid w:val="00F93B82"/>
    <w:rsid w:val="00F961EC"/>
    <w:rsid w:val="00FA039D"/>
    <w:rsid w:val="00FA4023"/>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7CAA-4231-4DB3-A400-F895878D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QUESTION NUMBER:					        	2048 [NW2610E]</vt:lpstr>
      <vt:lpstr>INTERNAL QUESTION PAPER NO.:				34</vt:lpstr>
      <vt:lpstr>2048.	Ms S J Graham (DA) asked the Minister of Public Works and Infrastructure:</vt:lpstr>
      <vt:lpstr>(3)	whether her department is acknowledging the existence of the so-called Const</vt:lpstr>
      <vt:lpstr>NW2610E</vt:lpstr>
      <vt:lpstr>_______________________________________________________________________</vt:lpstr>
    </vt:vector>
  </TitlesOfParts>
  <Company>NDPW</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2019-11-28T12:46:00Z</cp:lastPrinted>
  <dcterms:created xsi:type="dcterms:W3CDTF">2020-10-31T10:44:00Z</dcterms:created>
  <dcterms:modified xsi:type="dcterms:W3CDTF">2020-10-31T10:44:00Z</dcterms:modified>
</cp:coreProperties>
</file>