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26" w:rsidRPr="004F42CD" w:rsidRDefault="00E60026" w:rsidP="00E60026">
      <w:pPr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E60026" w:rsidRPr="004F42CD" w:rsidRDefault="00E60026" w:rsidP="00E60026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E60026" w:rsidRPr="004F42CD" w:rsidRDefault="00E60026" w:rsidP="00E60026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E60026" w:rsidRPr="004F42CD" w:rsidRDefault="00E60026" w:rsidP="00E60026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E60026" w:rsidRPr="004F42CD" w:rsidRDefault="00E60026" w:rsidP="00E60026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E60026" w:rsidRDefault="00E60026" w:rsidP="00E600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026" w:rsidRDefault="00E60026" w:rsidP="00E600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73B1A" w:rsidRPr="00E60026" w:rsidRDefault="00773B1A" w:rsidP="00E600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0026">
        <w:rPr>
          <w:rFonts w:ascii="Arial" w:hAnsi="Arial" w:cs="Arial"/>
          <w:b/>
          <w:sz w:val="24"/>
          <w:szCs w:val="24"/>
        </w:rPr>
        <w:t>NATIONAL ASSEMBLY</w:t>
      </w:r>
    </w:p>
    <w:p w:rsidR="00773B1A" w:rsidRPr="00E60026" w:rsidRDefault="00773B1A" w:rsidP="00E600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0026">
        <w:rPr>
          <w:rFonts w:ascii="Arial" w:hAnsi="Arial" w:cs="Arial"/>
          <w:b/>
          <w:sz w:val="24"/>
          <w:szCs w:val="24"/>
        </w:rPr>
        <w:t>QUESTION FOR A WRITTEN REPLY</w:t>
      </w:r>
    </w:p>
    <w:p w:rsidR="00773B1A" w:rsidRPr="00E60026" w:rsidRDefault="00773B1A" w:rsidP="00E600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0026">
        <w:rPr>
          <w:rFonts w:ascii="Arial" w:hAnsi="Arial" w:cs="Arial"/>
          <w:b/>
          <w:sz w:val="24"/>
          <w:szCs w:val="24"/>
        </w:rPr>
        <w:t>QUESTION NUMBER: PQ 2037 (NO. 2250E)</w:t>
      </w:r>
    </w:p>
    <w:p w:rsidR="00773B1A" w:rsidRPr="00E60026" w:rsidRDefault="00773B1A" w:rsidP="00E600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0026">
        <w:rPr>
          <w:rFonts w:ascii="Arial" w:hAnsi="Arial" w:cs="Arial"/>
          <w:b/>
          <w:sz w:val="24"/>
          <w:szCs w:val="24"/>
        </w:rPr>
        <w:t>DATE OF PUBLICATION: 27 MAY 2022</w:t>
      </w:r>
    </w:p>
    <w:p w:rsidR="00773B1A" w:rsidRPr="0033258E" w:rsidRDefault="00773B1A" w:rsidP="00773B1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73B1A" w:rsidRDefault="00773B1A" w:rsidP="00773B1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3258E">
        <w:rPr>
          <w:rFonts w:ascii="Arial" w:hAnsi="Arial" w:cs="Arial"/>
          <w:b/>
          <w:sz w:val="28"/>
          <w:szCs w:val="28"/>
        </w:rPr>
        <w:t>PQ</w:t>
      </w:r>
      <w:r>
        <w:rPr>
          <w:rFonts w:ascii="Arial" w:hAnsi="Arial" w:cs="Arial"/>
          <w:b/>
          <w:sz w:val="28"/>
          <w:szCs w:val="28"/>
        </w:rPr>
        <w:t xml:space="preserve"> 2037. Mr. B.N. Herron (Good) to ask the Minister of Human Settlements:</w:t>
      </w:r>
    </w:p>
    <w:p w:rsidR="00773B1A" w:rsidRPr="00761649" w:rsidRDefault="00773B1A" w:rsidP="00773B1A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regard to her department’s policy review and proposed new Human Settlements Code, (a) on what date was the first </w:t>
      </w:r>
      <w:r w:rsidRPr="00761649">
        <w:rPr>
          <w:rFonts w:ascii="Arial" w:hAnsi="Arial" w:cs="Arial"/>
          <w:color w:val="000000" w:themeColor="text1"/>
          <w:sz w:val="28"/>
          <w:szCs w:val="28"/>
        </w:rPr>
        <w:t>Policy and Legal Expert Team (POLERT) successfully established and (b) what were the terms of office in the specified initiative;</w:t>
      </w:r>
    </w:p>
    <w:p w:rsidR="00773B1A" w:rsidRDefault="00773B1A" w:rsidP="00773B1A">
      <w:pPr>
        <w:pStyle w:val="ListParagraph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the POLERT’s terms of reference;</w:t>
      </w:r>
    </w:p>
    <w:p w:rsidR="00773B1A" w:rsidRPr="0033258E" w:rsidRDefault="00773B1A" w:rsidP="00773B1A">
      <w:pPr>
        <w:pStyle w:val="ListParagrap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outcome of the POLERT’s work;</w:t>
      </w:r>
    </w:p>
    <w:p w:rsidR="00773B1A" w:rsidRPr="0033258E" w:rsidRDefault="00773B1A" w:rsidP="00773B1A">
      <w:pPr>
        <w:pStyle w:val="ListParagrap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total cost of the POLERT;</w:t>
      </w:r>
    </w:p>
    <w:p w:rsidR="00773B1A" w:rsidRPr="0033258E" w:rsidRDefault="00773B1A" w:rsidP="00773B1A">
      <w:pPr>
        <w:pStyle w:val="ListParagrap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numPr>
          <w:ilvl w:val="0"/>
          <w:numId w:val="1"/>
        </w:numPr>
        <w:spacing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whether</w:t>
      </w:r>
      <w:proofErr w:type="gramEnd"/>
      <w:r>
        <w:rPr>
          <w:rFonts w:ascii="Arial" w:hAnsi="Arial" w:cs="Arial"/>
          <w:sz w:val="28"/>
          <w:szCs w:val="28"/>
        </w:rPr>
        <w:t xml:space="preserve"> the POLERT has been terminated due to term limits; if not, what is the position in this regard; if so, (a) will there be a replacement and (b) what will the goals of that initiative be?</w:t>
      </w:r>
    </w:p>
    <w:p w:rsidR="00773B1A" w:rsidRPr="0033258E" w:rsidRDefault="00773B1A" w:rsidP="00773B1A">
      <w:pPr>
        <w:pStyle w:val="ListParagrap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Pr="0033258E">
        <w:rPr>
          <w:rFonts w:ascii="Arial" w:hAnsi="Arial" w:cs="Arial"/>
          <w:sz w:val="28"/>
          <w:szCs w:val="28"/>
        </w:rPr>
        <w:t>NW2250E</w:t>
      </w:r>
    </w:p>
    <w:p w:rsidR="00773B1A" w:rsidRDefault="00773B1A" w:rsidP="00773B1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Reply:</w:t>
      </w:r>
    </w:p>
    <w:p w:rsidR="00773B1A" w:rsidRDefault="00773B1A" w:rsidP="00BA78F0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773B1A">
        <w:rPr>
          <w:rFonts w:ascii="Arial" w:hAnsi="Arial" w:cs="Arial"/>
          <w:sz w:val="28"/>
          <w:szCs w:val="28"/>
        </w:rPr>
        <w:t>(a) On the 27</w:t>
      </w:r>
      <w:r w:rsidRPr="00773B1A">
        <w:rPr>
          <w:rFonts w:ascii="Arial" w:hAnsi="Arial" w:cs="Arial"/>
          <w:sz w:val="28"/>
          <w:szCs w:val="28"/>
          <w:vertAlign w:val="superscript"/>
        </w:rPr>
        <w:t>th</w:t>
      </w:r>
      <w:r w:rsidRPr="00773B1A">
        <w:rPr>
          <w:rFonts w:ascii="Arial" w:hAnsi="Arial" w:cs="Arial"/>
          <w:sz w:val="28"/>
          <w:szCs w:val="28"/>
        </w:rPr>
        <w:t xml:space="preserve"> of October 2018, the Department </w:t>
      </w:r>
      <w:r>
        <w:rPr>
          <w:rFonts w:ascii="Arial" w:hAnsi="Arial" w:cs="Arial"/>
          <w:sz w:val="28"/>
          <w:szCs w:val="28"/>
        </w:rPr>
        <w:t xml:space="preserve">of Human Settlements </w:t>
      </w:r>
      <w:r w:rsidRPr="00773B1A">
        <w:rPr>
          <w:rFonts w:ascii="Arial" w:hAnsi="Arial" w:cs="Arial"/>
          <w:sz w:val="28"/>
          <w:szCs w:val="28"/>
        </w:rPr>
        <w:t>appointed twenty-seven (27) persons as members of  POLERT for a period of two (2), 13  Legal Experts, and 14  Policy Experts</w:t>
      </w:r>
      <w:r>
        <w:rPr>
          <w:rFonts w:ascii="Arial" w:hAnsi="Arial" w:cs="Arial"/>
          <w:sz w:val="28"/>
          <w:szCs w:val="28"/>
        </w:rPr>
        <w:t>.</w:t>
      </w:r>
    </w:p>
    <w:p w:rsidR="00773B1A" w:rsidRPr="00773B1A" w:rsidRDefault="00773B1A" w:rsidP="00BA78F0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terms of reference for POLERT </w:t>
      </w:r>
      <w:r w:rsidRPr="00773B1A">
        <w:rPr>
          <w:rFonts w:ascii="Arial" w:hAnsi="Arial" w:cs="Arial"/>
          <w:sz w:val="28"/>
          <w:szCs w:val="28"/>
        </w:rPr>
        <w:t xml:space="preserve">were to assist the Department with, </w:t>
      </w:r>
      <w:r w:rsidRPr="00773B1A">
        <w:rPr>
          <w:rFonts w:ascii="Arial" w:hAnsi="Arial" w:cs="Arial"/>
          <w:i/>
          <w:sz w:val="28"/>
          <w:szCs w:val="28"/>
        </w:rPr>
        <w:t>inter alia</w:t>
      </w:r>
      <w:r w:rsidRPr="00773B1A">
        <w:rPr>
          <w:rFonts w:ascii="Arial" w:hAnsi="Arial" w:cs="Arial"/>
          <w:sz w:val="28"/>
          <w:szCs w:val="28"/>
        </w:rPr>
        <w:t>, the following:</w:t>
      </w:r>
    </w:p>
    <w:p w:rsidR="00773B1A" w:rsidRDefault="00773B1A" w:rsidP="00773B1A">
      <w:pPr>
        <w:pStyle w:val="ListParagraph"/>
        <w:numPr>
          <w:ilvl w:val="0"/>
          <w:numId w:val="3"/>
        </w:numPr>
        <w:spacing w:line="360" w:lineRule="auto"/>
        <w:ind w:left="1418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review the housing and human settlements macro policies such as the White Paper Housing, 1994, the Comprehensive Plan for the Development of Sustainable Human Settlements, 2004 (otherwise known as the ‘</w:t>
      </w:r>
      <w:r>
        <w:rPr>
          <w:rFonts w:ascii="Arial" w:hAnsi="Arial" w:cs="Arial"/>
          <w:i/>
          <w:sz w:val="28"/>
          <w:szCs w:val="28"/>
        </w:rPr>
        <w:t>Breaking New Ground’ [BNG]</w:t>
      </w:r>
      <w:r>
        <w:rPr>
          <w:rFonts w:ascii="Arial" w:hAnsi="Arial" w:cs="Arial"/>
          <w:sz w:val="28"/>
          <w:szCs w:val="28"/>
        </w:rPr>
        <w:t>, including with International Treaties and Commitments such</w:t>
      </w:r>
      <w:r w:rsidR="00A245E9">
        <w:rPr>
          <w:rFonts w:ascii="Arial" w:hAnsi="Arial" w:cs="Arial"/>
          <w:sz w:val="28"/>
          <w:szCs w:val="28"/>
        </w:rPr>
        <w:t xml:space="preserve"> as the New Urban Agenda, </w:t>
      </w:r>
      <w:r>
        <w:rPr>
          <w:rFonts w:ascii="Arial" w:hAnsi="Arial" w:cs="Arial"/>
          <w:sz w:val="28"/>
          <w:szCs w:val="28"/>
        </w:rPr>
        <w:t>and to further analyse the implications against other approved policies in the human settlements space, and to make recommendations for consideration by the Minister of Human Settlements;</w:t>
      </w:r>
    </w:p>
    <w:p w:rsidR="00773B1A" w:rsidRDefault="00A245E9" w:rsidP="00773B1A">
      <w:pPr>
        <w:pStyle w:val="ListParagraph"/>
        <w:numPr>
          <w:ilvl w:val="0"/>
          <w:numId w:val="3"/>
        </w:numPr>
        <w:spacing w:line="360" w:lineRule="auto"/>
        <w:ind w:left="1418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review the </w:t>
      </w:r>
      <w:r w:rsidR="00773B1A">
        <w:rPr>
          <w:rFonts w:ascii="Arial" w:hAnsi="Arial" w:cs="Arial"/>
          <w:sz w:val="28"/>
          <w:szCs w:val="28"/>
        </w:rPr>
        <w:t xml:space="preserve">housing and human settlements legislation, </w:t>
      </w:r>
      <w:r>
        <w:rPr>
          <w:rFonts w:ascii="Arial" w:hAnsi="Arial" w:cs="Arial"/>
          <w:sz w:val="28"/>
          <w:szCs w:val="28"/>
        </w:rPr>
        <w:t xml:space="preserve">and </w:t>
      </w:r>
      <w:r w:rsidR="00773B1A">
        <w:rPr>
          <w:rFonts w:ascii="Arial" w:hAnsi="Arial" w:cs="Arial"/>
          <w:sz w:val="28"/>
          <w:szCs w:val="28"/>
        </w:rPr>
        <w:t>existing court j</w:t>
      </w:r>
      <w:r>
        <w:rPr>
          <w:rFonts w:ascii="Arial" w:hAnsi="Arial" w:cs="Arial"/>
          <w:sz w:val="28"/>
          <w:szCs w:val="28"/>
        </w:rPr>
        <w:t xml:space="preserve">udgments (jurisprudence), </w:t>
      </w:r>
      <w:r w:rsidR="00773B1A">
        <w:rPr>
          <w:rFonts w:ascii="Arial" w:hAnsi="Arial" w:cs="Arial"/>
          <w:sz w:val="28"/>
          <w:szCs w:val="28"/>
        </w:rPr>
        <w:t xml:space="preserve">with a view to </w:t>
      </w:r>
      <w:r>
        <w:rPr>
          <w:rFonts w:ascii="Arial" w:hAnsi="Arial" w:cs="Arial"/>
          <w:sz w:val="28"/>
          <w:szCs w:val="28"/>
        </w:rPr>
        <w:t>analysing</w:t>
      </w:r>
      <w:r w:rsidR="00773B1A">
        <w:rPr>
          <w:rFonts w:ascii="Arial" w:hAnsi="Arial" w:cs="Arial"/>
          <w:sz w:val="28"/>
          <w:szCs w:val="28"/>
        </w:rPr>
        <w:t xml:space="preserve"> the implications thereof and make appropriate recommendations for consideration by the Minister of Human Settlements, and</w:t>
      </w:r>
    </w:p>
    <w:p w:rsidR="00773B1A" w:rsidRDefault="00773B1A" w:rsidP="00773B1A">
      <w:pPr>
        <w:pStyle w:val="ListParagraph"/>
        <w:spacing w:line="360" w:lineRule="auto"/>
        <w:ind w:left="1418"/>
        <w:jc w:val="bot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outcome of the work carried out by POLERT includes, among others: The process of the incremental review of the Draft Housing and Human Settlements White Paper, 2016; Research and literature review, and the development of macro policy fram</w:t>
      </w:r>
      <w:r w:rsidR="00A245E9">
        <w:rPr>
          <w:rFonts w:ascii="Arial" w:hAnsi="Arial" w:cs="Arial"/>
          <w:sz w:val="28"/>
          <w:szCs w:val="28"/>
        </w:rPr>
        <w:t>eworks toward</w:t>
      </w:r>
      <w:r>
        <w:rPr>
          <w:rFonts w:ascii="Arial" w:hAnsi="Arial" w:cs="Arial"/>
          <w:sz w:val="28"/>
          <w:szCs w:val="28"/>
        </w:rPr>
        <w:t xml:space="preserve"> a Policy Foundation for Housing and Human Settlements White Paper, including the development of policy programmes for a new Human Settlements Code in at least four (4) critical themed areas -  Integrated Planning and Residential Development, Informal Settlements Upgrading, Social Housing Interventions, and Affordable Housing. </w:t>
      </w:r>
    </w:p>
    <w:p w:rsidR="00773B1A" w:rsidRDefault="00773B1A" w:rsidP="00773B1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underpinned by a macro policy framework on Human Settlements Land Assembly, Land Release (Site and Service) as well as the Individual Voucher Subsidy Programme, </w:t>
      </w:r>
      <w:r w:rsidR="00A245E9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programme for the removal of asbestos in homes, diagnostic investigation, </w:t>
      </w:r>
      <w:r w:rsidR="00A245E9">
        <w:rPr>
          <w:rFonts w:ascii="Arial" w:hAnsi="Arial" w:cs="Arial"/>
          <w:sz w:val="28"/>
          <w:szCs w:val="28"/>
        </w:rPr>
        <w:t xml:space="preserve">and the </w:t>
      </w:r>
      <w:r>
        <w:rPr>
          <w:rFonts w:ascii="Arial" w:hAnsi="Arial" w:cs="Arial"/>
          <w:sz w:val="28"/>
          <w:szCs w:val="28"/>
        </w:rPr>
        <w:t>empowerment of designated g</w:t>
      </w:r>
      <w:r w:rsidR="00A245E9">
        <w:rPr>
          <w:rFonts w:ascii="Arial" w:hAnsi="Arial" w:cs="Arial"/>
          <w:sz w:val="28"/>
          <w:szCs w:val="28"/>
        </w:rPr>
        <w:t xml:space="preserve">roups. </w:t>
      </w:r>
    </w:p>
    <w:p w:rsidR="00773B1A" w:rsidRDefault="00773B1A" w:rsidP="00773B1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3B1A" w:rsidRDefault="00773B1A" w:rsidP="00773B1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and above the initial assignment, some POLERT members were extensively utilised to formulate a Human Settlements response to the outbreak of the Covid-19 pandemic and the subsequent declaration of the State of Disaster and Lockdown for a sector that was hugely impacted upon, as part of the entire construction industry, by the pandemic.</w:t>
      </w:r>
    </w:p>
    <w:p w:rsidR="00773B1A" w:rsidRDefault="00773B1A" w:rsidP="00773B1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3B1A" w:rsidRPr="00521664" w:rsidRDefault="00773B1A" w:rsidP="00773B1A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initial </w:t>
      </w:r>
      <w:r w:rsidR="00EE23B2">
        <w:rPr>
          <w:rFonts w:ascii="Arial" w:hAnsi="Arial" w:cs="Arial"/>
          <w:sz w:val="28"/>
          <w:szCs w:val="28"/>
        </w:rPr>
        <w:t xml:space="preserve">operational budget that was set aside for POLERT was R4 million for a </w:t>
      </w:r>
      <w:r>
        <w:rPr>
          <w:rFonts w:ascii="Arial" w:hAnsi="Arial" w:cs="Arial"/>
          <w:sz w:val="28"/>
          <w:szCs w:val="28"/>
        </w:rPr>
        <w:t>period of two (2) years</w:t>
      </w:r>
      <w:r w:rsidR="00EE23B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E23B2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amount of R3 530 416, 40 was paid to POLERT members, with an additional amount of R187 520</w:t>
      </w:r>
      <w:proofErr w:type="gramStart"/>
      <w:r>
        <w:rPr>
          <w:rFonts w:ascii="Arial" w:hAnsi="Arial" w:cs="Arial"/>
          <w:sz w:val="28"/>
          <w:szCs w:val="28"/>
        </w:rPr>
        <w:t>,00</w:t>
      </w:r>
      <w:proofErr w:type="gramEnd"/>
      <w:r>
        <w:rPr>
          <w:rFonts w:ascii="Arial" w:hAnsi="Arial" w:cs="Arial"/>
          <w:sz w:val="28"/>
          <w:szCs w:val="28"/>
        </w:rPr>
        <w:t xml:space="preserve"> for traveling costs. In all, a total of R3 717 936</w:t>
      </w:r>
      <w:proofErr w:type="gramStart"/>
      <w:r>
        <w:rPr>
          <w:rFonts w:ascii="Arial" w:hAnsi="Arial" w:cs="Arial"/>
          <w:sz w:val="28"/>
          <w:szCs w:val="28"/>
        </w:rPr>
        <w:t>,40</w:t>
      </w:r>
      <w:proofErr w:type="gramEnd"/>
      <w:r>
        <w:rPr>
          <w:rFonts w:ascii="Arial" w:hAnsi="Arial" w:cs="Arial"/>
          <w:sz w:val="28"/>
          <w:szCs w:val="28"/>
        </w:rPr>
        <w:t xml:space="preserve"> was expended on POLERT.</w:t>
      </w:r>
    </w:p>
    <w:p w:rsidR="00773B1A" w:rsidRDefault="00773B1A" w:rsidP="00773B1A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3B1A" w:rsidRPr="00EE23B2" w:rsidRDefault="00773B1A" w:rsidP="00EE23B2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784642">
        <w:rPr>
          <w:rFonts w:ascii="Arial" w:hAnsi="Arial" w:cs="Arial"/>
          <w:sz w:val="28"/>
          <w:szCs w:val="28"/>
        </w:rPr>
        <w:t xml:space="preserve">Yes, </w:t>
      </w:r>
      <w:r>
        <w:rPr>
          <w:rFonts w:ascii="Arial" w:hAnsi="Arial" w:cs="Arial"/>
          <w:sz w:val="28"/>
          <w:szCs w:val="28"/>
        </w:rPr>
        <w:t>POLERT has been terminated due to term limits</w:t>
      </w:r>
      <w:r w:rsidRPr="00784642">
        <w:rPr>
          <w:rFonts w:ascii="Arial" w:hAnsi="Arial" w:cs="Arial"/>
          <w:sz w:val="28"/>
          <w:szCs w:val="28"/>
        </w:rPr>
        <w:t xml:space="preserve">. The initial contract period was two (2) years, after which an extension for a period of one (1) year was granted until the end of October 2021. Currently, there </w:t>
      </w:r>
      <w:r>
        <w:rPr>
          <w:rFonts w:ascii="Arial" w:hAnsi="Arial" w:cs="Arial"/>
          <w:sz w:val="28"/>
          <w:szCs w:val="28"/>
        </w:rPr>
        <w:t>are</w:t>
      </w:r>
      <w:r w:rsidRPr="00784642">
        <w:rPr>
          <w:rFonts w:ascii="Arial" w:hAnsi="Arial" w:cs="Arial"/>
          <w:sz w:val="28"/>
          <w:szCs w:val="28"/>
        </w:rPr>
        <w:t xml:space="preserve"> no POLERT </w:t>
      </w:r>
      <w:r>
        <w:rPr>
          <w:rFonts w:ascii="Arial" w:hAnsi="Arial" w:cs="Arial"/>
          <w:sz w:val="28"/>
          <w:szCs w:val="28"/>
        </w:rPr>
        <w:t xml:space="preserve">members </w:t>
      </w:r>
      <w:r w:rsidRPr="00784642">
        <w:rPr>
          <w:rFonts w:ascii="Arial" w:hAnsi="Arial" w:cs="Arial"/>
          <w:sz w:val="28"/>
          <w:szCs w:val="28"/>
        </w:rPr>
        <w:t>and there are no contractual appointments under POLERT. (</w:t>
      </w:r>
      <w:r>
        <w:rPr>
          <w:rFonts w:ascii="Arial" w:hAnsi="Arial" w:cs="Arial"/>
          <w:sz w:val="28"/>
          <w:szCs w:val="28"/>
        </w:rPr>
        <w:t xml:space="preserve">a) Yes, there will be a replacement and a procurement process to this effect has commenced (b) the goal will be to conclude the development of a Human Settlements Policy Foundation i.e. the White Paper on Human Settlements as well as the new Human Settlements Code. </w:t>
      </w:r>
    </w:p>
    <w:p w:rsidR="00AF1B34" w:rsidRDefault="00AF1B34">
      <w:bookmarkStart w:id="0" w:name="_GoBack"/>
      <w:bookmarkEnd w:id="0"/>
    </w:p>
    <w:sectPr w:rsidR="00AF1B34" w:rsidSect="00AB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0E7"/>
    <w:multiLevelType w:val="hybridMultilevel"/>
    <w:tmpl w:val="C06EB044"/>
    <w:lvl w:ilvl="0" w:tplc="A5C8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AA9"/>
    <w:multiLevelType w:val="hybridMultilevel"/>
    <w:tmpl w:val="64243616"/>
    <w:lvl w:ilvl="0" w:tplc="4E98B7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04C0"/>
    <w:multiLevelType w:val="hybridMultilevel"/>
    <w:tmpl w:val="9A401F60"/>
    <w:lvl w:ilvl="0" w:tplc="1936A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3B1A"/>
    <w:rsid w:val="00761649"/>
    <w:rsid w:val="00773B1A"/>
    <w:rsid w:val="00774803"/>
    <w:rsid w:val="00A245E9"/>
    <w:rsid w:val="00AB23D2"/>
    <w:rsid w:val="00AF1B34"/>
    <w:rsid w:val="00C5729B"/>
    <w:rsid w:val="00E60026"/>
    <w:rsid w:val="00E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1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2022-07-13T08:03:00Z</dcterms:created>
  <dcterms:modified xsi:type="dcterms:W3CDTF">2022-07-13T08:03:00Z</dcterms:modified>
</cp:coreProperties>
</file>