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90" w:rsidRPr="00357547" w:rsidRDefault="00357547" w:rsidP="00357547">
      <w:pPr>
        <w:tabs>
          <w:tab w:val="left" w:pos="1080"/>
          <w:tab w:val="left" w:pos="1620"/>
          <w:tab w:val="left" w:pos="2340"/>
        </w:tabs>
        <w:spacing w:line="360" w:lineRule="auto"/>
        <w:jc w:val="both"/>
        <w:rPr>
          <w:rFonts w:ascii="Arial" w:hAnsi="Arial" w:cs="Arial"/>
          <w:b/>
          <w:bCs/>
          <w:sz w:val="22"/>
          <w:szCs w:val="22"/>
          <w:lang w:val="en-US"/>
        </w:rPr>
      </w:pPr>
      <w:r w:rsidRPr="00357547">
        <w:rPr>
          <w:rFonts w:ascii="Arial" w:hAnsi="Arial" w:cs="Arial"/>
          <w:b/>
          <w:bCs/>
          <w:sz w:val="22"/>
          <w:szCs w:val="22"/>
          <w:lang w:val="en-US"/>
        </w:rPr>
        <w:t>National Assembly</w:t>
      </w:r>
    </w:p>
    <w:p w:rsidR="00357547" w:rsidRPr="00357547" w:rsidRDefault="00357547" w:rsidP="00357547">
      <w:pPr>
        <w:tabs>
          <w:tab w:val="left" w:pos="1080"/>
          <w:tab w:val="left" w:pos="1620"/>
          <w:tab w:val="left" w:pos="2340"/>
        </w:tabs>
        <w:spacing w:line="360" w:lineRule="auto"/>
        <w:jc w:val="both"/>
        <w:rPr>
          <w:rFonts w:ascii="Arial" w:hAnsi="Arial" w:cs="Arial"/>
          <w:b/>
          <w:bCs/>
          <w:sz w:val="22"/>
          <w:szCs w:val="22"/>
          <w:lang w:val="en-US"/>
        </w:rPr>
      </w:pPr>
    </w:p>
    <w:p w:rsidR="00357547" w:rsidRPr="00357547" w:rsidRDefault="00357547" w:rsidP="00357547">
      <w:pPr>
        <w:tabs>
          <w:tab w:val="left" w:pos="1080"/>
          <w:tab w:val="left" w:pos="1620"/>
          <w:tab w:val="left" w:pos="2340"/>
        </w:tabs>
        <w:spacing w:line="360" w:lineRule="auto"/>
        <w:jc w:val="both"/>
        <w:rPr>
          <w:rFonts w:ascii="Arial" w:hAnsi="Arial" w:cs="Arial"/>
          <w:b/>
          <w:bCs/>
          <w:sz w:val="22"/>
          <w:szCs w:val="22"/>
          <w:lang w:val="en-US"/>
        </w:rPr>
      </w:pPr>
      <w:r w:rsidRPr="00357547">
        <w:rPr>
          <w:rFonts w:ascii="Arial" w:hAnsi="Arial" w:cs="Arial"/>
          <w:b/>
          <w:bCs/>
          <w:sz w:val="22"/>
          <w:szCs w:val="22"/>
          <w:lang w:val="en-US"/>
        </w:rPr>
        <w:t xml:space="preserve">Question </w:t>
      </w:r>
      <w:r>
        <w:rPr>
          <w:rFonts w:ascii="Arial" w:hAnsi="Arial" w:cs="Arial"/>
          <w:b/>
          <w:bCs/>
          <w:sz w:val="22"/>
          <w:szCs w:val="22"/>
          <w:lang w:val="en-US"/>
        </w:rPr>
        <w:t>N</w:t>
      </w:r>
      <w:bookmarkStart w:id="0" w:name="_GoBack"/>
      <w:bookmarkEnd w:id="0"/>
      <w:r w:rsidRPr="00357547">
        <w:rPr>
          <w:rFonts w:ascii="Arial" w:hAnsi="Arial" w:cs="Arial"/>
          <w:b/>
          <w:bCs/>
          <w:sz w:val="22"/>
          <w:szCs w:val="22"/>
          <w:lang w:val="en-US"/>
        </w:rPr>
        <w:t>o:2034</w:t>
      </w:r>
    </w:p>
    <w:p w:rsidR="001E2555" w:rsidRPr="001E2555" w:rsidRDefault="001E2555" w:rsidP="00101001">
      <w:pPr>
        <w:spacing w:before="100" w:beforeAutospacing="1" w:after="100" w:afterAutospacing="1" w:line="276" w:lineRule="auto"/>
        <w:ind w:left="720" w:hanging="720"/>
        <w:jc w:val="both"/>
        <w:outlineLvl w:val="0"/>
        <w:rPr>
          <w:rFonts w:ascii="Arial" w:hAnsi="Arial" w:cs="Arial"/>
          <w:sz w:val="22"/>
          <w:szCs w:val="22"/>
        </w:rPr>
      </w:pPr>
      <w:r w:rsidRPr="001E2555">
        <w:rPr>
          <w:rFonts w:ascii="Arial" w:hAnsi="Arial" w:cs="Arial"/>
          <w:b/>
          <w:sz w:val="22"/>
          <w:szCs w:val="22"/>
        </w:rPr>
        <w:t xml:space="preserve">Mr C H </w:t>
      </w:r>
      <w:proofErr w:type="spellStart"/>
      <w:r w:rsidRPr="001E2555">
        <w:rPr>
          <w:rFonts w:ascii="Arial" w:hAnsi="Arial" w:cs="Arial"/>
          <w:b/>
          <w:sz w:val="22"/>
          <w:szCs w:val="22"/>
        </w:rPr>
        <w:t>H</w:t>
      </w:r>
      <w:proofErr w:type="spellEnd"/>
      <w:r w:rsidRPr="001E2555">
        <w:rPr>
          <w:rFonts w:ascii="Arial" w:hAnsi="Arial" w:cs="Arial"/>
          <w:b/>
          <w:sz w:val="22"/>
          <w:szCs w:val="22"/>
        </w:rPr>
        <w:t xml:space="preserve"> </w:t>
      </w:r>
      <w:proofErr w:type="spellStart"/>
      <w:r w:rsidRPr="001E2555">
        <w:rPr>
          <w:rFonts w:ascii="Arial" w:hAnsi="Arial" w:cs="Arial"/>
          <w:b/>
          <w:sz w:val="22"/>
          <w:szCs w:val="22"/>
        </w:rPr>
        <w:t>Hunsinger</w:t>
      </w:r>
      <w:proofErr w:type="spellEnd"/>
      <w:r w:rsidRPr="001E2555">
        <w:rPr>
          <w:rFonts w:ascii="Arial" w:hAnsi="Arial" w:cs="Arial"/>
          <w:b/>
          <w:sz w:val="22"/>
          <w:szCs w:val="22"/>
        </w:rPr>
        <w:t xml:space="preserve"> (DA) to ask the Minister of Transport</w:t>
      </w:r>
      <w:r w:rsidR="005E343F" w:rsidRPr="001E2555">
        <w:rPr>
          <w:rFonts w:ascii="Arial" w:hAnsi="Arial" w:cs="Arial"/>
          <w:b/>
          <w:sz w:val="22"/>
          <w:szCs w:val="22"/>
        </w:rPr>
        <w:fldChar w:fldCharType="begin"/>
      </w:r>
      <w:r w:rsidRPr="001E2555">
        <w:rPr>
          <w:rFonts w:ascii="Arial" w:hAnsi="Arial" w:cs="Arial"/>
          <w:sz w:val="22"/>
          <w:szCs w:val="22"/>
        </w:rPr>
        <w:instrText xml:space="preserve"> XE "</w:instrText>
      </w:r>
      <w:r w:rsidRPr="001E2555">
        <w:rPr>
          <w:rFonts w:ascii="Arial" w:hAnsi="Arial" w:cs="Arial"/>
          <w:b/>
          <w:sz w:val="22"/>
          <w:szCs w:val="22"/>
        </w:rPr>
        <w:instrText>Transport</w:instrText>
      </w:r>
      <w:r w:rsidRPr="001E2555">
        <w:rPr>
          <w:rFonts w:ascii="Arial" w:hAnsi="Arial" w:cs="Arial"/>
          <w:sz w:val="22"/>
          <w:szCs w:val="22"/>
        </w:rPr>
        <w:instrText xml:space="preserve">" </w:instrText>
      </w:r>
      <w:r w:rsidR="005E343F" w:rsidRPr="001E2555">
        <w:rPr>
          <w:rFonts w:ascii="Arial" w:hAnsi="Arial" w:cs="Arial"/>
          <w:b/>
          <w:sz w:val="22"/>
          <w:szCs w:val="22"/>
        </w:rPr>
        <w:fldChar w:fldCharType="end"/>
      </w:r>
      <w:r w:rsidRPr="001E2555">
        <w:rPr>
          <w:rFonts w:ascii="Arial" w:hAnsi="Arial" w:cs="Arial"/>
          <w:b/>
          <w:sz w:val="22"/>
          <w:szCs w:val="22"/>
        </w:rPr>
        <w:t>:</w:t>
      </w:r>
    </w:p>
    <w:p w:rsidR="001E2555" w:rsidRDefault="001E2555" w:rsidP="00101001">
      <w:pPr>
        <w:numPr>
          <w:ilvl w:val="0"/>
          <w:numId w:val="19"/>
        </w:numPr>
        <w:spacing w:before="100" w:beforeAutospacing="1" w:after="100" w:afterAutospacing="1" w:line="276" w:lineRule="auto"/>
        <w:jc w:val="both"/>
        <w:outlineLvl w:val="0"/>
        <w:rPr>
          <w:rFonts w:ascii="Arial" w:hAnsi="Arial" w:cs="Arial"/>
          <w:sz w:val="22"/>
          <w:szCs w:val="22"/>
        </w:rPr>
      </w:pPr>
      <w:r w:rsidRPr="003645C7">
        <w:rPr>
          <w:rFonts w:ascii="Arial" w:hAnsi="Arial" w:cs="Arial"/>
          <w:sz w:val="22"/>
          <w:szCs w:val="22"/>
        </w:rPr>
        <w:t>W</w:t>
      </w:r>
      <w:r w:rsidRPr="001E2555">
        <w:rPr>
          <w:rFonts w:ascii="Arial" w:hAnsi="Arial" w:cs="Arial"/>
          <w:sz w:val="22"/>
          <w:szCs w:val="22"/>
        </w:rPr>
        <w:t xml:space="preserve">ith reference to the Public Transport Network Grant, (a) what exactly is the grant money for, (b) is there a contract with his department for the grants, (c) what proportion of the grants are allocated to capital expenditure </w:t>
      </w:r>
      <w:r w:rsidRPr="003645C7">
        <w:rPr>
          <w:rFonts w:ascii="Arial" w:hAnsi="Arial" w:cs="Arial"/>
          <w:sz w:val="22"/>
          <w:szCs w:val="22"/>
        </w:rPr>
        <w:t>and (d) what is the total breakdown of all capital expenditure for each of the five phases up to and including completion;</w:t>
      </w:r>
    </w:p>
    <w:p w:rsidR="00BA547A" w:rsidRDefault="00BA547A" w:rsidP="00101001">
      <w:pPr>
        <w:spacing w:before="100" w:beforeAutospacing="1" w:after="100" w:afterAutospacing="1" w:line="276" w:lineRule="auto"/>
        <w:ind w:left="1440"/>
        <w:jc w:val="both"/>
        <w:outlineLvl w:val="0"/>
        <w:rPr>
          <w:rFonts w:ascii="Arial" w:hAnsi="Arial" w:cs="Arial"/>
          <w:sz w:val="22"/>
          <w:szCs w:val="22"/>
        </w:rPr>
      </w:pPr>
    </w:p>
    <w:p w:rsidR="00101001" w:rsidRPr="00101001" w:rsidRDefault="00C165B0" w:rsidP="00101001">
      <w:pPr>
        <w:pStyle w:val="ListParagraph"/>
        <w:numPr>
          <w:ilvl w:val="0"/>
          <w:numId w:val="19"/>
        </w:numPr>
        <w:spacing w:before="100" w:beforeAutospacing="1" w:after="100" w:afterAutospacing="1"/>
        <w:jc w:val="both"/>
        <w:outlineLvl w:val="0"/>
        <w:rPr>
          <w:rFonts w:ascii="Arial" w:hAnsi="Arial" w:cs="Arial"/>
          <w:b/>
          <w:bCs/>
          <w:sz w:val="22"/>
          <w:szCs w:val="22"/>
          <w:lang w:val="en-US"/>
        </w:rPr>
      </w:pPr>
      <w:r>
        <w:rPr>
          <w:rFonts w:ascii="Arial" w:hAnsi="Arial" w:cs="Arial"/>
          <w:sz w:val="22"/>
          <w:szCs w:val="22"/>
        </w:rPr>
        <w:t>Wh</w:t>
      </w:r>
      <w:r w:rsidRPr="00C165B0">
        <w:rPr>
          <w:rFonts w:ascii="Arial" w:hAnsi="Arial" w:cs="Arial"/>
          <w:sz w:val="22"/>
          <w:szCs w:val="22"/>
        </w:rPr>
        <w:t>at was the exact (a) operating costs, (b) fare income and (c) council funding for each specific cost including operational in the (</w:t>
      </w:r>
      <w:proofErr w:type="spellStart"/>
      <w:r w:rsidRPr="00C165B0">
        <w:rPr>
          <w:rFonts w:ascii="Arial" w:hAnsi="Arial" w:cs="Arial"/>
          <w:sz w:val="22"/>
          <w:szCs w:val="22"/>
        </w:rPr>
        <w:t>i</w:t>
      </w:r>
      <w:proofErr w:type="spellEnd"/>
      <w:r w:rsidRPr="00C165B0">
        <w:rPr>
          <w:rFonts w:ascii="Arial" w:hAnsi="Arial" w:cs="Arial"/>
          <w:sz w:val="22"/>
          <w:szCs w:val="22"/>
        </w:rPr>
        <w:t>) 2016-17, (ii) 2017-18, (iii) 2018-19 and (iv) 2019-20 financial years?</w:t>
      </w:r>
      <w:r w:rsidRPr="00C165B0">
        <w:rPr>
          <w:rFonts w:ascii="Arial" w:hAnsi="Arial" w:cs="Arial"/>
          <w:sz w:val="22"/>
          <w:szCs w:val="22"/>
        </w:rPr>
        <w:tab/>
      </w:r>
      <w:r w:rsidRPr="00C165B0">
        <w:rPr>
          <w:rFonts w:ascii="Arial" w:hAnsi="Arial" w:cs="Arial"/>
          <w:sz w:val="22"/>
          <w:szCs w:val="22"/>
        </w:rPr>
        <w:tab/>
      </w:r>
      <w:r w:rsidRPr="00C165B0">
        <w:rPr>
          <w:rFonts w:ascii="Arial" w:hAnsi="Arial" w:cs="Arial"/>
          <w:sz w:val="22"/>
          <w:szCs w:val="22"/>
        </w:rPr>
        <w:tab/>
      </w:r>
      <w:r w:rsidRPr="00C165B0">
        <w:rPr>
          <w:rFonts w:ascii="Arial" w:hAnsi="Arial" w:cs="Arial"/>
          <w:sz w:val="22"/>
          <w:szCs w:val="22"/>
        </w:rPr>
        <w:tab/>
      </w:r>
    </w:p>
    <w:p w:rsidR="00101001" w:rsidRPr="00101001" w:rsidRDefault="00101001" w:rsidP="00101001">
      <w:pPr>
        <w:pStyle w:val="ListParagraph"/>
        <w:rPr>
          <w:rFonts w:ascii="Arial" w:hAnsi="Arial" w:cs="Arial"/>
          <w:sz w:val="22"/>
          <w:szCs w:val="22"/>
        </w:rPr>
      </w:pPr>
    </w:p>
    <w:p w:rsidR="00C165B0" w:rsidRPr="00C165B0" w:rsidRDefault="00C165B0" w:rsidP="00101001">
      <w:pPr>
        <w:pStyle w:val="ListParagraph"/>
        <w:spacing w:before="100" w:beforeAutospacing="1" w:after="100" w:afterAutospacing="1"/>
        <w:ind w:left="7920"/>
        <w:jc w:val="both"/>
        <w:outlineLvl w:val="0"/>
        <w:rPr>
          <w:rFonts w:ascii="Arial" w:hAnsi="Arial" w:cs="Arial"/>
          <w:b/>
          <w:bCs/>
          <w:sz w:val="22"/>
          <w:szCs w:val="22"/>
          <w:lang w:val="en-US"/>
        </w:rPr>
      </w:pPr>
      <w:r w:rsidRPr="00C165B0">
        <w:rPr>
          <w:rFonts w:ascii="Arial" w:hAnsi="Arial" w:cs="Arial"/>
          <w:sz w:val="22"/>
          <w:szCs w:val="22"/>
        </w:rPr>
        <w:t>NW2271E</w:t>
      </w:r>
    </w:p>
    <w:p w:rsidR="00EA22FA" w:rsidRDefault="00EA22FA" w:rsidP="00C165B0">
      <w:pPr>
        <w:spacing w:before="100" w:beforeAutospacing="1" w:after="100" w:afterAutospacing="1"/>
        <w:jc w:val="both"/>
        <w:outlineLvl w:val="0"/>
        <w:rPr>
          <w:rFonts w:ascii="Arial" w:hAnsi="Arial" w:cs="Arial"/>
          <w:sz w:val="22"/>
          <w:szCs w:val="22"/>
        </w:rPr>
      </w:pPr>
    </w:p>
    <w:p w:rsidR="00C16039" w:rsidRDefault="00130F64" w:rsidP="008D7DCD">
      <w:pPr>
        <w:spacing w:before="100" w:beforeAutospacing="1" w:after="100" w:afterAutospacing="1" w:line="276" w:lineRule="auto"/>
        <w:jc w:val="both"/>
        <w:outlineLvl w:val="0"/>
        <w:rPr>
          <w:rFonts w:ascii="Arial" w:hAnsi="Arial" w:cs="Arial"/>
          <w:b/>
          <w:sz w:val="22"/>
          <w:szCs w:val="22"/>
        </w:rPr>
      </w:pPr>
      <w:r>
        <w:rPr>
          <w:rFonts w:ascii="Arial" w:hAnsi="Arial" w:cs="Arial"/>
          <w:b/>
          <w:sz w:val="22"/>
          <w:szCs w:val="22"/>
        </w:rPr>
        <w:t>REPLY</w:t>
      </w:r>
    </w:p>
    <w:p w:rsidR="007536B4" w:rsidRPr="007536B4" w:rsidRDefault="007536B4" w:rsidP="008D7DCD">
      <w:pPr>
        <w:pStyle w:val="ListParagraph"/>
        <w:numPr>
          <w:ilvl w:val="0"/>
          <w:numId w:val="21"/>
        </w:numPr>
        <w:spacing w:before="100" w:beforeAutospacing="1" w:after="100" w:afterAutospacing="1"/>
        <w:ind w:left="1418" w:hanging="709"/>
        <w:jc w:val="both"/>
        <w:outlineLvl w:val="0"/>
        <w:rPr>
          <w:rFonts w:ascii="Arial" w:hAnsi="Arial" w:cs="Arial"/>
          <w:sz w:val="22"/>
          <w:szCs w:val="22"/>
        </w:rPr>
      </w:pPr>
      <w:r>
        <w:rPr>
          <w:rFonts w:ascii="Arial" w:hAnsi="Arial" w:cs="Arial"/>
          <w:sz w:val="22"/>
          <w:szCs w:val="22"/>
        </w:rPr>
        <w:t>Public Transport Network Grant</w:t>
      </w:r>
    </w:p>
    <w:p w:rsidR="001E34B5" w:rsidRDefault="00130F64" w:rsidP="008D7DCD">
      <w:pPr>
        <w:numPr>
          <w:ilvl w:val="0"/>
          <w:numId w:val="20"/>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The P</w:t>
      </w:r>
      <w:r w:rsidR="007536B4">
        <w:rPr>
          <w:rFonts w:ascii="Arial" w:hAnsi="Arial" w:cs="Arial"/>
          <w:sz w:val="22"/>
          <w:szCs w:val="22"/>
        </w:rPr>
        <w:t xml:space="preserve">ublic </w:t>
      </w:r>
      <w:r>
        <w:rPr>
          <w:rFonts w:ascii="Arial" w:hAnsi="Arial" w:cs="Arial"/>
          <w:sz w:val="22"/>
          <w:szCs w:val="22"/>
        </w:rPr>
        <w:t>T</w:t>
      </w:r>
      <w:r w:rsidR="007536B4">
        <w:rPr>
          <w:rFonts w:ascii="Arial" w:hAnsi="Arial" w:cs="Arial"/>
          <w:sz w:val="22"/>
          <w:szCs w:val="22"/>
        </w:rPr>
        <w:t xml:space="preserve">ransport </w:t>
      </w:r>
      <w:r>
        <w:rPr>
          <w:rFonts w:ascii="Arial" w:hAnsi="Arial" w:cs="Arial"/>
          <w:sz w:val="22"/>
          <w:szCs w:val="22"/>
        </w:rPr>
        <w:t>N</w:t>
      </w:r>
      <w:r w:rsidR="007536B4">
        <w:rPr>
          <w:rFonts w:ascii="Arial" w:hAnsi="Arial" w:cs="Arial"/>
          <w:sz w:val="22"/>
          <w:szCs w:val="22"/>
        </w:rPr>
        <w:t xml:space="preserve">etwork </w:t>
      </w:r>
      <w:r>
        <w:rPr>
          <w:rFonts w:ascii="Arial" w:hAnsi="Arial" w:cs="Arial"/>
          <w:sz w:val="22"/>
          <w:szCs w:val="22"/>
        </w:rPr>
        <w:t>G</w:t>
      </w:r>
      <w:r w:rsidR="007536B4">
        <w:rPr>
          <w:rFonts w:ascii="Arial" w:hAnsi="Arial" w:cs="Arial"/>
          <w:sz w:val="22"/>
          <w:szCs w:val="22"/>
        </w:rPr>
        <w:t>rant (PTNG</w:t>
      </w:r>
      <w:r w:rsidR="00EB3632">
        <w:rPr>
          <w:rFonts w:ascii="Arial" w:hAnsi="Arial" w:cs="Arial"/>
          <w:sz w:val="22"/>
          <w:szCs w:val="22"/>
        </w:rPr>
        <w:t>)</w:t>
      </w:r>
      <w:r>
        <w:rPr>
          <w:rFonts w:ascii="Arial" w:hAnsi="Arial" w:cs="Arial"/>
          <w:sz w:val="22"/>
          <w:szCs w:val="22"/>
        </w:rPr>
        <w:t xml:space="preserve"> is a Division of Revenue Act</w:t>
      </w:r>
      <w:r w:rsidR="00452BCB">
        <w:rPr>
          <w:rFonts w:ascii="Arial" w:hAnsi="Arial" w:cs="Arial"/>
          <w:sz w:val="22"/>
          <w:szCs w:val="22"/>
        </w:rPr>
        <w:t xml:space="preserve"> (</w:t>
      </w:r>
      <w:proofErr w:type="spellStart"/>
      <w:r w:rsidR="00452BCB">
        <w:rPr>
          <w:rFonts w:ascii="Arial" w:hAnsi="Arial" w:cs="Arial"/>
          <w:sz w:val="22"/>
          <w:szCs w:val="22"/>
        </w:rPr>
        <w:t>DoRA</w:t>
      </w:r>
      <w:proofErr w:type="spellEnd"/>
      <w:r w:rsidR="00452BCB">
        <w:rPr>
          <w:rFonts w:ascii="Arial" w:hAnsi="Arial" w:cs="Arial"/>
          <w:sz w:val="22"/>
          <w:szCs w:val="22"/>
        </w:rPr>
        <w:t>)</w:t>
      </w:r>
      <w:r>
        <w:rPr>
          <w:rFonts w:ascii="Arial" w:hAnsi="Arial" w:cs="Arial"/>
          <w:sz w:val="22"/>
          <w:szCs w:val="22"/>
        </w:rPr>
        <w:t xml:space="preserve"> schedule 5B </w:t>
      </w:r>
      <w:r w:rsidR="00467B25">
        <w:rPr>
          <w:rFonts w:ascii="Arial" w:hAnsi="Arial" w:cs="Arial"/>
          <w:sz w:val="22"/>
          <w:szCs w:val="22"/>
        </w:rPr>
        <w:t xml:space="preserve">conditional Grant </w:t>
      </w:r>
      <w:r>
        <w:rPr>
          <w:rFonts w:ascii="Arial" w:hAnsi="Arial" w:cs="Arial"/>
          <w:sz w:val="22"/>
          <w:szCs w:val="22"/>
        </w:rPr>
        <w:t xml:space="preserve">allocation; </w:t>
      </w:r>
    </w:p>
    <w:p w:rsidR="00130F64" w:rsidRDefault="00130F64" w:rsidP="008D7DCD">
      <w:pPr>
        <w:spacing w:before="100" w:beforeAutospacing="1" w:after="100" w:afterAutospacing="1" w:line="276" w:lineRule="auto"/>
        <w:ind w:left="1440"/>
        <w:jc w:val="both"/>
        <w:outlineLvl w:val="0"/>
        <w:rPr>
          <w:rFonts w:ascii="Arial" w:hAnsi="Arial" w:cs="Arial"/>
          <w:sz w:val="22"/>
          <w:szCs w:val="22"/>
        </w:rPr>
      </w:pPr>
      <w:r w:rsidRPr="00130F64">
        <w:rPr>
          <w:rFonts w:ascii="Arial" w:hAnsi="Arial" w:cs="Arial"/>
          <w:sz w:val="22"/>
          <w:szCs w:val="22"/>
        </w:rPr>
        <w:t>To provide funding for accelerated construction and improvement of public and non-motorised transport</w:t>
      </w:r>
      <w:r>
        <w:rPr>
          <w:rFonts w:ascii="Arial" w:hAnsi="Arial" w:cs="Arial"/>
          <w:sz w:val="22"/>
          <w:szCs w:val="22"/>
        </w:rPr>
        <w:t xml:space="preserve"> </w:t>
      </w:r>
      <w:r w:rsidRPr="00130F64">
        <w:rPr>
          <w:rFonts w:ascii="Arial" w:hAnsi="Arial" w:cs="Arial"/>
          <w:sz w:val="22"/>
          <w:szCs w:val="22"/>
        </w:rPr>
        <w:t xml:space="preserve">infrastructure that form part of a municipal </w:t>
      </w:r>
      <w:r w:rsidR="00511239">
        <w:rPr>
          <w:rFonts w:ascii="Arial" w:hAnsi="Arial" w:cs="Arial"/>
          <w:sz w:val="22"/>
          <w:szCs w:val="22"/>
        </w:rPr>
        <w:t>I</w:t>
      </w:r>
      <w:r w:rsidRPr="00130F64">
        <w:rPr>
          <w:rFonts w:ascii="Arial" w:hAnsi="Arial" w:cs="Arial"/>
          <w:sz w:val="22"/>
          <w:szCs w:val="22"/>
        </w:rPr>
        <w:t xml:space="preserve">ntegrated </w:t>
      </w:r>
      <w:r w:rsidR="00511239">
        <w:rPr>
          <w:rFonts w:ascii="Arial" w:hAnsi="Arial" w:cs="Arial"/>
          <w:sz w:val="22"/>
          <w:szCs w:val="22"/>
        </w:rPr>
        <w:t>P</w:t>
      </w:r>
      <w:r w:rsidRPr="00130F64">
        <w:rPr>
          <w:rFonts w:ascii="Arial" w:hAnsi="Arial" w:cs="Arial"/>
          <w:sz w:val="22"/>
          <w:szCs w:val="22"/>
        </w:rPr>
        <w:t xml:space="preserve">ublic </w:t>
      </w:r>
      <w:r w:rsidR="00511239">
        <w:rPr>
          <w:rFonts w:ascii="Arial" w:hAnsi="Arial" w:cs="Arial"/>
          <w:sz w:val="22"/>
          <w:szCs w:val="22"/>
        </w:rPr>
        <w:t>T</w:t>
      </w:r>
      <w:r w:rsidRPr="00130F64">
        <w:rPr>
          <w:rFonts w:ascii="Arial" w:hAnsi="Arial" w:cs="Arial"/>
          <w:sz w:val="22"/>
          <w:szCs w:val="22"/>
        </w:rPr>
        <w:t xml:space="preserve">ransport </w:t>
      </w:r>
      <w:r w:rsidR="00511239">
        <w:rPr>
          <w:rFonts w:ascii="Arial" w:hAnsi="Arial" w:cs="Arial"/>
          <w:sz w:val="22"/>
          <w:szCs w:val="22"/>
        </w:rPr>
        <w:t>N</w:t>
      </w:r>
      <w:r w:rsidRPr="00130F64">
        <w:rPr>
          <w:rFonts w:ascii="Arial" w:hAnsi="Arial" w:cs="Arial"/>
          <w:sz w:val="22"/>
          <w:szCs w:val="22"/>
        </w:rPr>
        <w:t>etwork (IPTN) and to support the</w:t>
      </w:r>
      <w:r>
        <w:rPr>
          <w:rFonts w:ascii="Arial" w:hAnsi="Arial" w:cs="Arial"/>
          <w:sz w:val="22"/>
          <w:szCs w:val="22"/>
        </w:rPr>
        <w:t xml:space="preserve"> </w:t>
      </w:r>
      <w:r w:rsidRPr="00130F64">
        <w:rPr>
          <w:rFonts w:ascii="Arial" w:hAnsi="Arial" w:cs="Arial"/>
          <w:sz w:val="22"/>
          <w:szCs w:val="22"/>
        </w:rPr>
        <w:t>planning, regulation, control, management and operations of fiscally and financially sustainable municipal</w:t>
      </w:r>
      <w:r>
        <w:rPr>
          <w:rFonts w:ascii="Arial" w:hAnsi="Arial" w:cs="Arial"/>
          <w:sz w:val="22"/>
          <w:szCs w:val="22"/>
        </w:rPr>
        <w:t xml:space="preserve"> </w:t>
      </w:r>
      <w:r w:rsidRPr="00130F64">
        <w:rPr>
          <w:rFonts w:ascii="Arial" w:hAnsi="Arial" w:cs="Arial"/>
          <w:sz w:val="22"/>
          <w:szCs w:val="22"/>
        </w:rPr>
        <w:t>public transport network services</w:t>
      </w:r>
      <w:r>
        <w:rPr>
          <w:rFonts w:ascii="Arial" w:hAnsi="Arial" w:cs="Arial"/>
          <w:sz w:val="22"/>
          <w:szCs w:val="22"/>
        </w:rPr>
        <w:t>.</w:t>
      </w:r>
    </w:p>
    <w:p w:rsidR="00ED12D6" w:rsidRDefault="00130F64" w:rsidP="008D7DCD">
      <w:pPr>
        <w:numPr>
          <w:ilvl w:val="0"/>
          <w:numId w:val="20"/>
        </w:numPr>
        <w:spacing w:before="100" w:beforeAutospacing="1" w:after="100" w:afterAutospacing="1" w:line="276" w:lineRule="auto"/>
        <w:jc w:val="both"/>
        <w:outlineLvl w:val="0"/>
        <w:rPr>
          <w:rFonts w:ascii="Arial" w:hAnsi="Arial" w:cs="Arial"/>
          <w:sz w:val="22"/>
          <w:szCs w:val="22"/>
        </w:rPr>
      </w:pPr>
      <w:r w:rsidRPr="00130F64">
        <w:rPr>
          <w:rFonts w:ascii="Arial" w:hAnsi="Arial" w:cs="Arial"/>
          <w:sz w:val="22"/>
          <w:szCs w:val="22"/>
        </w:rPr>
        <w:t xml:space="preserve">The PTNG allocations are </w:t>
      </w:r>
      <w:r w:rsidR="00511239">
        <w:rPr>
          <w:rFonts w:ascii="Arial" w:hAnsi="Arial" w:cs="Arial"/>
          <w:sz w:val="22"/>
          <w:szCs w:val="22"/>
        </w:rPr>
        <w:t xml:space="preserve">subsequently </w:t>
      </w:r>
      <w:r w:rsidRPr="00130F64">
        <w:rPr>
          <w:rFonts w:ascii="Arial" w:hAnsi="Arial" w:cs="Arial"/>
          <w:sz w:val="22"/>
          <w:szCs w:val="22"/>
        </w:rPr>
        <w:t xml:space="preserve">appropriated to municipalities that submit business plans </w:t>
      </w:r>
      <w:r w:rsidR="003B6D98">
        <w:rPr>
          <w:rFonts w:ascii="Arial" w:hAnsi="Arial" w:cs="Arial"/>
          <w:sz w:val="22"/>
          <w:szCs w:val="22"/>
        </w:rPr>
        <w:t xml:space="preserve">with associated expenditure estimates per Medium Term Expenditure </w:t>
      </w:r>
      <w:r w:rsidR="002C5C9E">
        <w:rPr>
          <w:rFonts w:ascii="Arial" w:hAnsi="Arial" w:cs="Arial"/>
          <w:sz w:val="22"/>
          <w:szCs w:val="22"/>
        </w:rPr>
        <w:t xml:space="preserve">Framework </w:t>
      </w:r>
      <w:r w:rsidR="003B6D98">
        <w:rPr>
          <w:rFonts w:ascii="Arial" w:hAnsi="Arial" w:cs="Arial"/>
          <w:sz w:val="22"/>
          <w:szCs w:val="22"/>
        </w:rPr>
        <w:t xml:space="preserve">(MTEF) period, </w:t>
      </w:r>
      <w:r w:rsidR="00842C70">
        <w:rPr>
          <w:rFonts w:ascii="Arial" w:hAnsi="Arial" w:cs="Arial"/>
          <w:sz w:val="22"/>
          <w:szCs w:val="22"/>
        </w:rPr>
        <w:t>wherein the 1</w:t>
      </w:r>
      <w:r w:rsidR="00842C70" w:rsidRPr="00842C70">
        <w:rPr>
          <w:rFonts w:ascii="Arial" w:hAnsi="Arial" w:cs="Arial"/>
          <w:sz w:val="22"/>
          <w:szCs w:val="22"/>
          <w:vertAlign w:val="superscript"/>
        </w:rPr>
        <w:t>st</w:t>
      </w:r>
      <w:r w:rsidR="00842C70">
        <w:rPr>
          <w:rFonts w:ascii="Arial" w:hAnsi="Arial" w:cs="Arial"/>
          <w:sz w:val="22"/>
          <w:szCs w:val="22"/>
        </w:rPr>
        <w:t xml:space="preserve"> year of the MTEF </w:t>
      </w:r>
      <w:r w:rsidR="0085153A">
        <w:rPr>
          <w:rFonts w:ascii="Arial" w:hAnsi="Arial" w:cs="Arial"/>
          <w:sz w:val="22"/>
          <w:szCs w:val="22"/>
        </w:rPr>
        <w:t>reflects</w:t>
      </w:r>
      <w:r w:rsidR="00842C70">
        <w:rPr>
          <w:rFonts w:ascii="Arial" w:hAnsi="Arial" w:cs="Arial"/>
          <w:sz w:val="22"/>
          <w:szCs w:val="22"/>
        </w:rPr>
        <w:t xml:space="preserve"> an actual appropriation whilst the 2 outer years are indicative allocations. </w:t>
      </w:r>
    </w:p>
    <w:p w:rsidR="00C90F59" w:rsidRDefault="00C90F59" w:rsidP="008D7DCD">
      <w:pPr>
        <w:spacing w:before="100" w:beforeAutospacing="1" w:after="100" w:afterAutospacing="1" w:line="276" w:lineRule="auto"/>
        <w:ind w:left="1440"/>
        <w:jc w:val="both"/>
        <w:outlineLvl w:val="0"/>
        <w:rPr>
          <w:rFonts w:ascii="Arial" w:hAnsi="Arial" w:cs="Arial"/>
          <w:sz w:val="22"/>
          <w:szCs w:val="22"/>
        </w:rPr>
      </w:pPr>
      <w:r>
        <w:rPr>
          <w:rFonts w:ascii="Arial" w:hAnsi="Arial" w:cs="Arial"/>
          <w:sz w:val="22"/>
          <w:szCs w:val="22"/>
        </w:rPr>
        <w:t xml:space="preserve">The </w:t>
      </w:r>
      <w:r w:rsidR="00141601">
        <w:rPr>
          <w:rFonts w:ascii="Arial" w:hAnsi="Arial" w:cs="Arial"/>
          <w:sz w:val="22"/>
          <w:szCs w:val="22"/>
        </w:rPr>
        <w:t xml:space="preserve">allocation is governed by the Public Transport Network Grant Framework that is published with the annual Division of Revenue Act. </w:t>
      </w:r>
    </w:p>
    <w:p w:rsidR="00F20214" w:rsidRDefault="00F22193" w:rsidP="008D7DCD">
      <w:pPr>
        <w:numPr>
          <w:ilvl w:val="0"/>
          <w:numId w:val="20"/>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t>I</w:t>
      </w:r>
      <w:r w:rsidR="00511239">
        <w:rPr>
          <w:rFonts w:ascii="Arial" w:hAnsi="Arial" w:cs="Arial"/>
          <w:sz w:val="22"/>
          <w:szCs w:val="22"/>
        </w:rPr>
        <w:t xml:space="preserve">nfrastructure </w:t>
      </w:r>
      <w:r w:rsidR="001B74EA">
        <w:rPr>
          <w:rFonts w:ascii="Arial" w:hAnsi="Arial" w:cs="Arial"/>
          <w:sz w:val="22"/>
          <w:szCs w:val="22"/>
        </w:rPr>
        <w:t>allocations</w:t>
      </w:r>
      <w:r>
        <w:rPr>
          <w:rFonts w:ascii="Arial" w:hAnsi="Arial" w:cs="Arial"/>
          <w:sz w:val="22"/>
          <w:szCs w:val="22"/>
        </w:rPr>
        <w:t>:</w:t>
      </w:r>
      <w:r w:rsidR="00511239">
        <w:rPr>
          <w:rFonts w:ascii="Arial" w:hAnsi="Arial" w:cs="Arial"/>
          <w:sz w:val="22"/>
          <w:szCs w:val="22"/>
        </w:rPr>
        <w:t xml:space="preserve"> </w:t>
      </w:r>
    </w:p>
    <w:tbl>
      <w:tblPr>
        <w:tblW w:w="8716" w:type="dxa"/>
        <w:tblInd w:w="817" w:type="dxa"/>
        <w:tblLook w:val="04A0"/>
      </w:tblPr>
      <w:tblGrid>
        <w:gridCol w:w="2516"/>
        <w:gridCol w:w="1240"/>
        <w:gridCol w:w="1240"/>
        <w:gridCol w:w="1240"/>
        <w:gridCol w:w="1240"/>
        <w:gridCol w:w="1240"/>
      </w:tblGrid>
      <w:tr w:rsidR="00F20214" w:rsidRPr="009A534A" w:rsidTr="00713DEA">
        <w:trPr>
          <w:trHeight w:val="320"/>
        </w:trPr>
        <w:tc>
          <w:tcPr>
            <w:tcW w:w="2516"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rsidR="00F20214" w:rsidRPr="009A534A" w:rsidRDefault="00F20214" w:rsidP="003C5E78">
            <w:pPr>
              <w:rPr>
                <w:rFonts w:ascii="Arial" w:hAnsi="Arial" w:cs="Arial"/>
                <w:b/>
                <w:bCs/>
                <w:color w:val="FFFFFF"/>
                <w:sz w:val="22"/>
                <w:szCs w:val="22"/>
                <w:lang w:val="en-ZA" w:eastAsia="en-GB"/>
              </w:rPr>
            </w:pPr>
            <w:r w:rsidRPr="009A534A">
              <w:rPr>
                <w:rFonts w:ascii="Arial" w:hAnsi="Arial" w:cs="Arial"/>
                <w:b/>
                <w:bCs/>
                <w:color w:val="FFFFFF"/>
                <w:sz w:val="22"/>
                <w:szCs w:val="22"/>
                <w:lang w:val="en-ZA" w:eastAsia="en-GB"/>
              </w:rPr>
              <w:t xml:space="preserve">Items </w:t>
            </w:r>
          </w:p>
        </w:tc>
        <w:tc>
          <w:tcPr>
            <w:tcW w:w="124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rsidR="00F20214" w:rsidRPr="009A534A" w:rsidRDefault="00F20214" w:rsidP="003C5E78">
            <w:pPr>
              <w:jc w:val="center"/>
              <w:rPr>
                <w:rFonts w:ascii="Arial" w:hAnsi="Arial" w:cs="Arial"/>
                <w:b/>
                <w:bCs/>
                <w:color w:val="FFFFFF"/>
                <w:sz w:val="22"/>
                <w:szCs w:val="22"/>
                <w:lang w:val="en-ZA" w:eastAsia="en-GB"/>
              </w:rPr>
            </w:pPr>
            <w:r w:rsidRPr="009A534A">
              <w:rPr>
                <w:rFonts w:ascii="Arial" w:hAnsi="Arial" w:cs="Arial"/>
                <w:b/>
                <w:bCs/>
                <w:color w:val="FFFFFF"/>
                <w:sz w:val="22"/>
                <w:szCs w:val="22"/>
                <w:lang w:val="en-ZA" w:eastAsia="en-GB"/>
              </w:rPr>
              <w:t>2016/17</w:t>
            </w:r>
          </w:p>
        </w:tc>
        <w:tc>
          <w:tcPr>
            <w:tcW w:w="124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rsidR="00F20214" w:rsidRPr="009A534A" w:rsidRDefault="00F20214" w:rsidP="003C5E78">
            <w:pPr>
              <w:jc w:val="center"/>
              <w:rPr>
                <w:rFonts w:ascii="Arial" w:hAnsi="Arial" w:cs="Arial"/>
                <w:b/>
                <w:bCs/>
                <w:color w:val="FFFFFF"/>
                <w:sz w:val="22"/>
                <w:szCs w:val="22"/>
                <w:lang w:val="en-ZA" w:eastAsia="en-GB"/>
              </w:rPr>
            </w:pPr>
            <w:r w:rsidRPr="009A534A">
              <w:rPr>
                <w:rFonts w:ascii="Arial" w:hAnsi="Arial" w:cs="Arial"/>
                <w:b/>
                <w:bCs/>
                <w:color w:val="FFFFFF"/>
                <w:sz w:val="22"/>
                <w:szCs w:val="22"/>
                <w:lang w:val="en-ZA" w:eastAsia="en-GB"/>
              </w:rPr>
              <w:t>2017/18</w:t>
            </w:r>
          </w:p>
        </w:tc>
        <w:tc>
          <w:tcPr>
            <w:tcW w:w="124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rsidR="00F20214" w:rsidRPr="009A534A" w:rsidRDefault="00F20214" w:rsidP="003C5E78">
            <w:pPr>
              <w:jc w:val="center"/>
              <w:rPr>
                <w:rFonts w:ascii="Arial" w:hAnsi="Arial" w:cs="Arial"/>
                <w:b/>
                <w:bCs/>
                <w:color w:val="FFFFFF"/>
                <w:sz w:val="22"/>
                <w:szCs w:val="22"/>
                <w:lang w:val="en-ZA" w:eastAsia="en-GB"/>
              </w:rPr>
            </w:pPr>
            <w:r w:rsidRPr="009A534A">
              <w:rPr>
                <w:rFonts w:ascii="Arial" w:hAnsi="Arial" w:cs="Arial"/>
                <w:b/>
                <w:bCs/>
                <w:color w:val="FFFFFF"/>
                <w:sz w:val="22"/>
                <w:szCs w:val="22"/>
                <w:lang w:val="en-ZA" w:eastAsia="en-GB"/>
              </w:rPr>
              <w:t>2018/19</w:t>
            </w:r>
          </w:p>
        </w:tc>
        <w:tc>
          <w:tcPr>
            <w:tcW w:w="124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rsidR="00F20214" w:rsidRPr="009A534A" w:rsidRDefault="00F20214" w:rsidP="003C5E78">
            <w:pPr>
              <w:jc w:val="center"/>
              <w:rPr>
                <w:rFonts w:ascii="Arial" w:hAnsi="Arial" w:cs="Arial"/>
                <w:b/>
                <w:bCs/>
                <w:color w:val="FFFFFF"/>
                <w:sz w:val="22"/>
                <w:szCs w:val="22"/>
                <w:lang w:val="en-ZA" w:eastAsia="en-GB"/>
              </w:rPr>
            </w:pPr>
            <w:r w:rsidRPr="009A534A">
              <w:rPr>
                <w:rFonts w:ascii="Arial" w:hAnsi="Arial" w:cs="Arial"/>
                <w:b/>
                <w:bCs/>
                <w:color w:val="FFFFFF"/>
                <w:sz w:val="22"/>
                <w:szCs w:val="22"/>
                <w:lang w:val="en-ZA" w:eastAsia="en-GB"/>
              </w:rPr>
              <w:t>2019/20</w:t>
            </w:r>
          </w:p>
        </w:tc>
        <w:tc>
          <w:tcPr>
            <w:tcW w:w="124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rsidR="00F20214" w:rsidRPr="009A534A" w:rsidRDefault="00F20214" w:rsidP="003C5E78">
            <w:pPr>
              <w:jc w:val="center"/>
              <w:rPr>
                <w:rFonts w:ascii="Arial" w:hAnsi="Arial" w:cs="Arial"/>
                <w:b/>
                <w:bCs/>
                <w:color w:val="FFFFFF"/>
                <w:sz w:val="22"/>
                <w:szCs w:val="22"/>
                <w:lang w:val="en-ZA" w:eastAsia="en-GB"/>
              </w:rPr>
            </w:pPr>
            <w:r w:rsidRPr="009A534A">
              <w:rPr>
                <w:rFonts w:ascii="Arial" w:hAnsi="Arial" w:cs="Arial"/>
                <w:b/>
                <w:bCs/>
                <w:color w:val="FFFFFF"/>
                <w:sz w:val="22"/>
                <w:szCs w:val="22"/>
                <w:lang w:val="en-ZA" w:eastAsia="en-GB"/>
              </w:rPr>
              <w:t>2020/21</w:t>
            </w:r>
          </w:p>
        </w:tc>
      </w:tr>
      <w:tr w:rsidR="00F20214" w:rsidRPr="009A534A" w:rsidTr="00713DEA">
        <w:trPr>
          <w:trHeight w:val="320"/>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214" w:rsidRPr="009A534A" w:rsidRDefault="00F20214" w:rsidP="003C5E78">
            <w:pPr>
              <w:rPr>
                <w:rFonts w:ascii="Arial" w:hAnsi="Arial" w:cs="Arial"/>
                <w:color w:val="000000"/>
                <w:sz w:val="22"/>
                <w:szCs w:val="22"/>
                <w:lang w:val="en-ZA" w:eastAsia="en-GB"/>
              </w:rPr>
            </w:pPr>
            <w:r>
              <w:rPr>
                <w:rFonts w:ascii="Arial" w:hAnsi="Arial" w:cs="Arial"/>
                <w:color w:val="000000"/>
                <w:sz w:val="22"/>
                <w:szCs w:val="22"/>
                <w:lang w:val="en-ZA" w:eastAsia="en-GB"/>
              </w:rPr>
              <w:t>Infrastructure component</w:t>
            </w:r>
            <w:r w:rsidR="00912C08">
              <w:rPr>
                <w:rFonts w:ascii="Arial" w:hAnsi="Arial" w:cs="Arial"/>
                <w:color w:val="000000"/>
                <w:sz w:val="22"/>
                <w:szCs w:val="22"/>
                <w:lang w:val="en-ZA" w:eastAsia="en-GB"/>
              </w:rPr>
              <w:t>: Ekurhuleni</w:t>
            </w:r>
            <w:r>
              <w:rPr>
                <w:rFonts w:ascii="Arial" w:hAnsi="Arial" w:cs="Arial"/>
                <w:color w:val="000000"/>
                <w:sz w:val="22"/>
                <w:szCs w:val="22"/>
                <w:lang w:val="en-ZA" w:eastAsia="en-GB"/>
              </w:rPr>
              <w:t xml:space="preserve">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214" w:rsidRPr="009A534A" w:rsidRDefault="00F20214" w:rsidP="003C5E78">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 R</w:t>
            </w:r>
            <w:r w:rsidR="001B58F9">
              <w:rPr>
                <w:rFonts w:ascii="Arial" w:hAnsi="Arial" w:cs="Arial"/>
                <w:color w:val="000000"/>
                <w:sz w:val="22"/>
                <w:szCs w:val="22"/>
                <w:lang w:val="en-ZA" w:eastAsia="en-GB"/>
              </w:rPr>
              <w:t xml:space="preserve"> 450 </w:t>
            </w:r>
            <w:r w:rsidR="00274747">
              <w:rPr>
                <w:rFonts w:ascii="Arial" w:hAnsi="Arial" w:cs="Arial"/>
                <w:color w:val="000000"/>
                <w:sz w:val="22"/>
                <w:szCs w:val="22"/>
                <w:lang w:val="en-ZA" w:eastAsia="en-GB"/>
              </w:rPr>
              <w:t>m</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214" w:rsidRPr="009A534A" w:rsidRDefault="00F20214" w:rsidP="003C5E78">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R</w:t>
            </w:r>
            <w:r w:rsidR="006F3D69">
              <w:rPr>
                <w:rFonts w:ascii="Arial" w:hAnsi="Arial" w:cs="Arial"/>
                <w:color w:val="000000"/>
                <w:sz w:val="22"/>
                <w:szCs w:val="22"/>
                <w:lang w:val="en-ZA" w:eastAsia="en-GB"/>
              </w:rPr>
              <w:t xml:space="preserve"> 581 </w:t>
            </w:r>
            <w:r w:rsidRPr="009A534A">
              <w:rPr>
                <w:rFonts w:ascii="Arial" w:hAnsi="Arial" w:cs="Arial"/>
                <w:color w:val="000000"/>
                <w:sz w:val="22"/>
                <w:szCs w:val="22"/>
                <w:lang w:val="en-ZA" w:eastAsia="en-GB"/>
              </w:rPr>
              <w:t>m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214" w:rsidRPr="009A534A" w:rsidRDefault="00F20214" w:rsidP="003C5E78">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R</w:t>
            </w:r>
            <w:r w:rsidR="006F3D69">
              <w:rPr>
                <w:rFonts w:ascii="Arial" w:hAnsi="Arial" w:cs="Arial"/>
                <w:color w:val="000000"/>
                <w:sz w:val="22"/>
                <w:szCs w:val="22"/>
                <w:lang w:val="en-ZA" w:eastAsia="en-GB"/>
              </w:rPr>
              <w:t xml:space="preserve"> 478 </w:t>
            </w:r>
            <w:r w:rsidRPr="009A534A">
              <w:rPr>
                <w:rFonts w:ascii="Arial" w:hAnsi="Arial" w:cs="Arial"/>
                <w:color w:val="000000"/>
                <w:sz w:val="22"/>
                <w:szCs w:val="22"/>
                <w:lang w:val="en-ZA" w:eastAsia="en-GB"/>
              </w:rPr>
              <w:t>m</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214" w:rsidRPr="009A534A" w:rsidRDefault="00F20214" w:rsidP="003C5E78">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R</w:t>
            </w:r>
            <w:r w:rsidR="006F3D69">
              <w:rPr>
                <w:rFonts w:ascii="Arial" w:hAnsi="Arial" w:cs="Arial"/>
                <w:color w:val="000000"/>
                <w:sz w:val="22"/>
                <w:szCs w:val="22"/>
                <w:lang w:val="en-ZA" w:eastAsia="en-GB"/>
              </w:rPr>
              <w:t xml:space="preserve"> 413 </w:t>
            </w:r>
            <w:r w:rsidRPr="009A534A">
              <w:rPr>
                <w:rFonts w:ascii="Arial" w:hAnsi="Arial" w:cs="Arial"/>
                <w:color w:val="000000"/>
                <w:sz w:val="22"/>
                <w:szCs w:val="22"/>
                <w:lang w:val="en-ZA" w:eastAsia="en-GB"/>
              </w:rPr>
              <w:t>m</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0214" w:rsidRPr="009A534A" w:rsidRDefault="00F20214" w:rsidP="003C5E78">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R</w:t>
            </w:r>
            <w:r w:rsidR="006F3D69">
              <w:rPr>
                <w:rFonts w:ascii="Arial" w:hAnsi="Arial" w:cs="Arial"/>
                <w:color w:val="000000"/>
                <w:sz w:val="22"/>
                <w:szCs w:val="22"/>
                <w:lang w:val="en-ZA" w:eastAsia="en-GB"/>
              </w:rPr>
              <w:t xml:space="preserve"> </w:t>
            </w:r>
            <w:r w:rsidR="007A3508">
              <w:rPr>
                <w:rFonts w:ascii="Arial" w:hAnsi="Arial" w:cs="Arial"/>
                <w:color w:val="000000"/>
                <w:sz w:val="22"/>
                <w:szCs w:val="22"/>
                <w:lang w:val="en-ZA" w:eastAsia="en-GB"/>
              </w:rPr>
              <w:t xml:space="preserve">289 </w:t>
            </w:r>
            <w:r w:rsidRPr="009A534A">
              <w:rPr>
                <w:rFonts w:ascii="Arial" w:hAnsi="Arial" w:cs="Arial"/>
                <w:color w:val="000000"/>
                <w:sz w:val="22"/>
                <w:szCs w:val="22"/>
                <w:lang w:val="en-ZA" w:eastAsia="en-GB"/>
              </w:rPr>
              <w:t>m</w:t>
            </w:r>
          </w:p>
        </w:tc>
      </w:tr>
    </w:tbl>
    <w:p w:rsidR="00FE135D" w:rsidRDefault="00EB108A" w:rsidP="008D7DCD">
      <w:pPr>
        <w:numPr>
          <w:ilvl w:val="0"/>
          <w:numId w:val="20"/>
        </w:numPr>
        <w:spacing w:before="100" w:beforeAutospacing="1" w:after="100" w:afterAutospacing="1" w:line="276" w:lineRule="auto"/>
        <w:jc w:val="both"/>
        <w:outlineLvl w:val="0"/>
        <w:rPr>
          <w:rFonts w:ascii="Arial" w:hAnsi="Arial" w:cs="Arial"/>
          <w:sz w:val="22"/>
          <w:szCs w:val="22"/>
        </w:rPr>
      </w:pPr>
      <w:r>
        <w:rPr>
          <w:rFonts w:ascii="Arial" w:hAnsi="Arial" w:cs="Arial"/>
          <w:sz w:val="22"/>
          <w:szCs w:val="22"/>
        </w:rPr>
        <w:lastRenderedPageBreak/>
        <w:t>C</w:t>
      </w:r>
      <w:r w:rsidRPr="00EB108A">
        <w:rPr>
          <w:rFonts w:ascii="Arial" w:hAnsi="Arial" w:cs="Arial"/>
          <w:sz w:val="22"/>
          <w:szCs w:val="22"/>
        </w:rPr>
        <w:t>apital expenditure for each of the five phases</w:t>
      </w:r>
      <w:r w:rsidR="007C4F11">
        <w:rPr>
          <w:rFonts w:ascii="Arial" w:hAnsi="Arial" w:cs="Arial"/>
          <w:sz w:val="22"/>
          <w:szCs w:val="22"/>
        </w:rPr>
        <w:t xml:space="preserve">. </w:t>
      </w:r>
    </w:p>
    <w:p w:rsidR="002D0EBE" w:rsidRPr="00FE135D" w:rsidRDefault="00093A35" w:rsidP="008D7DCD">
      <w:pPr>
        <w:spacing w:before="100" w:beforeAutospacing="1" w:after="100" w:afterAutospacing="1" w:line="276" w:lineRule="auto"/>
        <w:ind w:left="1440"/>
        <w:jc w:val="both"/>
        <w:outlineLvl w:val="0"/>
        <w:rPr>
          <w:rFonts w:ascii="Arial" w:hAnsi="Arial" w:cs="Arial"/>
          <w:sz w:val="22"/>
          <w:szCs w:val="22"/>
        </w:rPr>
      </w:pPr>
      <w:r>
        <w:rPr>
          <w:rFonts w:ascii="Arial" w:hAnsi="Arial" w:cs="Arial"/>
          <w:sz w:val="22"/>
          <w:szCs w:val="22"/>
        </w:rPr>
        <w:t xml:space="preserve">See table below. </w:t>
      </w:r>
      <w:r w:rsidR="002D0EBE" w:rsidRPr="00FE135D">
        <w:rPr>
          <w:rFonts w:ascii="Arial" w:hAnsi="Arial" w:cs="Arial"/>
          <w:sz w:val="22"/>
          <w:szCs w:val="22"/>
        </w:rPr>
        <w:t>The initial costing of the system was based on build first and operate later approach whereby all corridors will be developed with dedicated bus lanes, however this approach is being reviewed and a financially contained approach will be implemented for future phases.</w:t>
      </w:r>
    </w:p>
    <w:p w:rsidR="002D0EBE" w:rsidRDefault="002D0EBE" w:rsidP="008D7DCD">
      <w:pPr>
        <w:pStyle w:val="ListParagraph"/>
        <w:spacing w:before="100" w:beforeAutospacing="1" w:after="100" w:afterAutospacing="1"/>
        <w:ind w:left="1440"/>
        <w:jc w:val="both"/>
        <w:outlineLvl w:val="0"/>
        <w:rPr>
          <w:rFonts w:ascii="Arial" w:hAnsi="Arial" w:cs="Arial"/>
          <w:sz w:val="22"/>
          <w:szCs w:val="22"/>
        </w:rPr>
      </w:pPr>
      <w:r w:rsidRPr="002D0EBE">
        <w:rPr>
          <w:rFonts w:ascii="Arial" w:hAnsi="Arial" w:cs="Arial"/>
          <w:sz w:val="22"/>
          <w:szCs w:val="22"/>
        </w:rPr>
        <w:t>The total costs to date on Phase 1 are R 2 2290 mil</w:t>
      </w:r>
      <w:r w:rsidR="001363E2">
        <w:rPr>
          <w:rFonts w:ascii="Arial" w:hAnsi="Arial" w:cs="Arial"/>
          <w:sz w:val="22"/>
          <w:szCs w:val="22"/>
        </w:rPr>
        <w:t>. Due to a scaling down to now</w:t>
      </w:r>
      <w:r w:rsidRPr="002D0EBE">
        <w:rPr>
          <w:rFonts w:ascii="Arial" w:hAnsi="Arial" w:cs="Arial"/>
          <w:sz w:val="22"/>
          <w:szCs w:val="22"/>
        </w:rPr>
        <w:t xml:space="preserve"> operate first and built later strategy</w:t>
      </w:r>
      <w:r w:rsidR="00D02E59">
        <w:rPr>
          <w:rFonts w:ascii="Arial" w:hAnsi="Arial" w:cs="Arial"/>
          <w:sz w:val="22"/>
          <w:szCs w:val="22"/>
        </w:rPr>
        <w:t xml:space="preserve">, </w:t>
      </w:r>
      <w:r w:rsidRPr="002D0EBE">
        <w:rPr>
          <w:rFonts w:ascii="Arial" w:hAnsi="Arial" w:cs="Arial"/>
          <w:sz w:val="22"/>
          <w:szCs w:val="22"/>
        </w:rPr>
        <w:t>the infrastructure expenditure has been reduced for the next few years and for future phases. The estimates for the future phases are high-level and more accurate estimates will be developed during the design stage of each phase.</w:t>
      </w:r>
    </w:p>
    <w:p w:rsidR="00012896" w:rsidRDefault="00012896" w:rsidP="008D7DCD">
      <w:pPr>
        <w:pStyle w:val="ListParagraph"/>
        <w:spacing w:before="100" w:beforeAutospacing="1" w:after="100" w:afterAutospacing="1"/>
        <w:ind w:left="1440"/>
        <w:jc w:val="both"/>
        <w:outlineLvl w:val="0"/>
        <w:rPr>
          <w:rFonts w:ascii="Arial" w:hAnsi="Arial" w:cs="Arial"/>
          <w:sz w:val="22"/>
          <w:szCs w:val="22"/>
        </w:rPr>
      </w:pPr>
    </w:p>
    <w:p w:rsidR="00012896" w:rsidRDefault="00012896" w:rsidP="008D7DCD">
      <w:pPr>
        <w:pStyle w:val="ListParagraph"/>
        <w:spacing w:before="100" w:beforeAutospacing="1" w:after="100" w:afterAutospacing="1"/>
        <w:ind w:left="1440"/>
        <w:jc w:val="both"/>
        <w:outlineLvl w:val="0"/>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NDoT</w:t>
      </w:r>
      <w:proofErr w:type="spellEnd"/>
      <w:r w:rsidR="00101001">
        <w:rPr>
          <w:rFonts w:ascii="Arial" w:hAnsi="Arial" w:cs="Arial"/>
          <w:sz w:val="22"/>
          <w:szCs w:val="22"/>
        </w:rPr>
        <w:t xml:space="preserve"> </w:t>
      </w:r>
      <w:r>
        <w:rPr>
          <w:rFonts w:ascii="Arial" w:hAnsi="Arial" w:cs="Arial"/>
          <w:sz w:val="22"/>
          <w:szCs w:val="22"/>
        </w:rPr>
        <w:t xml:space="preserve">will continue to work with </w:t>
      </w:r>
      <w:r w:rsidR="00964A52">
        <w:rPr>
          <w:rFonts w:ascii="Arial" w:hAnsi="Arial" w:cs="Arial"/>
          <w:sz w:val="22"/>
          <w:szCs w:val="22"/>
        </w:rPr>
        <w:t xml:space="preserve">the City to reduce costs, ramp up operations </w:t>
      </w:r>
      <w:r w:rsidR="007107BD">
        <w:rPr>
          <w:rFonts w:ascii="Arial" w:hAnsi="Arial" w:cs="Arial"/>
          <w:sz w:val="22"/>
          <w:szCs w:val="22"/>
        </w:rPr>
        <w:t xml:space="preserve">faster and increase fare revenue while reducing operating deficits. </w:t>
      </w:r>
    </w:p>
    <w:p w:rsidR="007107BD" w:rsidRDefault="007107BD" w:rsidP="008D7DCD">
      <w:pPr>
        <w:pStyle w:val="ListParagraph"/>
        <w:spacing w:before="100" w:beforeAutospacing="1" w:after="100" w:afterAutospacing="1"/>
        <w:ind w:left="1440"/>
        <w:jc w:val="both"/>
        <w:outlineLvl w:val="0"/>
        <w:rPr>
          <w:rFonts w:ascii="Arial" w:hAnsi="Arial" w:cs="Arial"/>
          <w:sz w:val="22"/>
          <w:szCs w:val="22"/>
        </w:rPr>
      </w:pPr>
    </w:p>
    <w:p w:rsidR="007107BD" w:rsidRDefault="007107BD" w:rsidP="008D7DCD">
      <w:pPr>
        <w:pStyle w:val="ListParagraph"/>
        <w:spacing w:before="100" w:beforeAutospacing="1" w:after="100" w:afterAutospacing="1"/>
        <w:ind w:left="1440"/>
        <w:jc w:val="both"/>
        <w:outlineLvl w:val="0"/>
        <w:rPr>
          <w:rFonts w:ascii="Arial" w:hAnsi="Arial" w:cs="Arial"/>
          <w:sz w:val="22"/>
          <w:szCs w:val="22"/>
        </w:rPr>
      </w:pPr>
      <w:r>
        <w:rPr>
          <w:rFonts w:ascii="Arial" w:hAnsi="Arial" w:cs="Arial"/>
          <w:sz w:val="22"/>
          <w:szCs w:val="22"/>
        </w:rPr>
        <w:t xml:space="preserve">It must be noted that </w:t>
      </w:r>
      <w:r w:rsidR="00C61A3B">
        <w:rPr>
          <w:rFonts w:ascii="Arial" w:hAnsi="Arial" w:cs="Arial"/>
          <w:sz w:val="22"/>
          <w:szCs w:val="22"/>
        </w:rPr>
        <w:t>the City is still operating a starter pilot service since November 2017</w:t>
      </w:r>
      <w:r w:rsidR="00281041">
        <w:rPr>
          <w:rFonts w:ascii="Arial" w:hAnsi="Arial" w:cs="Arial"/>
          <w:sz w:val="22"/>
          <w:szCs w:val="22"/>
        </w:rPr>
        <w:t xml:space="preserve"> and therefore</w:t>
      </w:r>
      <w:r w:rsidR="008D7DCD">
        <w:rPr>
          <w:rFonts w:ascii="Arial" w:hAnsi="Arial" w:cs="Arial"/>
          <w:sz w:val="22"/>
          <w:szCs w:val="22"/>
        </w:rPr>
        <w:t xml:space="preserve"> i</w:t>
      </w:r>
      <w:r w:rsidR="00EE05D2">
        <w:rPr>
          <w:rFonts w:ascii="Arial" w:hAnsi="Arial" w:cs="Arial"/>
          <w:sz w:val="22"/>
          <w:szCs w:val="22"/>
        </w:rPr>
        <w:t>t</w:t>
      </w:r>
      <w:r w:rsidR="00281041">
        <w:rPr>
          <w:rFonts w:ascii="Arial" w:hAnsi="Arial" w:cs="Arial"/>
          <w:sz w:val="22"/>
          <w:szCs w:val="22"/>
        </w:rPr>
        <w:t xml:space="preserve"> is operating sub optimally and should have scaled up to a fully</w:t>
      </w:r>
      <w:r w:rsidR="00101001">
        <w:rPr>
          <w:rFonts w:ascii="Arial" w:hAnsi="Arial" w:cs="Arial"/>
          <w:sz w:val="22"/>
          <w:szCs w:val="22"/>
        </w:rPr>
        <w:t xml:space="preserve"> </w:t>
      </w:r>
      <w:r w:rsidR="00281041">
        <w:rPr>
          <w:rFonts w:ascii="Arial" w:hAnsi="Arial" w:cs="Arial"/>
          <w:sz w:val="22"/>
          <w:szCs w:val="22"/>
        </w:rPr>
        <w:t>fledged service by July 2019</w:t>
      </w:r>
      <w:r w:rsidR="001B6AD2">
        <w:rPr>
          <w:rFonts w:ascii="Arial" w:hAnsi="Arial" w:cs="Arial"/>
          <w:sz w:val="22"/>
          <w:szCs w:val="22"/>
        </w:rPr>
        <w:t>.</w:t>
      </w:r>
    </w:p>
    <w:p w:rsidR="000B7241" w:rsidRDefault="000B7241" w:rsidP="00FE135D">
      <w:pPr>
        <w:pStyle w:val="ListParagraph"/>
        <w:spacing w:before="100" w:beforeAutospacing="1" w:after="100" w:afterAutospacing="1"/>
        <w:ind w:left="1440"/>
        <w:jc w:val="both"/>
        <w:outlineLvl w:val="0"/>
        <w:rPr>
          <w:rFonts w:ascii="Arial" w:hAnsi="Arial" w:cs="Arial"/>
          <w:sz w:val="22"/>
          <w:szCs w:val="22"/>
        </w:rPr>
      </w:pPr>
    </w:p>
    <w:p w:rsidR="000B7241" w:rsidRDefault="000B7241" w:rsidP="00FE135D">
      <w:pPr>
        <w:pStyle w:val="ListParagraph"/>
        <w:spacing w:before="100" w:beforeAutospacing="1" w:after="100" w:afterAutospacing="1"/>
        <w:ind w:left="1440"/>
        <w:jc w:val="both"/>
        <w:outlineLvl w:val="0"/>
        <w:rPr>
          <w:rFonts w:ascii="Arial" w:hAnsi="Arial" w:cs="Arial"/>
          <w:sz w:val="22"/>
          <w:szCs w:val="22"/>
        </w:rPr>
      </w:pPr>
    </w:p>
    <w:p w:rsidR="000B7241" w:rsidRDefault="000B7241" w:rsidP="00FE135D">
      <w:pPr>
        <w:pStyle w:val="ListParagraph"/>
        <w:spacing w:before="100" w:beforeAutospacing="1" w:after="100" w:afterAutospacing="1"/>
        <w:ind w:left="1440"/>
        <w:jc w:val="both"/>
        <w:outlineLvl w:val="0"/>
        <w:rPr>
          <w:rFonts w:ascii="Arial" w:hAnsi="Arial" w:cs="Arial"/>
          <w:sz w:val="22"/>
          <w:szCs w:val="22"/>
        </w:rPr>
      </w:pPr>
    </w:p>
    <w:p w:rsidR="000B7241" w:rsidRDefault="000B7241" w:rsidP="00FE135D">
      <w:pPr>
        <w:pStyle w:val="ListParagraph"/>
        <w:spacing w:before="100" w:beforeAutospacing="1" w:after="100" w:afterAutospacing="1"/>
        <w:ind w:left="1440"/>
        <w:jc w:val="both"/>
        <w:outlineLvl w:val="0"/>
        <w:rPr>
          <w:rFonts w:ascii="Arial" w:hAnsi="Arial" w:cs="Arial"/>
          <w:sz w:val="22"/>
          <w:szCs w:val="22"/>
        </w:rPr>
      </w:pPr>
    </w:p>
    <w:p w:rsidR="000B7241" w:rsidRPr="002D0EBE" w:rsidRDefault="000B7241" w:rsidP="00FE135D">
      <w:pPr>
        <w:pStyle w:val="ListParagraph"/>
        <w:spacing w:before="100" w:beforeAutospacing="1" w:after="100" w:afterAutospacing="1"/>
        <w:ind w:left="1440"/>
        <w:jc w:val="both"/>
        <w:outlineLvl w:val="0"/>
        <w:rPr>
          <w:rFonts w:ascii="Arial" w:hAnsi="Arial" w:cs="Arial"/>
          <w:sz w:val="22"/>
          <w:szCs w:val="22"/>
        </w:rPr>
      </w:pPr>
    </w:p>
    <w:tbl>
      <w:tblPr>
        <w:tblW w:w="9482" w:type="dxa"/>
        <w:tblInd w:w="250" w:type="dxa"/>
        <w:tblLook w:val="04A0"/>
      </w:tblPr>
      <w:tblGrid>
        <w:gridCol w:w="498"/>
        <w:gridCol w:w="1249"/>
        <w:gridCol w:w="960"/>
        <w:gridCol w:w="960"/>
        <w:gridCol w:w="960"/>
        <w:gridCol w:w="960"/>
        <w:gridCol w:w="960"/>
        <w:gridCol w:w="960"/>
        <w:gridCol w:w="960"/>
        <w:gridCol w:w="266"/>
        <w:gridCol w:w="960"/>
      </w:tblGrid>
      <w:tr w:rsidR="002D0EBE" w:rsidRPr="00F0671B" w:rsidTr="00101001">
        <w:trPr>
          <w:trHeight w:val="288"/>
        </w:trPr>
        <w:tc>
          <w:tcPr>
            <w:tcW w:w="1536" w:type="dxa"/>
            <w:gridSpan w:val="2"/>
            <w:tcBorders>
              <w:top w:val="single" w:sz="4" w:space="0" w:color="auto"/>
              <w:left w:val="single" w:sz="4" w:space="0" w:color="auto"/>
              <w:bottom w:val="single" w:sz="4" w:space="0" w:color="auto"/>
              <w:right w:val="single" w:sz="4" w:space="0" w:color="000000"/>
            </w:tcBorders>
            <w:shd w:val="clear" w:color="auto" w:fill="4472C4"/>
            <w:noWrap/>
            <w:vAlign w:val="bottom"/>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Phase</w:t>
            </w:r>
          </w:p>
        </w:tc>
        <w:tc>
          <w:tcPr>
            <w:tcW w:w="960" w:type="dxa"/>
            <w:tcBorders>
              <w:top w:val="single" w:sz="4" w:space="0" w:color="auto"/>
              <w:left w:val="nil"/>
              <w:bottom w:val="single" w:sz="4" w:space="0" w:color="auto"/>
              <w:right w:val="single" w:sz="4" w:space="0" w:color="auto"/>
            </w:tcBorders>
            <w:shd w:val="clear" w:color="auto" w:fill="4472C4"/>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Phase 1</w:t>
            </w:r>
          </w:p>
        </w:tc>
        <w:tc>
          <w:tcPr>
            <w:tcW w:w="960" w:type="dxa"/>
            <w:tcBorders>
              <w:top w:val="single" w:sz="4" w:space="0" w:color="auto"/>
              <w:left w:val="nil"/>
              <w:bottom w:val="single" w:sz="4" w:space="0" w:color="auto"/>
              <w:right w:val="single" w:sz="4" w:space="0" w:color="auto"/>
            </w:tcBorders>
            <w:shd w:val="clear" w:color="auto" w:fill="4472C4"/>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Phase 2</w:t>
            </w:r>
          </w:p>
        </w:tc>
        <w:tc>
          <w:tcPr>
            <w:tcW w:w="1920" w:type="dxa"/>
            <w:gridSpan w:val="2"/>
            <w:tcBorders>
              <w:top w:val="single" w:sz="4" w:space="0" w:color="auto"/>
              <w:left w:val="nil"/>
              <w:bottom w:val="single" w:sz="4" w:space="0" w:color="auto"/>
              <w:right w:val="single" w:sz="4" w:space="0" w:color="auto"/>
            </w:tcBorders>
            <w:shd w:val="clear" w:color="auto" w:fill="4472C4"/>
            <w:noWrap/>
            <w:vAlign w:val="center"/>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Phase 3</w:t>
            </w:r>
          </w:p>
        </w:tc>
        <w:tc>
          <w:tcPr>
            <w:tcW w:w="1920" w:type="dxa"/>
            <w:gridSpan w:val="2"/>
            <w:tcBorders>
              <w:top w:val="single" w:sz="4" w:space="0" w:color="auto"/>
              <w:left w:val="nil"/>
              <w:bottom w:val="single" w:sz="4" w:space="0" w:color="auto"/>
              <w:right w:val="single" w:sz="4" w:space="0" w:color="auto"/>
            </w:tcBorders>
            <w:shd w:val="clear" w:color="auto" w:fill="4472C4"/>
            <w:noWrap/>
            <w:vAlign w:val="center"/>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Phase 4</w:t>
            </w:r>
          </w:p>
        </w:tc>
        <w:tc>
          <w:tcPr>
            <w:tcW w:w="960" w:type="dxa"/>
            <w:tcBorders>
              <w:top w:val="single" w:sz="4" w:space="0" w:color="auto"/>
              <w:left w:val="nil"/>
              <w:bottom w:val="single" w:sz="4" w:space="0" w:color="auto"/>
              <w:right w:val="single" w:sz="4" w:space="0" w:color="auto"/>
            </w:tcBorders>
            <w:shd w:val="clear" w:color="auto" w:fill="4472C4"/>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Phase 5</w:t>
            </w:r>
          </w:p>
        </w:tc>
        <w:tc>
          <w:tcPr>
            <w:tcW w:w="26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4472C4"/>
            <w:vAlign w:val="center"/>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Total</w:t>
            </w:r>
            <w:r w:rsidRPr="00F0671B">
              <w:rPr>
                <w:rFonts w:ascii="Calibri" w:hAnsi="Calibri" w:cs="Arial"/>
                <w:b/>
                <w:bCs/>
                <w:color w:val="FFFFFF"/>
                <w:sz w:val="22"/>
                <w:szCs w:val="22"/>
                <w:lang w:val="en-ZA" w:eastAsia="en-ZA"/>
              </w:rPr>
              <w:br/>
              <w:t>(R mill)</w:t>
            </w:r>
          </w:p>
        </w:tc>
      </w:tr>
      <w:tr w:rsidR="002D0EBE" w:rsidRPr="00F0671B" w:rsidTr="00101001">
        <w:trPr>
          <w:trHeight w:val="288"/>
        </w:trPr>
        <w:tc>
          <w:tcPr>
            <w:tcW w:w="1536" w:type="dxa"/>
            <w:gridSpan w:val="2"/>
            <w:tcBorders>
              <w:top w:val="single" w:sz="4" w:space="0" w:color="auto"/>
              <w:left w:val="single" w:sz="4" w:space="0" w:color="auto"/>
              <w:bottom w:val="single" w:sz="4" w:space="0" w:color="auto"/>
              <w:right w:val="single" w:sz="4" w:space="0" w:color="000000"/>
            </w:tcBorders>
            <w:shd w:val="clear" w:color="auto" w:fill="4472C4"/>
            <w:noWrap/>
            <w:vAlign w:val="bottom"/>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Corridor</w:t>
            </w:r>
          </w:p>
        </w:tc>
        <w:tc>
          <w:tcPr>
            <w:tcW w:w="960" w:type="dxa"/>
            <w:tcBorders>
              <w:top w:val="nil"/>
              <w:left w:val="nil"/>
              <w:bottom w:val="single" w:sz="4" w:space="0" w:color="auto"/>
              <w:right w:val="single" w:sz="4" w:space="0" w:color="auto"/>
            </w:tcBorders>
            <w:shd w:val="clear" w:color="auto" w:fill="4472C4"/>
            <w:noWrap/>
            <w:vAlign w:val="bottom"/>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w:t>
            </w:r>
          </w:p>
        </w:tc>
        <w:tc>
          <w:tcPr>
            <w:tcW w:w="960" w:type="dxa"/>
            <w:tcBorders>
              <w:top w:val="nil"/>
              <w:left w:val="nil"/>
              <w:bottom w:val="single" w:sz="4" w:space="0" w:color="auto"/>
              <w:right w:val="single" w:sz="4" w:space="0" w:color="auto"/>
            </w:tcBorders>
            <w:shd w:val="clear" w:color="auto" w:fill="4472C4"/>
            <w:noWrap/>
            <w:vAlign w:val="bottom"/>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1</w:t>
            </w:r>
          </w:p>
        </w:tc>
        <w:tc>
          <w:tcPr>
            <w:tcW w:w="960" w:type="dxa"/>
            <w:tcBorders>
              <w:top w:val="nil"/>
              <w:left w:val="nil"/>
              <w:bottom w:val="single" w:sz="4" w:space="0" w:color="auto"/>
              <w:right w:val="single" w:sz="4" w:space="0" w:color="auto"/>
            </w:tcBorders>
            <w:shd w:val="clear" w:color="auto" w:fill="4472C4"/>
            <w:noWrap/>
            <w:vAlign w:val="bottom"/>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3</w:t>
            </w:r>
          </w:p>
        </w:tc>
        <w:tc>
          <w:tcPr>
            <w:tcW w:w="960" w:type="dxa"/>
            <w:tcBorders>
              <w:top w:val="nil"/>
              <w:left w:val="nil"/>
              <w:bottom w:val="single" w:sz="4" w:space="0" w:color="auto"/>
              <w:right w:val="single" w:sz="4" w:space="0" w:color="auto"/>
            </w:tcBorders>
            <w:shd w:val="clear" w:color="auto" w:fill="4472C4"/>
            <w:noWrap/>
            <w:vAlign w:val="bottom"/>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5</w:t>
            </w:r>
          </w:p>
        </w:tc>
        <w:tc>
          <w:tcPr>
            <w:tcW w:w="960" w:type="dxa"/>
            <w:tcBorders>
              <w:top w:val="nil"/>
              <w:left w:val="nil"/>
              <w:bottom w:val="single" w:sz="4" w:space="0" w:color="auto"/>
              <w:right w:val="single" w:sz="4" w:space="0" w:color="auto"/>
            </w:tcBorders>
            <w:shd w:val="clear" w:color="auto" w:fill="4472C4"/>
            <w:noWrap/>
            <w:vAlign w:val="bottom"/>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4</w:t>
            </w:r>
          </w:p>
        </w:tc>
        <w:tc>
          <w:tcPr>
            <w:tcW w:w="960" w:type="dxa"/>
            <w:tcBorders>
              <w:top w:val="nil"/>
              <w:left w:val="nil"/>
              <w:bottom w:val="single" w:sz="4" w:space="0" w:color="auto"/>
              <w:right w:val="single" w:sz="4" w:space="0" w:color="auto"/>
            </w:tcBorders>
            <w:shd w:val="clear" w:color="auto" w:fill="4472C4"/>
            <w:noWrap/>
            <w:vAlign w:val="bottom"/>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7</w:t>
            </w:r>
          </w:p>
        </w:tc>
        <w:tc>
          <w:tcPr>
            <w:tcW w:w="960" w:type="dxa"/>
            <w:tcBorders>
              <w:top w:val="nil"/>
              <w:left w:val="nil"/>
              <w:bottom w:val="single" w:sz="4" w:space="0" w:color="auto"/>
              <w:right w:val="single" w:sz="4" w:space="0" w:color="auto"/>
            </w:tcBorders>
            <w:shd w:val="clear" w:color="auto" w:fill="4472C4"/>
            <w:noWrap/>
            <w:vAlign w:val="bottom"/>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6</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vMerge/>
            <w:tcBorders>
              <w:top w:val="single" w:sz="4" w:space="0" w:color="auto"/>
              <w:left w:val="single" w:sz="4" w:space="0" w:color="auto"/>
              <w:bottom w:val="single" w:sz="4" w:space="0" w:color="auto"/>
              <w:right w:val="single" w:sz="4" w:space="0" w:color="auto"/>
            </w:tcBorders>
            <w:shd w:val="clear" w:color="auto" w:fill="4472C4"/>
            <w:vAlign w:val="center"/>
            <w:hideMark/>
          </w:tcPr>
          <w:p w:rsidR="002D0EBE" w:rsidRPr="00F0671B" w:rsidRDefault="002D0EBE" w:rsidP="00101001">
            <w:pPr>
              <w:rPr>
                <w:rFonts w:ascii="Calibri" w:hAnsi="Calibri" w:cs="Arial"/>
                <w:b/>
                <w:bCs/>
                <w:color w:val="000000"/>
                <w:sz w:val="22"/>
                <w:szCs w:val="22"/>
                <w:lang w:val="en-ZA" w:eastAsia="en-ZA"/>
              </w:rPr>
            </w:pPr>
          </w:p>
        </w:tc>
      </w:tr>
      <w:tr w:rsidR="002D0EBE" w:rsidRPr="00F0671B" w:rsidTr="00101001">
        <w:trPr>
          <w:trHeight w:val="132"/>
        </w:trPr>
        <w:tc>
          <w:tcPr>
            <w:tcW w:w="8256"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D0EBE" w:rsidRPr="00F0671B" w:rsidRDefault="002D0EBE" w:rsidP="00101001">
            <w:pPr>
              <w:jc w:val="center"/>
              <w:rPr>
                <w:rFonts w:ascii="Calibri" w:hAnsi="Calibri" w:cs="Arial"/>
                <w:color w:val="000000"/>
                <w:sz w:val="8"/>
                <w:szCs w:val="8"/>
                <w:lang w:val="en-ZA" w:eastAsia="en-ZA"/>
              </w:rPr>
            </w:pPr>
            <w:r w:rsidRPr="00F0671B">
              <w:rPr>
                <w:rFonts w:ascii="Calibri" w:hAnsi="Calibri" w:cs="Arial"/>
                <w:color w:val="000000"/>
                <w:sz w:val="8"/>
                <w:szCs w:val="8"/>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rPr>
                <w:rFonts w:ascii="Calibri" w:hAnsi="Calibri" w:cs="Arial"/>
                <w:color w:val="000000"/>
                <w:sz w:val="8"/>
                <w:szCs w:val="8"/>
                <w:lang w:val="en-ZA" w:eastAsia="en-ZA"/>
              </w:rPr>
            </w:pPr>
            <w:r w:rsidRPr="00F0671B">
              <w:rPr>
                <w:rFonts w:ascii="Calibri" w:hAnsi="Calibri" w:cs="Arial"/>
                <w:color w:val="000000"/>
                <w:sz w:val="8"/>
                <w:szCs w:val="8"/>
                <w:lang w:val="en-ZA" w:eastAsia="en-ZA"/>
              </w:rPr>
              <w:t> </w:t>
            </w:r>
          </w:p>
        </w:tc>
      </w:tr>
      <w:tr w:rsidR="002D0EBE" w:rsidRPr="00F0671B" w:rsidTr="00101001">
        <w:trPr>
          <w:trHeight w:val="288"/>
        </w:trPr>
        <w:tc>
          <w:tcPr>
            <w:tcW w:w="284" w:type="dxa"/>
            <w:vMerge w:val="restart"/>
            <w:tcBorders>
              <w:top w:val="nil"/>
              <w:left w:val="single" w:sz="4" w:space="0" w:color="auto"/>
              <w:bottom w:val="single" w:sz="4" w:space="0" w:color="auto"/>
              <w:right w:val="single" w:sz="4" w:space="0" w:color="auto"/>
            </w:tcBorders>
            <w:shd w:val="clear" w:color="auto" w:fill="8EAADB"/>
            <w:noWrap/>
            <w:textDirection w:val="btLr"/>
            <w:vAlign w:val="center"/>
            <w:hideMark/>
          </w:tcPr>
          <w:p w:rsidR="002D0EBE" w:rsidRPr="00F0671B" w:rsidRDefault="002D0EBE" w:rsidP="00101001">
            <w:pPr>
              <w:jc w:val="cente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Financial Year</w:t>
            </w: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2021/22</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191</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191</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2022/23</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330</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330</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2023/24</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385</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385</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2024/25</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421</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421</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2025/26</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439</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439</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2026/27</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92</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391</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483</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2027/28</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430</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430</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2028/29</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473</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473</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2030/31</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284</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407</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691</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2032/33</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170</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428</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221</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819</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2033/34</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470</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199</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669</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2034/35</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376</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219</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595</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2035/36</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263</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131</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350</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745</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2036/37</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144</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385</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271</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801</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2037/38</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424</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298</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722</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2038/39</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466</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328</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794</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2039/40</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513</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361</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874</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2041/42</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397</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348</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745</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2042/43</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383</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383</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2043/44</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422</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422</w:t>
            </w:r>
          </w:p>
        </w:tc>
      </w:tr>
      <w:tr w:rsidR="002D0EBE" w:rsidRPr="00F0671B" w:rsidTr="00101001">
        <w:trPr>
          <w:trHeight w:val="288"/>
        </w:trPr>
        <w:tc>
          <w:tcPr>
            <w:tcW w:w="284" w:type="dxa"/>
            <w:vMerge/>
            <w:tcBorders>
              <w:top w:val="nil"/>
              <w:left w:val="single" w:sz="4" w:space="0" w:color="auto"/>
              <w:bottom w:val="single" w:sz="4" w:space="0" w:color="auto"/>
              <w:right w:val="single" w:sz="4" w:space="0" w:color="auto"/>
            </w:tcBorders>
            <w:shd w:val="clear" w:color="auto" w:fill="8EAADB"/>
            <w:vAlign w:val="center"/>
            <w:hideMark/>
          </w:tcPr>
          <w:p w:rsidR="002D0EBE" w:rsidRPr="00F0671B" w:rsidRDefault="002D0EBE" w:rsidP="00101001">
            <w:pPr>
              <w:rPr>
                <w:rFonts w:ascii="Calibri" w:hAnsi="Calibri" w:cs="Arial"/>
                <w:b/>
                <w:bCs/>
                <w:color w:val="FFFFFF"/>
                <w:sz w:val="22"/>
                <w:szCs w:val="22"/>
                <w:lang w:val="en-ZA" w:eastAsia="en-ZA"/>
              </w:rPr>
            </w:pPr>
          </w:p>
        </w:tc>
        <w:tc>
          <w:tcPr>
            <w:tcW w:w="1249" w:type="dxa"/>
            <w:tcBorders>
              <w:top w:val="nil"/>
              <w:left w:val="nil"/>
              <w:bottom w:val="single" w:sz="4" w:space="0" w:color="auto"/>
              <w:right w:val="single" w:sz="4" w:space="0" w:color="auto"/>
            </w:tcBorders>
            <w:shd w:val="clear" w:color="auto" w:fill="8EAADB"/>
            <w:noWrap/>
            <w:vAlign w:val="bottom"/>
            <w:hideMark/>
          </w:tcPr>
          <w:p w:rsidR="002D0EBE" w:rsidRPr="00F0671B" w:rsidRDefault="002D0EBE" w:rsidP="00101001">
            <w:pPr>
              <w:rPr>
                <w:rFonts w:ascii="Calibri" w:hAnsi="Calibri" w:cs="Arial"/>
                <w:b/>
                <w:bCs/>
                <w:color w:val="FFFFFF"/>
                <w:sz w:val="22"/>
                <w:szCs w:val="22"/>
                <w:lang w:val="en-ZA" w:eastAsia="en-ZA"/>
              </w:rPr>
            </w:pPr>
            <w:r w:rsidRPr="00F0671B">
              <w:rPr>
                <w:rFonts w:ascii="Calibri" w:hAnsi="Calibri" w:cs="Arial"/>
                <w:b/>
                <w:bCs/>
                <w:color w:val="FFFFFF"/>
                <w:sz w:val="22"/>
                <w:szCs w:val="22"/>
                <w:lang w:val="en-ZA" w:eastAsia="en-ZA"/>
              </w:rPr>
              <w:t>2044/45</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single" w:sz="4" w:space="0" w:color="auto"/>
              <w:left w:val="single" w:sz="4" w:space="0" w:color="auto"/>
              <w:bottom w:val="single" w:sz="4" w:space="0" w:color="auto"/>
              <w:right w:val="single" w:sz="4" w:space="0" w:color="auto"/>
            </w:tcBorders>
            <w:shd w:val="clear" w:color="000000" w:fill="000000"/>
            <w:noWrap/>
            <w:vAlign w:val="bottom"/>
            <w:hideMark/>
          </w:tcPr>
          <w:p w:rsidR="002D0EBE" w:rsidRPr="00F0671B" w:rsidRDefault="002D0EBE" w:rsidP="00101001">
            <w:pP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 </w:t>
            </w: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center"/>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464</w:t>
            </w:r>
          </w:p>
        </w:tc>
        <w:tc>
          <w:tcPr>
            <w:tcW w:w="266" w:type="dxa"/>
            <w:vMerge/>
            <w:tcBorders>
              <w:top w:val="single" w:sz="4" w:space="0" w:color="auto"/>
              <w:left w:val="single" w:sz="4" w:space="0" w:color="auto"/>
              <w:bottom w:val="single" w:sz="4" w:space="0" w:color="auto"/>
              <w:right w:val="single" w:sz="4" w:space="0" w:color="auto"/>
            </w:tcBorders>
            <w:vAlign w:val="center"/>
            <w:hideMark/>
          </w:tcPr>
          <w:p w:rsidR="002D0EBE" w:rsidRPr="00F0671B" w:rsidRDefault="002D0EBE" w:rsidP="00101001">
            <w:pPr>
              <w:rPr>
                <w:rFonts w:ascii="Calibri" w:hAnsi="Calibri" w:cs="Arial"/>
                <w:color w:val="000000"/>
                <w:sz w:val="22"/>
                <w:szCs w:val="22"/>
                <w:lang w:val="en-ZA" w:eastAsia="en-ZA"/>
              </w:rPr>
            </w:pPr>
          </w:p>
        </w:tc>
        <w:tc>
          <w:tcPr>
            <w:tcW w:w="960" w:type="dxa"/>
            <w:tcBorders>
              <w:top w:val="nil"/>
              <w:left w:val="nil"/>
              <w:bottom w:val="single" w:sz="4" w:space="0" w:color="auto"/>
              <w:right w:val="single" w:sz="4" w:space="0" w:color="auto"/>
            </w:tcBorders>
            <w:shd w:val="clear" w:color="auto" w:fill="auto"/>
            <w:noWrap/>
            <w:vAlign w:val="bottom"/>
            <w:hideMark/>
          </w:tcPr>
          <w:p w:rsidR="002D0EBE" w:rsidRPr="00F0671B" w:rsidRDefault="002D0EBE" w:rsidP="00101001">
            <w:pPr>
              <w:jc w:val="right"/>
              <w:rPr>
                <w:rFonts w:ascii="Calibri" w:hAnsi="Calibri" w:cs="Arial"/>
                <w:color w:val="000000"/>
                <w:sz w:val="22"/>
                <w:szCs w:val="22"/>
                <w:lang w:val="en-ZA" w:eastAsia="en-ZA"/>
              </w:rPr>
            </w:pPr>
            <w:r w:rsidRPr="00F0671B">
              <w:rPr>
                <w:rFonts w:ascii="Calibri" w:hAnsi="Calibri" w:cs="Arial"/>
                <w:color w:val="000000"/>
                <w:sz w:val="22"/>
                <w:szCs w:val="22"/>
                <w:lang w:val="en-ZA" w:eastAsia="en-ZA"/>
              </w:rPr>
              <w:t>464</w:t>
            </w:r>
          </w:p>
        </w:tc>
      </w:tr>
    </w:tbl>
    <w:p w:rsidR="0038682D" w:rsidRDefault="0038682D" w:rsidP="0038682D">
      <w:pPr>
        <w:spacing w:before="100" w:beforeAutospacing="1" w:after="100" w:afterAutospacing="1"/>
        <w:ind w:left="1440"/>
        <w:jc w:val="both"/>
        <w:outlineLvl w:val="0"/>
        <w:rPr>
          <w:rFonts w:ascii="Arial" w:hAnsi="Arial" w:cs="Arial"/>
          <w:sz w:val="22"/>
          <w:szCs w:val="22"/>
        </w:rPr>
      </w:pPr>
    </w:p>
    <w:p w:rsidR="006C0D88" w:rsidRDefault="001E2555" w:rsidP="008D7DCD">
      <w:pPr>
        <w:spacing w:before="100" w:beforeAutospacing="1" w:after="100" w:afterAutospacing="1" w:line="276" w:lineRule="auto"/>
        <w:ind w:left="1440" w:hanging="720"/>
        <w:jc w:val="both"/>
        <w:outlineLvl w:val="0"/>
        <w:rPr>
          <w:rFonts w:ascii="Arial" w:hAnsi="Arial" w:cs="Arial"/>
          <w:b/>
          <w:bCs/>
          <w:sz w:val="22"/>
          <w:szCs w:val="22"/>
          <w:lang w:val="en-US"/>
        </w:rPr>
      </w:pPr>
      <w:r w:rsidRPr="001E2555">
        <w:rPr>
          <w:rFonts w:ascii="Arial" w:hAnsi="Arial" w:cs="Arial"/>
          <w:sz w:val="22"/>
          <w:szCs w:val="22"/>
        </w:rPr>
        <w:t>(2)</w:t>
      </w:r>
      <w:r w:rsidRPr="001E2555">
        <w:rPr>
          <w:rFonts w:ascii="Arial" w:hAnsi="Arial" w:cs="Arial"/>
          <w:sz w:val="22"/>
          <w:szCs w:val="22"/>
        </w:rPr>
        <w:tab/>
      </w:r>
      <w:r w:rsidR="00B56FE5">
        <w:rPr>
          <w:rFonts w:ascii="Arial" w:hAnsi="Arial" w:cs="Arial"/>
          <w:sz w:val="22"/>
          <w:szCs w:val="22"/>
        </w:rPr>
        <w:t>W</w:t>
      </w:r>
      <w:r w:rsidRPr="001E2555">
        <w:rPr>
          <w:rFonts w:ascii="Arial" w:hAnsi="Arial" w:cs="Arial"/>
          <w:sz w:val="22"/>
          <w:szCs w:val="22"/>
        </w:rPr>
        <w:t>hat was the exact (a) operating costs, (b) fare income and (c) council funding for each specific cost including operational in the (</w:t>
      </w:r>
      <w:proofErr w:type="spellStart"/>
      <w:r w:rsidRPr="001E2555">
        <w:rPr>
          <w:rFonts w:ascii="Arial" w:hAnsi="Arial" w:cs="Arial"/>
          <w:sz w:val="22"/>
          <w:szCs w:val="22"/>
        </w:rPr>
        <w:t>i</w:t>
      </w:r>
      <w:proofErr w:type="spellEnd"/>
      <w:r w:rsidRPr="001E2555">
        <w:rPr>
          <w:rFonts w:ascii="Arial" w:hAnsi="Arial" w:cs="Arial"/>
          <w:sz w:val="22"/>
          <w:szCs w:val="22"/>
        </w:rPr>
        <w:t>) 2016-17, (ii) 2017-18, (iii) 2018-19 and (iv) 2019-20 financial years?</w:t>
      </w:r>
      <w:r w:rsidRPr="001E2555">
        <w:rPr>
          <w:rFonts w:ascii="Arial" w:hAnsi="Arial" w:cs="Arial"/>
          <w:sz w:val="22"/>
          <w:szCs w:val="22"/>
        </w:rPr>
        <w:tab/>
      </w:r>
      <w:r w:rsidRPr="001E2555">
        <w:rPr>
          <w:rFonts w:ascii="Arial" w:hAnsi="Arial" w:cs="Arial"/>
          <w:sz w:val="22"/>
          <w:szCs w:val="22"/>
        </w:rPr>
        <w:tab/>
      </w:r>
    </w:p>
    <w:p w:rsidR="0082465F" w:rsidRDefault="0082465F" w:rsidP="00806B90">
      <w:pPr>
        <w:spacing w:before="100" w:beforeAutospacing="1" w:after="100" w:afterAutospacing="1"/>
        <w:jc w:val="both"/>
        <w:rPr>
          <w:rFonts w:ascii="Arial" w:hAnsi="Arial" w:cs="Arial"/>
          <w:b/>
          <w:bCs/>
          <w:sz w:val="22"/>
          <w:szCs w:val="22"/>
          <w:lang w:val="en-US"/>
        </w:rPr>
      </w:pPr>
    </w:p>
    <w:tbl>
      <w:tblPr>
        <w:tblW w:w="8716" w:type="dxa"/>
        <w:tblInd w:w="817" w:type="dxa"/>
        <w:tblLook w:val="04A0"/>
      </w:tblPr>
      <w:tblGrid>
        <w:gridCol w:w="2516"/>
        <w:gridCol w:w="1240"/>
        <w:gridCol w:w="1240"/>
        <w:gridCol w:w="1240"/>
        <w:gridCol w:w="1240"/>
        <w:gridCol w:w="1240"/>
      </w:tblGrid>
      <w:tr w:rsidR="0037408F" w:rsidRPr="009A534A" w:rsidTr="00713DEA">
        <w:trPr>
          <w:trHeight w:val="320"/>
        </w:trPr>
        <w:tc>
          <w:tcPr>
            <w:tcW w:w="2516"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rsidR="0037408F" w:rsidRPr="009A534A" w:rsidRDefault="0037408F" w:rsidP="00D71FFB">
            <w:pPr>
              <w:rPr>
                <w:rFonts w:ascii="Arial" w:hAnsi="Arial" w:cs="Arial"/>
                <w:b/>
                <w:bCs/>
                <w:color w:val="FFFFFF"/>
                <w:sz w:val="22"/>
                <w:szCs w:val="22"/>
                <w:lang w:val="en-ZA" w:eastAsia="en-GB"/>
              </w:rPr>
            </w:pPr>
            <w:bookmarkStart w:id="1" w:name="_Hlk81386537"/>
            <w:r w:rsidRPr="009A534A">
              <w:rPr>
                <w:rFonts w:ascii="Arial" w:hAnsi="Arial" w:cs="Arial"/>
                <w:b/>
                <w:bCs/>
                <w:color w:val="FFFFFF"/>
                <w:sz w:val="22"/>
                <w:szCs w:val="22"/>
                <w:lang w:val="en-ZA" w:eastAsia="en-GB"/>
              </w:rPr>
              <w:t xml:space="preserve">Items </w:t>
            </w:r>
          </w:p>
        </w:tc>
        <w:tc>
          <w:tcPr>
            <w:tcW w:w="124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rsidR="0037408F" w:rsidRPr="009A534A" w:rsidRDefault="0037408F" w:rsidP="00D71FFB">
            <w:pPr>
              <w:jc w:val="center"/>
              <w:rPr>
                <w:rFonts w:ascii="Arial" w:hAnsi="Arial" w:cs="Arial"/>
                <w:b/>
                <w:bCs/>
                <w:color w:val="FFFFFF"/>
                <w:sz w:val="22"/>
                <w:szCs w:val="22"/>
                <w:lang w:val="en-ZA" w:eastAsia="en-GB"/>
              </w:rPr>
            </w:pPr>
            <w:r w:rsidRPr="009A534A">
              <w:rPr>
                <w:rFonts w:ascii="Arial" w:hAnsi="Arial" w:cs="Arial"/>
                <w:b/>
                <w:bCs/>
                <w:color w:val="FFFFFF"/>
                <w:sz w:val="22"/>
                <w:szCs w:val="22"/>
                <w:lang w:val="en-ZA" w:eastAsia="en-GB"/>
              </w:rPr>
              <w:t>2016/17</w:t>
            </w:r>
          </w:p>
        </w:tc>
        <w:tc>
          <w:tcPr>
            <w:tcW w:w="124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rsidR="0037408F" w:rsidRPr="009A534A" w:rsidRDefault="0037408F" w:rsidP="00D71FFB">
            <w:pPr>
              <w:jc w:val="center"/>
              <w:rPr>
                <w:rFonts w:ascii="Arial" w:hAnsi="Arial" w:cs="Arial"/>
                <w:b/>
                <w:bCs/>
                <w:color w:val="FFFFFF"/>
                <w:sz w:val="22"/>
                <w:szCs w:val="22"/>
                <w:lang w:val="en-ZA" w:eastAsia="en-GB"/>
              </w:rPr>
            </w:pPr>
            <w:r w:rsidRPr="009A534A">
              <w:rPr>
                <w:rFonts w:ascii="Arial" w:hAnsi="Arial" w:cs="Arial"/>
                <w:b/>
                <w:bCs/>
                <w:color w:val="FFFFFF"/>
                <w:sz w:val="22"/>
                <w:szCs w:val="22"/>
                <w:lang w:val="en-ZA" w:eastAsia="en-GB"/>
              </w:rPr>
              <w:t>2017/18</w:t>
            </w:r>
          </w:p>
        </w:tc>
        <w:tc>
          <w:tcPr>
            <w:tcW w:w="124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rsidR="0037408F" w:rsidRPr="009A534A" w:rsidRDefault="0037408F" w:rsidP="00D71FFB">
            <w:pPr>
              <w:jc w:val="center"/>
              <w:rPr>
                <w:rFonts w:ascii="Arial" w:hAnsi="Arial" w:cs="Arial"/>
                <w:b/>
                <w:bCs/>
                <w:color w:val="FFFFFF"/>
                <w:sz w:val="22"/>
                <w:szCs w:val="22"/>
                <w:lang w:val="en-ZA" w:eastAsia="en-GB"/>
              </w:rPr>
            </w:pPr>
            <w:r w:rsidRPr="009A534A">
              <w:rPr>
                <w:rFonts w:ascii="Arial" w:hAnsi="Arial" w:cs="Arial"/>
                <w:b/>
                <w:bCs/>
                <w:color w:val="FFFFFF"/>
                <w:sz w:val="22"/>
                <w:szCs w:val="22"/>
                <w:lang w:val="en-ZA" w:eastAsia="en-GB"/>
              </w:rPr>
              <w:t>2018/19</w:t>
            </w:r>
          </w:p>
        </w:tc>
        <w:tc>
          <w:tcPr>
            <w:tcW w:w="124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rsidR="0037408F" w:rsidRPr="009A534A" w:rsidRDefault="0037408F" w:rsidP="00D71FFB">
            <w:pPr>
              <w:jc w:val="center"/>
              <w:rPr>
                <w:rFonts w:ascii="Arial" w:hAnsi="Arial" w:cs="Arial"/>
                <w:b/>
                <w:bCs/>
                <w:color w:val="FFFFFF"/>
                <w:sz w:val="22"/>
                <w:szCs w:val="22"/>
                <w:lang w:val="en-ZA" w:eastAsia="en-GB"/>
              </w:rPr>
            </w:pPr>
            <w:r w:rsidRPr="009A534A">
              <w:rPr>
                <w:rFonts w:ascii="Arial" w:hAnsi="Arial" w:cs="Arial"/>
                <w:b/>
                <w:bCs/>
                <w:color w:val="FFFFFF"/>
                <w:sz w:val="22"/>
                <w:szCs w:val="22"/>
                <w:lang w:val="en-ZA" w:eastAsia="en-GB"/>
              </w:rPr>
              <w:t>2019/20</w:t>
            </w:r>
          </w:p>
        </w:tc>
        <w:tc>
          <w:tcPr>
            <w:tcW w:w="1240" w:type="dxa"/>
            <w:tcBorders>
              <w:top w:val="single" w:sz="4" w:space="0" w:color="auto"/>
              <w:left w:val="single" w:sz="4" w:space="0" w:color="auto"/>
              <w:bottom w:val="single" w:sz="4" w:space="0" w:color="auto"/>
              <w:right w:val="single" w:sz="4" w:space="0" w:color="auto"/>
            </w:tcBorders>
            <w:shd w:val="clear" w:color="auto" w:fill="2F5496"/>
            <w:noWrap/>
            <w:vAlign w:val="bottom"/>
            <w:hideMark/>
          </w:tcPr>
          <w:p w:rsidR="0037408F" w:rsidRPr="009A534A" w:rsidRDefault="0037408F" w:rsidP="00D71FFB">
            <w:pPr>
              <w:jc w:val="center"/>
              <w:rPr>
                <w:rFonts w:ascii="Arial" w:hAnsi="Arial" w:cs="Arial"/>
                <w:b/>
                <w:bCs/>
                <w:color w:val="FFFFFF"/>
                <w:sz w:val="22"/>
                <w:szCs w:val="22"/>
                <w:lang w:val="en-ZA" w:eastAsia="en-GB"/>
              </w:rPr>
            </w:pPr>
            <w:r w:rsidRPr="009A534A">
              <w:rPr>
                <w:rFonts w:ascii="Arial" w:hAnsi="Arial" w:cs="Arial"/>
                <w:b/>
                <w:bCs/>
                <w:color w:val="FFFFFF"/>
                <w:sz w:val="22"/>
                <w:szCs w:val="22"/>
                <w:lang w:val="en-ZA" w:eastAsia="en-GB"/>
              </w:rPr>
              <w:t>2020/21</w:t>
            </w:r>
          </w:p>
        </w:tc>
      </w:tr>
      <w:tr w:rsidR="0037408F" w:rsidRPr="009A534A" w:rsidTr="00713DEA">
        <w:trPr>
          <w:trHeight w:val="320"/>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rPr>
                <w:rFonts w:ascii="Arial" w:hAnsi="Arial" w:cs="Arial"/>
                <w:color w:val="000000"/>
                <w:sz w:val="22"/>
                <w:szCs w:val="22"/>
                <w:lang w:val="en-ZA" w:eastAsia="en-GB"/>
              </w:rPr>
            </w:pPr>
            <w:r w:rsidRPr="009A534A">
              <w:rPr>
                <w:rFonts w:ascii="Arial" w:hAnsi="Arial" w:cs="Arial"/>
                <w:color w:val="000000"/>
                <w:sz w:val="22"/>
                <w:szCs w:val="22"/>
                <w:lang w:val="en-ZA" w:eastAsia="en-GB"/>
              </w:rPr>
              <w:t>Operations Cost</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 R0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R119,2m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R126,7m</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R168,4m</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R232,2m</w:t>
            </w:r>
          </w:p>
        </w:tc>
      </w:tr>
      <w:tr w:rsidR="0037408F" w:rsidRPr="009A534A" w:rsidTr="00713DEA">
        <w:trPr>
          <w:trHeight w:val="320"/>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rPr>
                <w:rFonts w:ascii="Arial" w:hAnsi="Arial" w:cs="Arial"/>
                <w:color w:val="000000"/>
                <w:sz w:val="22"/>
                <w:szCs w:val="22"/>
                <w:lang w:val="en-ZA" w:eastAsia="en-GB"/>
              </w:rPr>
            </w:pPr>
            <w:r w:rsidRPr="009A534A">
              <w:rPr>
                <w:rFonts w:ascii="Arial" w:hAnsi="Arial" w:cs="Arial"/>
                <w:color w:val="000000"/>
                <w:sz w:val="22"/>
                <w:szCs w:val="22"/>
                <w:lang w:val="en-ZA" w:eastAsia="en-GB"/>
              </w:rPr>
              <w:t>Fare Income</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 R0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R0,33m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Pr>
                <w:rFonts w:ascii="Arial" w:hAnsi="Arial" w:cs="Arial"/>
                <w:color w:val="000000"/>
                <w:sz w:val="22"/>
                <w:szCs w:val="22"/>
                <w:lang w:val="en-ZA" w:eastAsia="en-GB"/>
              </w:rPr>
              <w:t>R4,7m</w:t>
            </w:r>
            <w:r w:rsidRPr="009A534A">
              <w:rPr>
                <w:rFonts w:ascii="Arial" w:hAnsi="Arial" w:cs="Arial"/>
                <w:color w:val="000000"/>
                <w:sz w:val="22"/>
                <w:szCs w:val="22"/>
                <w:lang w:val="en-ZA" w:eastAsia="en-GB"/>
              </w:rPr>
              <w:t>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R8,1m</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R8,</w:t>
            </w:r>
            <w:r>
              <w:rPr>
                <w:rFonts w:ascii="Arial" w:hAnsi="Arial" w:cs="Arial"/>
                <w:color w:val="000000"/>
                <w:sz w:val="22"/>
                <w:szCs w:val="22"/>
                <w:lang w:val="en-ZA" w:eastAsia="en-GB"/>
              </w:rPr>
              <w:t>5</w:t>
            </w:r>
            <w:r w:rsidRPr="009A534A">
              <w:rPr>
                <w:rFonts w:ascii="Arial" w:hAnsi="Arial" w:cs="Arial"/>
                <w:color w:val="000000"/>
                <w:sz w:val="22"/>
                <w:szCs w:val="22"/>
                <w:lang w:val="en-ZA" w:eastAsia="en-GB"/>
              </w:rPr>
              <w:t>m</w:t>
            </w:r>
          </w:p>
        </w:tc>
      </w:tr>
      <w:tr w:rsidR="0037408F" w:rsidRPr="009A534A" w:rsidTr="00713DEA">
        <w:trPr>
          <w:trHeight w:val="320"/>
        </w:trPr>
        <w:tc>
          <w:tcPr>
            <w:tcW w:w="25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rPr>
                <w:rFonts w:ascii="Arial" w:hAnsi="Arial" w:cs="Arial"/>
                <w:color w:val="000000"/>
                <w:sz w:val="22"/>
                <w:szCs w:val="22"/>
                <w:lang w:val="en-ZA" w:eastAsia="en-GB"/>
              </w:rPr>
            </w:pPr>
            <w:r w:rsidRPr="009A534A">
              <w:rPr>
                <w:rFonts w:ascii="Arial" w:hAnsi="Arial" w:cs="Arial"/>
                <w:color w:val="000000"/>
                <w:sz w:val="22"/>
                <w:szCs w:val="22"/>
                <w:lang w:val="en-ZA" w:eastAsia="en-GB"/>
              </w:rPr>
              <w:t>Council Funding</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 xml:space="preserve">R0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 xml:space="preserve">R0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 xml:space="preserve">R0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 xml:space="preserve">R0 </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408F" w:rsidRPr="009A534A" w:rsidRDefault="0037408F" w:rsidP="00D71FFB">
            <w:pPr>
              <w:jc w:val="center"/>
              <w:rPr>
                <w:rFonts w:ascii="Arial" w:hAnsi="Arial" w:cs="Arial"/>
                <w:color w:val="000000"/>
                <w:sz w:val="22"/>
                <w:szCs w:val="22"/>
                <w:lang w:val="en-ZA" w:eastAsia="en-GB"/>
              </w:rPr>
            </w:pPr>
            <w:r w:rsidRPr="009A534A">
              <w:rPr>
                <w:rFonts w:ascii="Arial" w:hAnsi="Arial" w:cs="Arial"/>
                <w:color w:val="000000"/>
                <w:sz w:val="22"/>
                <w:szCs w:val="22"/>
                <w:lang w:val="en-ZA" w:eastAsia="en-GB"/>
              </w:rPr>
              <w:t xml:space="preserve">R0 </w:t>
            </w:r>
          </w:p>
        </w:tc>
      </w:tr>
    </w:tbl>
    <w:p w:rsidR="006C0D88" w:rsidRDefault="006C0D88" w:rsidP="00713973">
      <w:pPr>
        <w:jc w:val="both"/>
        <w:rPr>
          <w:rFonts w:ascii="Arial" w:eastAsia="Calibri" w:hAnsi="Arial" w:cs="Arial"/>
          <w:sz w:val="22"/>
          <w:szCs w:val="22"/>
        </w:rPr>
      </w:pPr>
      <w:bookmarkStart w:id="2" w:name="_Hlk71548594"/>
      <w:bookmarkEnd w:id="1"/>
    </w:p>
    <w:p w:rsidR="00E95B8F" w:rsidRDefault="00E95B8F" w:rsidP="00713973">
      <w:pPr>
        <w:jc w:val="both"/>
        <w:rPr>
          <w:rFonts w:ascii="Arial" w:eastAsia="Calibri" w:hAnsi="Arial" w:cs="Arial"/>
          <w:sz w:val="22"/>
          <w:szCs w:val="22"/>
        </w:rPr>
      </w:pPr>
    </w:p>
    <w:p w:rsidR="00E95B8F" w:rsidRDefault="00E95B8F" w:rsidP="00713973">
      <w:pPr>
        <w:jc w:val="both"/>
        <w:rPr>
          <w:rFonts w:ascii="Arial" w:eastAsia="Calibri" w:hAnsi="Arial" w:cs="Arial"/>
          <w:sz w:val="22"/>
          <w:szCs w:val="22"/>
        </w:rPr>
      </w:pPr>
    </w:p>
    <w:p w:rsidR="00E95B8F" w:rsidRDefault="00E95B8F" w:rsidP="00713973">
      <w:pPr>
        <w:jc w:val="both"/>
        <w:rPr>
          <w:rFonts w:ascii="Arial" w:eastAsia="Calibri" w:hAnsi="Arial" w:cs="Arial"/>
          <w:sz w:val="22"/>
          <w:szCs w:val="22"/>
        </w:rPr>
      </w:pPr>
    </w:p>
    <w:p w:rsidR="00E95B8F" w:rsidRDefault="00E95B8F" w:rsidP="00713973">
      <w:pPr>
        <w:jc w:val="both"/>
        <w:rPr>
          <w:rFonts w:ascii="Arial" w:eastAsia="Calibri" w:hAnsi="Arial" w:cs="Arial"/>
          <w:sz w:val="22"/>
          <w:szCs w:val="22"/>
        </w:rPr>
      </w:pPr>
    </w:p>
    <w:p w:rsidR="00E95B8F" w:rsidRDefault="00E95B8F" w:rsidP="00713973">
      <w:pPr>
        <w:jc w:val="both"/>
        <w:rPr>
          <w:rFonts w:ascii="Arial" w:eastAsia="Calibri" w:hAnsi="Arial" w:cs="Arial"/>
          <w:sz w:val="22"/>
          <w:szCs w:val="22"/>
        </w:rPr>
      </w:pPr>
    </w:p>
    <w:p w:rsidR="00E95B8F" w:rsidRDefault="00E95B8F" w:rsidP="00713973">
      <w:pPr>
        <w:jc w:val="both"/>
        <w:rPr>
          <w:rFonts w:ascii="Arial" w:eastAsia="Calibri" w:hAnsi="Arial" w:cs="Arial"/>
          <w:sz w:val="22"/>
          <w:szCs w:val="22"/>
        </w:rPr>
      </w:pPr>
    </w:p>
    <w:p w:rsidR="00E95B8F" w:rsidRDefault="00E95B8F" w:rsidP="00713973">
      <w:pPr>
        <w:jc w:val="both"/>
        <w:rPr>
          <w:rFonts w:ascii="Arial" w:eastAsia="Calibri" w:hAnsi="Arial" w:cs="Arial"/>
          <w:sz w:val="22"/>
          <w:szCs w:val="22"/>
        </w:rPr>
      </w:pPr>
    </w:p>
    <w:p w:rsidR="00E95B8F" w:rsidRDefault="00E95B8F" w:rsidP="00713973">
      <w:pPr>
        <w:jc w:val="both"/>
        <w:rPr>
          <w:rFonts w:ascii="Arial" w:eastAsia="Calibri" w:hAnsi="Arial" w:cs="Arial"/>
          <w:sz w:val="22"/>
          <w:szCs w:val="22"/>
        </w:rPr>
      </w:pPr>
    </w:p>
    <w:bookmarkEnd w:id="2"/>
    <w:p w:rsidR="00E95B8F" w:rsidRDefault="00E95B8F" w:rsidP="00713973">
      <w:pPr>
        <w:jc w:val="both"/>
        <w:rPr>
          <w:rFonts w:ascii="Arial" w:eastAsia="Calibri" w:hAnsi="Arial" w:cs="Arial"/>
          <w:sz w:val="22"/>
          <w:szCs w:val="22"/>
        </w:rPr>
      </w:pPr>
    </w:p>
    <w:sectPr w:rsidR="00E95B8F" w:rsidSect="00713973">
      <w:pgSz w:w="12240" w:h="15840"/>
      <w:pgMar w:top="993"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BD4" w:rsidRDefault="007F6BD4">
      <w:r>
        <w:separator/>
      </w:r>
    </w:p>
  </w:endnote>
  <w:endnote w:type="continuationSeparator" w:id="0">
    <w:p w:rsidR="007F6BD4" w:rsidRDefault="007F6B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BD4" w:rsidRDefault="007F6BD4">
      <w:r>
        <w:separator/>
      </w:r>
    </w:p>
  </w:footnote>
  <w:footnote w:type="continuationSeparator" w:id="0">
    <w:p w:rsidR="007F6BD4" w:rsidRDefault="007F6B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5450AF"/>
    <w:multiLevelType w:val="hybridMultilevel"/>
    <w:tmpl w:val="198A055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8F22131"/>
    <w:multiLevelType w:val="hybridMultilevel"/>
    <w:tmpl w:val="FB94F2AE"/>
    <w:lvl w:ilvl="0" w:tplc="7E726352">
      <w:start w:val="1"/>
      <w:numFmt w:val="decimal"/>
      <w:lvlText w:val="(%1)"/>
      <w:lvlJc w:val="left"/>
      <w:pPr>
        <w:ind w:left="1440" w:hanging="720"/>
      </w:pPr>
      <w:rPr>
        <w:rFonts w:hint="default"/>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2233E25"/>
    <w:multiLevelType w:val="hybridMultilevel"/>
    <w:tmpl w:val="D48C8332"/>
    <w:lvl w:ilvl="0" w:tplc="A92EB51E">
      <w:start w:val="2"/>
      <w:numFmt w:val="lowerLetter"/>
      <w:lvlText w:val="(%1)"/>
      <w:lvlJc w:val="left"/>
      <w:pPr>
        <w:ind w:left="107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4AD6957"/>
    <w:multiLevelType w:val="hybridMultilevel"/>
    <w:tmpl w:val="36D86322"/>
    <w:lvl w:ilvl="0" w:tplc="C166DE00">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F925593"/>
    <w:multiLevelType w:val="hybridMultilevel"/>
    <w:tmpl w:val="156C3040"/>
    <w:lvl w:ilvl="0" w:tplc="A7B2C744">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5">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6">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7">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20">
    <w:nsid w:val="684154F0"/>
    <w:multiLevelType w:val="hybridMultilevel"/>
    <w:tmpl w:val="FEB649F4"/>
    <w:lvl w:ilvl="0" w:tplc="EFE6F4E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22E1044"/>
    <w:multiLevelType w:val="hybridMultilevel"/>
    <w:tmpl w:val="CCB869F2"/>
    <w:lvl w:ilvl="0" w:tplc="7E726352">
      <w:start w:val="1"/>
      <w:numFmt w:val="decimal"/>
      <w:lvlText w:val="(%1)"/>
      <w:lvlJc w:val="left"/>
      <w:pPr>
        <w:ind w:left="1080" w:hanging="360"/>
      </w:pPr>
      <w:rPr>
        <w:rFonts w:hint="default"/>
        <w:b w:val="0"/>
        <w:bCs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0"/>
  </w:num>
  <w:num w:numId="3">
    <w:abstractNumId w:val="21"/>
  </w:num>
  <w:num w:numId="4">
    <w:abstractNumId w:val="23"/>
  </w:num>
  <w:num w:numId="5">
    <w:abstractNumId w:val="17"/>
  </w:num>
  <w:num w:numId="6">
    <w:abstractNumId w:val="13"/>
  </w:num>
  <w:num w:numId="7">
    <w:abstractNumId w:val="9"/>
  </w:num>
  <w:num w:numId="8">
    <w:abstractNumId w:val="3"/>
  </w:num>
  <w:num w:numId="9">
    <w:abstractNumId w:val="18"/>
  </w:num>
  <w:num w:numId="10">
    <w:abstractNumId w:val="8"/>
  </w:num>
  <w:num w:numId="11">
    <w:abstractNumId w:val="5"/>
  </w:num>
  <w:num w:numId="12">
    <w:abstractNumId w:val="11"/>
  </w:num>
  <w:num w:numId="13">
    <w:abstractNumId w:val="1"/>
  </w:num>
  <w:num w:numId="14">
    <w:abstractNumId w:val="22"/>
  </w:num>
  <w:num w:numId="15">
    <w:abstractNumId w:val="16"/>
  </w:num>
  <w:num w:numId="16">
    <w:abstractNumId w:val="19"/>
  </w:num>
  <w:num w:numId="17">
    <w:abstractNumId w:val="0"/>
  </w:num>
  <w:num w:numId="18">
    <w:abstractNumId w:val="15"/>
  </w:num>
  <w:num w:numId="19">
    <w:abstractNumId w:val="4"/>
  </w:num>
  <w:num w:numId="20">
    <w:abstractNumId w:val="12"/>
  </w:num>
  <w:num w:numId="21">
    <w:abstractNumId w:val="14"/>
  </w:num>
  <w:num w:numId="22">
    <w:abstractNumId w:val="2"/>
  </w:num>
  <w:num w:numId="23">
    <w:abstractNumId w:val="24"/>
  </w:num>
  <w:num w:numId="24">
    <w:abstractNumId w:val="20"/>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3E6EEB"/>
    <w:rsid w:val="0000307F"/>
    <w:rsid w:val="00012896"/>
    <w:rsid w:val="00014DCA"/>
    <w:rsid w:val="00020051"/>
    <w:rsid w:val="0004110B"/>
    <w:rsid w:val="00045BB7"/>
    <w:rsid w:val="00052E60"/>
    <w:rsid w:val="00064000"/>
    <w:rsid w:val="00083937"/>
    <w:rsid w:val="00093A35"/>
    <w:rsid w:val="000A0146"/>
    <w:rsid w:val="000B23FB"/>
    <w:rsid w:val="000B7241"/>
    <w:rsid w:val="000C1150"/>
    <w:rsid w:val="000D2FCC"/>
    <w:rsid w:val="000E46E0"/>
    <w:rsid w:val="00101001"/>
    <w:rsid w:val="00107B84"/>
    <w:rsid w:val="00124B06"/>
    <w:rsid w:val="00130913"/>
    <w:rsid w:val="00130F64"/>
    <w:rsid w:val="001363E2"/>
    <w:rsid w:val="00136739"/>
    <w:rsid w:val="00141601"/>
    <w:rsid w:val="001465BA"/>
    <w:rsid w:val="00176C3B"/>
    <w:rsid w:val="00191D47"/>
    <w:rsid w:val="001A6EB5"/>
    <w:rsid w:val="001B3A9C"/>
    <w:rsid w:val="001B58F9"/>
    <w:rsid w:val="001B6AD2"/>
    <w:rsid w:val="001B74EA"/>
    <w:rsid w:val="001B7EB6"/>
    <w:rsid w:val="001C0016"/>
    <w:rsid w:val="001E2555"/>
    <w:rsid w:val="001E34B5"/>
    <w:rsid w:val="001E56FC"/>
    <w:rsid w:val="001E5FBD"/>
    <w:rsid w:val="001F04AB"/>
    <w:rsid w:val="0021618B"/>
    <w:rsid w:val="00237995"/>
    <w:rsid w:val="00237C59"/>
    <w:rsid w:val="00241A41"/>
    <w:rsid w:val="002425A4"/>
    <w:rsid w:val="002456E4"/>
    <w:rsid w:val="00252FE4"/>
    <w:rsid w:val="0026496F"/>
    <w:rsid w:val="00274747"/>
    <w:rsid w:val="002765E6"/>
    <w:rsid w:val="00281041"/>
    <w:rsid w:val="00285141"/>
    <w:rsid w:val="00287706"/>
    <w:rsid w:val="002A6B98"/>
    <w:rsid w:val="002B33E9"/>
    <w:rsid w:val="002B4CC3"/>
    <w:rsid w:val="002C5C9E"/>
    <w:rsid w:val="002D0EBE"/>
    <w:rsid w:val="002D7984"/>
    <w:rsid w:val="002E26CC"/>
    <w:rsid w:val="002E5574"/>
    <w:rsid w:val="003148C1"/>
    <w:rsid w:val="003238CC"/>
    <w:rsid w:val="00337C35"/>
    <w:rsid w:val="00357547"/>
    <w:rsid w:val="003645C7"/>
    <w:rsid w:val="0037408F"/>
    <w:rsid w:val="0037735D"/>
    <w:rsid w:val="0038074E"/>
    <w:rsid w:val="0038097C"/>
    <w:rsid w:val="0038682D"/>
    <w:rsid w:val="00387FEF"/>
    <w:rsid w:val="00395FAB"/>
    <w:rsid w:val="003A7D7C"/>
    <w:rsid w:val="003B6D98"/>
    <w:rsid w:val="003C5E78"/>
    <w:rsid w:val="003E6EEB"/>
    <w:rsid w:val="003E7A1C"/>
    <w:rsid w:val="0040324C"/>
    <w:rsid w:val="00411BD1"/>
    <w:rsid w:val="00411E3B"/>
    <w:rsid w:val="00411F12"/>
    <w:rsid w:val="00431FFB"/>
    <w:rsid w:val="00437E91"/>
    <w:rsid w:val="00441BD7"/>
    <w:rsid w:val="00452BCB"/>
    <w:rsid w:val="00457030"/>
    <w:rsid w:val="00467B25"/>
    <w:rsid w:val="0047141A"/>
    <w:rsid w:val="00471AD3"/>
    <w:rsid w:val="0047649C"/>
    <w:rsid w:val="00485272"/>
    <w:rsid w:val="004E7C50"/>
    <w:rsid w:val="00510ACC"/>
    <w:rsid w:val="00510B97"/>
    <w:rsid w:val="00511239"/>
    <w:rsid w:val="0051301F"/>
    <w:rsid w:val="0053543F"/>
    <w:rsid w:val="0058669F"/>
    <w:rsid w:val="005B41E4"/>
    <w:rsid w:val="005C31F0"/>
    <w:rsid w:val="005C555D"/>
    <w:rsid w:val="005D38A5"/>
    <w:rsid w:val="005E343F"/>
    <w:rsid w:val="006053FE"/>
    <w:rsid w:val="00607381"/>
    <w:rsid w:val="00611598"/>
    <w:rsid w:val="00612A92"/>
    <w:rsid w:val="00636266"/>
    <w:rsid w:val="006532B9"/>
    <w:rsid w:val="00661147"/>
    <w:rsid w:val="00664518"/>
    <w:rsid w:val="00666D4D"/>
    <w:rsid w:val="00673B92"/>
    <w:rsid w:val="00675536"/>
    <w:rsid w:val="00676AF2"/>
    <w:rsid w:val="00677616"/>
    <w:rsid w:val="006B2B5E"/>
    <w:rsid w:val="006C0D88"/>
    <w:rsid w:val="006C1F72"/>
    <w:rsid w:val="006C25EC"/>
    <w:rsid w:val="006F3D69"/>
    <w:rsid w:val="00704C1A"/>
    <w:rsid w:val="007058EE"/>
    <w:rsid w:val="007107BD"/>
    <w:rsid w:val="00713973"/>
    <w:rsid w:val="00713DEA"/>
    <w:rsid w:val="00721E32"/>
    <w:rsid w:val="00722F72"/>
    <w:rsid w:val="007269C6"/>
    <w:rsid w:val="007277EA"/>
    <w:rsid w:val="007341C8"/>
    <w:rsid w:val="007536B4"/>
    <w:rsid w:val="00765CB9"/>
    <w:rsid w:val="00767AE8"/>
    <w:rsid w:val="00775493"/>
    <w:rsid w:val="00793B6D"/>
    <w:rsid w:val="00793DB2"/>
    <w:rsid w:val="007A1E4C"/>
    <w:rsid w:val="007A3508"/>
    <w:rsid w:val="007A5C3B"/>
    <w:rsid w:val="007B18B1"/>
    <w:rsid w:val="007B5587"/>
    <w:rsid w:val="007C3628"/>
    <w:rsid w:val="007C49D3"/>
    <w:rsid w:val="007C4F11"/>
    <w:rsid w:val="007D1DB5"/>
    <w:rsid w:val="007E227F"/>
    <w:rsid w:val="007F1D43"/>
    <w:rsid w:val="007F4FB6"/>
    <w:rsid w:val="007F6BD4"/>
    <w:rsid w:val="00801569"/>
    <w:rsid w:val="00806B90"/>
    <w:rsid w:val="0082465F"/>
    <w:rsid w:val="00826B25"/>
    <w:rsid w:val="008415E3"/>
    <w:rsid w:val="00842C70"/>
    <w:rsid w:val="0085153A"/>
    <w:rsid w:val="00854EEA"/>
    <w:rsid w:val="00857E66"/>
    <w:rsid w:val="008751FE"/>
    <w:rsid w:val="0088592E"/>
    <w:rsid w:val="00886474"/>
    <w:rsid w:val="008C17D2"/>
    <w:rsid w:val="008C423C"/>
    <w:rsid w:val="008D2789"/>
    <w:rsid w:val="008D7DCD"/>
    <w:rsid w:val="008E73F4"/>
    <w:rsid w:val="009007BA"/>
    <w:rsid w:val="00912C08"/>
    <w:rsid w:val="00920373"/>
    <w:rsid w:val="00932BE1"/>
    <w:rsid w:val="00952D45"/>
    <w:rsid w:val="00964A52"/>
    <w:rsid w:val="00970C1F"/>
    <w:rsid w:val="0097109E"/>
    <w:rsid w:val="00977345"/>
    <w:rsid w:val="00977C0A"/>
    <w:rsid w:val="00980549"/>
    <w:rsid w:val="009837A4"/>
    <w:rsid w:val="009A00BC"/>
    <w:rsid w:val="009A75BD"/>
    <w:rsid w:val="009B23A9"/>
    <w:rsid w:val="009B47B9"/>
    <w:rsid w:val="009C2DDB"/>
    <w:rsid w:val="009F40C5"/>
    <w:rsid w:val="00A0518F"/>
    <w:rsid w:val="00A054A7"/>
    <w:rsid w:val="00A0566C"/>
    <w:rsid w:val="00A14605"/>
    <w:rsid w:val="00A24093"/>
    <w:rsid w:val="00A2480D"/>
    <w:rsid w:val="00A46F7C"/>
    <w:rsid w:val="00A52B6B"/>
    <w:rsid w:val="00A60AFC"/>
    <w:rsid w:val="00A72D34"/>
    <w:rsid w:val="00A74B01"/>
    <w:rsid w:val="00A80870"/>
    <w:rsid w:val="00AA19C6"/>
    <w:rsid w:val="00AB326E"/>
    <w:rsid w:val="00AD2174"/>
    <w:rsid w:val="00AD7A5B"/>
    <w:rsid w:val="00B31AD8"/>
    <w:rsid w:val="00B56FE5"/>
    <w:rsid w:val="00B70328"/>
    <w:rsid w:val="00B83217"/>
    <w:rsid w:val="00BA0A9C"/>
    <w:rsid w:val="00BA547A"/>
    <w:rsid w:val="00BC22EA"/>
    <w:rsid w:val="00BC73D2"/>
    <w:rsid w:val="00C006D6"/>
    <w:rsid w:val="00C013FF"/>
    <w:rsid w:val="00C11FE3"/>
    <w:rsid w:val="00C16039"/>
    <w:rsid w:val="00C165B0"/>
    <w:rsid w:val="00C250FE"/>
    <w:rsid w:val="00C56433"/>
    <w:rsid w:val="00C61A3B"/>
    <w:rsid w:val="00C7054F"/>
    <w:rsid w:val="00C815E6"/>
    <w:rsid w:val="00C90F59"/>
    <w:rsid w:val="00C9190C"/>
    <w:rsid w:val="00CB2AB7"/>
    <w:rsid w:val="00CB2B14"/>
    <w:rsid w:val="00CC12C9"/>
    <w:rsid w:val="00CC30BC"/>
    <w:rsid w:val="00CD56BE"/>
    <w:rsid w:val="00CE11EF"/>
    <w:rsid w:val="00CE4231"/>
    <w:rsid w:val="00CF46F2"/>
    <w:rsid w:val="00D02E59"/>
    <w:rsid w:val="00D34CBF"/>
    <w:rsid w:val="00D71FFB"/>
    <w:rsid w:val="00D76D32"/>
    <w:rsid w:val="00D823AE"/>
    <w:rsid w:val="00DA3F5F"/>
    <w:rsid w:val="00DB7340"/>
    <w:rsid w:val="00DC4EF6"/>
    <w:rsid w:val="00DD1C18"/>
    <w:rsid w:val="00DF3929"/>
    <w:rsid w:val="00E22B78"/>
    <w:rsid w:val="00E343AE"/>
    <w:rsid w:val="00E3479A"/>
    <w:rsid w:val="00E350D5"/>
    <w:rsid w:val="00E42C01"/>
    <w:rsid w:val="00E51CF2"/>
    <w:rsid w:val="00E5486F"/>
    <w:rsid w:val="00E56C17"/>
    <w:rsid w:val="00E83804"/>
    <w:rsid w:val="00E9309F"/>
    <w:rsid w:val="00E95B8F"/>
    <w:rsid w:val="00EA22FA"/>
    <w:rsid w:val="00EB108A"/>
    <w:rsid w:val="00EB3632"/>
    <w:rsid w:val="00EB43F2"/>
    <w:rsid w:val="00EB4F6D"/>
    <w:rsid w:val="00EC1AAB"/>
    <w:rsid w:val="00EC3A80"/>
    <w:rsid w:val="00ED12D6"/>
    <w:rsid w:val="00ED7860"/>
    <w:rsid w:val="00EE05D2"/>
    <w:rsid w:val="00EF4F84"/>
    <w:rsid w:val="00F20214"/>
    <w:rsid w:val="00F208C8"/>
    <w:rsid w:val="00F22193"/>
    <w:rsid w:val="00F274D2"/>
    <w:rsid w:val="00F34081"/>
    <w:rsid w:val="00F47916"/>
    <w:rsid w:val="00F64E2F"/>
    <w:rsid w:val="00F71816"/>
    <w:rsid w:val="00F72FDD"/>
    <w:rsid w:val="00F76E39"/>
    <w:rsid w:val="00F81A73"/>
    <w:rsid w:val="00F924CF"/>
    <w:rsid w:val="00F95566"/>
    <w:rsid w:val="00FA2A5E"/>
    <w:rsid w:val="00FA3A6C"/>
    <w:rsid w:val="00FA54F7"/>
    <w:rsid w:val="00FC49AD"/>
    <w:rsid w:val="00FC63AA"/>
    <w:rsid w:val="00FD4470"/>
    <w:rsid w:val="00FD7DC2"/>
    <w:rsid w:val="00FD7E25"/>
    <w:rsid w:val="00FE135D"/>
    <w:rsid w:val="00FE7490"/>
    <w:rsid w:val="00FF3A38"/>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214"/>
    <w:rPr>
      <w:rFonts w:ascii="Footlight MT Light" w:hAnsi="Footlight MT Light"/>
      <w:sz w:val="24"/>
      <w:lang w:val="en-GB"/>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0214"/>
    <w:rPr>
      <w:rFonts w:ascii="Footlight MT Light" w:hAnsi="Footlight MT Light"/>
      <w:sz w:val="24"/>
      <w:lang w:val="en-GB"/>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65E245-8E9D-4B88-867C-9BB9BC43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2021-09-03T11:01:00Z</cp:lastPrinted>
  <dcterms:created xsi:type="dcterms:W3CDTF">2021-09-14T13:23:00Z</dcterms:created>
  <dcterms:modified xsi:type="dcterms:W3CDTF">2021-09-14T13:23:00Z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