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FB21D9">
        <w:rPr>
          <w:b/>
          <w:bCs/>
          <w:sz w:val="24"/>
          <w:u w:val="single"/>
        </w:rPr>
        <w:t>0</w:t>
      </w:r>
      <w:r w:rsidR="009448C9">
        <w:rPr>
          <w:b/>
          <w:bCs/>
          <w:sz w:val="24"/>
          <w:u w:val="single"/>
        </w:rPr>
        <w:t>30</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76C96">
        <w:rPr>
          <w:b/>
          <w:bCs/>
          <w:sz w:val="24"/>
          <w:u w:val="single"/>
        </w:rPr>
        <w:t>2</w:t>
      </w:r>
      <w:r w:rsidR="0056595D">
        <w:rPr>
          <w:b/>
          <w:bCs/>
          <w:sz w:val="24"/>
          <w:u w:val="single"/>
        </w:rPr>
        <w:t>8</w:t>
      </w:r>
      <w:r w:rsidR="00E76C96">
        <w:rPr>
          <w:b/>
          <w:bCs/>
          <w:sz w:val="24"/>
          <w:u w:val="single"/>
        </w:rPr>
        <w:t xml:space="preserve"> AUGUST</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56595D">
        <w:rPr>
          <w:b/>
          <w:bCs/>
          <w:sz w:val="24"/>
          <w:u w:val="single"/>
        </w:rPr>
        <w:t>4</w:t>
      </w:r>
      <w:r w:rsidRPr="00067DAB">
        <w:rPr>
          <w:b/>
          <w:bCs/>
          <w:sz w:val="24"/>
          <w:u w:val="single"/>
        </w:rPr>
        <w:t>)</w:t>
      </w:r>
    </w:p>
    <w:p w:rsidR="009448C9" w:rsidRPr="009448C9" w:rsidRDefault="009448C9" w:rsidP="009448C9">
      <w:pPr>
        <w:spacing w:before="100" w:beforeAutospacing="1" w:after="100" w:afterAutospacing="1"/>
        <w:jc w:val="both"/>
        <w:outlineLvl w:val="0"/>
        <w:rPr>
          <w:sz w:val="24"/>
          <w:u w:val="single"/>
        </w:rPr>
      </w:pPr>
      <w:r w:rsidRPr="009448C9">
        <w:rPr>
          <w:b/>
          <w:sz w:val="24"/>
          <w:u w:val="single"/>
        </w:rPr>
        <w:t>Ms H Ismail (DA) to ask the Minister of Health</w:t>
      </w:r>
      <w:r w:rsidR="006745A6" w:rsidRPr="009448C9">
        <w:rPr>
          <w:b/>
          <w:sz w:val="24"/>
          <w:u w:val="single"/>
        </w:rPr>
        <w:fldChar w:fldCharType="begin"/>
      </w:r>
      <w:r w:rsidRPr="009448C9">
        <w:rPr>
          <w:u w:val="single"/>
        </w:rPr>
        <w:instrText xml:space="preserve"> XE "</w:instrText>
      </w:r>
      <w:r w:rsidRPr="009448C9">
        <w:rPr>
          <w:b/>
          <w:sz w:val="24"/>
          <w:u w:val="single"/>
        </w:rPr>
        <w:instrText>Health</w:instrText>
      </w:r>
      <w:r w:rsidRPr="009448C9">
        <w:rPr>
          <w:u w:val="single"/>
        </w:rPr>
        <w:instrText xml:space="preserve">" </w:instrText>
      </w:r>
      <w:r w:rsidR="006745A6" w:rsidRPr="009448C9">
        <w:rPr>
          <w:b/>
          <w:sz w:val="24"/>
          <w:u w:val="single"/>
        </w:rPr>
        <w:fldChar w:fldCharType="end"/>
      </w:r>
      <w:r w:rsidRPr="009448C9">
        <w:rPr>
          <w:b/>
          <w:sz w:val="24"/>
          <w:u w:val="single"/>
        </w:rPr>
        <w:t xml:space="preserve">: </w:t>
      </w:r>
    </w:p>
    <w:p w:rsidR="0056595D" w:rsidRPr="0049379D" w:rsidRDefault="009448C9" w:rsidP="009448C9">
      <w:pPr>
        <w:pStyle w:val="BodyTextIndent2"/>
        <w:tabs>
          <w:tab w:val="left" w:pos="720"/>
        </w:tabs>
        <w:spacing w:before="100" w:beforeAutospacing="1" w:after="100" w:afterAutospacing="1"/>
        <w:ind w:left="0"/>
        <w:rPr>
          <w:sz w:val="20"/>
        </w:rPr>
      </w:pPr>
      <w:r w:rsidRPr="009448C9">
        <w:rPr>
          <w:bCs/>
          <w:sz w:val="24"/>
        </w:rPr>
        <w:t>In view of many recent reports of family members burying the wrong body instead of their loved ones, what (a) measures are put in place to ensure that undertakers do not mix up dead bodies as strain on the sector increases with the steep rise in Covid-19 deaths and (b) security measures are placed at the mortuaries to ensure the safety of bodies</w:t>
      </w:r>
      <w:r w:rsidRPr="009448C9">
        <w:rPr>
          <w:sz w:val="24"/>
          <w:szCs w:val="24"/>
        </w:rPr>
        <w:t>?</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9F655C">
        <w:rPr>
          <w:color w:val="000000"/>
        </w:rPr>
        <w:t>5</w:t>
      </w:r>
      <w:r w:rsidR="009448C9">
        <w:rPr>
          <w:color w:val="000000"/>
        </w:rPr>
        <w:t>91</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607D81" w:rsidRPr="00607D81" w:rsidRDefault="00607D81" w:rsidP="00607D81">
      <w:pPr>
        <w:pStyle w:val="BodyText"/>
        <w:numPr>
          <w:ilvl w:val="0"/>
          <w:numId w:val="48"/>
        </w:numPr>
        <w:ind w:hanging="720"/>
        <w:rPr>
          <w:b/>
          <w:sz w:val="24"/>
          <w:lang w:val="af-ZA"/>
        </w:rPr>
      </w:pPr>
      <w:r>
        <w:rPr>
          <w:sz w:val="24"/>
          <w:lang w:val="af-ZA"/>
        </w:rPr>
        <w:t>The D</w:t>
      </w:r>
      <w:r w:rsidRPr="00607D81">
        <w:rPr>
          <w:sz w:val="24"/>
          <w:lang w:val="af-ZA"/>
        </w:rPr>
        <w:t>epartment has made provision in the Health Directions published on the 17 July 2020, paragraph 9(5) which states that: “</w:t>
      </w:r>
      <w:r w:rsidRPr="00607D81">
        <w:rPr>
          <w:sz w:val="24"/>
        </w:rPr>
        <w:t>once in the hospital or private mortuary, the body bag</w:t>
      </w:r>
      <w:r>
        <w:rPr>
          <w:sz w:val="24"/>
        </w:rPr>
        <w:t xml:space="preserve"> may be opened for </w:t>
      </w:r>
      <w:r w:rsidRPr="00607D81">
        <w:rPr>
          <w:sz w:val="24"/>
        </w:rPr>
        <w:t>family members (one at a time) to view the human remains”. This provision allows family members to view their loved ones and the current standard of labelling human remains still applies and there should not be challenges if everyone plays their roles. The normal practice of viewing human remains at home out of the mortuary is considered high risk and therefore prohibited to protect the funeral attendees.</w:t>
      </w:r>
    </w:p>
    <w:p w:rsidR="00607D81" w:rsidRPr="00607D81" w:rsidRDefault="00607D81" w:rsidP="00607D81">
      <w:pPr>
        <w:pStyle w:val="BodyText"/>
        <w:ind w:left="720"/>
        <w:rPr>
          <w:b/>
          <w:sz w:val="24"/>
          <w:lang w:val="af-ZA"/>
        </w:rPr>
      </w:pPr>
    </w:p>
    <w:p w:rsidR="00607D81" w:rsidRPr="00607D81" w:rsidRDefault="00607D81" w:rsidP="00607D81">
      <w:pPr>
        <w:pStyle w:val="BodyText"/>
        <w:numPr>
          <w:ilvl w:val="0"/>
          <w:numId w:val="48"/>
        </w:numPr>
        <w:ind w:hanging="720"/>
        <w:rPr>
          <w:b/>
          <w:sz w:val="24"/>
          <w:lang w:val="af-ZA"/>
        </w:rPr>
      </w:pPr>
      <w:r w:rsidRPr="00607D81">
        <w:rPr>
          <w:sz w:val="24"/>
          <w:lang w:val="af-ZA"/>
        </w:rPr>
        <w:t xml:space="preserve">All funeral undetakers are required to have a certificate of competence in order to operate. This certificate ensures that mortuary premises meet the minimum standards provided in the regulations. Government cannot provide security services to these facilities as they are privately operated but owners can provide such security services. Government mortuaries are within health facilities and most of these facilites have access control. </w:t>
      </w:r>
    </w:p>
    <w:p w:rsidR="006E6A77" w:rsidRDefault="006E6A77" w:rsidP="007C64DB">
      <w:pPr>
        <w:pStyle w:val="BodyText"/>
        <w:rPr>
          <w:sz w:val="24"/>
          <w:lang w:val="en-GB"/>
        </w:rPr>
      </w:pPr>
    </w:p>
    <w:p w:rsidR="0057121C" w:rsidRDefault="0057121C" w:rsidP="00BB6DED">
      <w:pPr>
        <w:pStyle w:val="BodyText"/>
        <w:rPr>
          <w:sz w:val="24"/>
          <w:lang w:val="en-GB"/>
        </w:rPr>
      </w:pPr>
      <w:bookmarkStart w:id="0" w:name="_GoBack"/>
      <w:bookmarkEnd w:id="0"/>
    </w:p>
    <w:p w:rsidR="00E238C2" w:rsidRDefault="00E238C2" w:rsidP="00BB6DED">
      <w:pPr>
        <w:pStyle w:val="BodyText"/>
        <w:rPr>
          <w:sz w:val="24"/>
          <w:lang w:val="en-GB"/>
        </w:rPr>
      </w:pPr>
      <w:r w:rsidRPr="00253510">
        <w:rPr>
          <w:sz w:val="24"/>
          <w:lang w:val="en-GB"/>
        </w:rPr>
        <w:t>END.</w:t>
      </w:r>
    </w:p>
    <w:p w:rsidR="00445448" w:rsidRDefault="00445448" w:rsidP="00445448">
      <w:pPr>
        <w:pStyle w:val="Address"/>
        <w:jc w:val="both"/>
      </w:pPr>
    </w:p>
    <w:p w:rsidR="00445448" w:rsidRPr="00445448" w:rsidRDefault="00445448" w:rsidP="00445448">
      <w:pPr>
        <w:tabs>
          <w:tab w:val="left" w:pos="283"/>
          <w:tab w:val="left" w:pos="1404"/>
          <w:tab w:val="left" w:pos="6822"/>
        </w:tabs>
        <w:rPr>
          <w:sz w:val="24"/>
        </w:rPr>
      </w:pPr>
    </w:p>
    <w:p w:rsidR="00445448" w:rsidRPr="00445448" w:rsidRDefault="00445448" w:rsidP="00BB6DED">
      <w:pPr>
        <w:pStyle w:val="BodyText"/>
        <w:rPr>
          <w:sz w:val="24"/>
          <w:lang w:val="en-GB"/>
        </w:rPr>
      </w:pP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8A1" w:rsidRDefault="00F758A1">
      <w:r>
        <w:separator/>
      </w:r>
    </w:p>
  </w:endnote>
  <w:endnote w:type="continuationSeparator" w:id="1">
    <w:p w:rsidR="00F758A1" w:rsidRDefault="00F75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745A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745A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214DB">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8A1" w:rsidRDefault="00F758A1">
      <w:r>
        <w:separator/>
      </w:r>
    </w:p>
  </w:footnote>
  <w:footnote w:type="continuationSeparator" w:id="1">
    <w:p w:rsidR="00F758A1" w:rsidRDefault="00F75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C714DAF"/>
    <w:multiLevelType w:val="hybridMultilevel"/>
    <w:tmpl w:val="8C5633B4"/>
    <w:lvl w:ilvl="0" w:tplc="E4B0F46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3"/>
  </w:num>
  <w:num w:numId="9">
    <w:abstractNumId w:val="4"/>
  </w:num>
  <w:num w:numId="10">
    <w:abstractNumId w:val="22"/>
  </w:num>
  <w:num w:numId="11">
    <w:abstractNumId w:val="37"/>
  </w:num>
  <w:num w:numId="12">
    <w:abstractNumId w:val="2"/>
  </w:num>
  <w:num w:numId="13">
    <w:abstractNumId w:val="38"/>
  </w:num>
  <w:num w:numId="14">
    <w:abstractNumId w:val="29"/>
  </w:num>
  <w:num w:numId="15">
    <w:abstractNumId w:val="6"/>
  </w:num>
  <w:num w:numId="16">
    <w:abstractNumId w:val="0"/>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8"/>
  </w:num>
  <w:num w:numId="25">
    <w:abstractNumId w:val="34"/>
  </w:num>
  <w:num w:numId="26">
    <w:abstractNumId w:val="19"/>
  </w:num>
  <w:num w:numId="27">
    <w:abstractNumId w:val="42"/>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44"/>
  </w:num>
  <w:num w:numId="33">
    <w:abstractNumId w:val="15"/>
  </w:num>
  <w:num w:numId="34">
    <w:abstractNumId w:val="17"/>
  </w:num>
  <w:num w:numId="35">
    <w:abstractNumId w:val="36"/>
  </w:num>
  <w:num w:numId="36">
    <w:abstractNumId w:val="5"/>
  </w:num>
  <w:num w:numId="37">
    <w:abstractNumId w:val="26"/>
  </w:num>
  <w:num w:numId="38">
    <w:abstractNumId w:val="16"/>
  </w:num>
  <w:num w:numId="39">
    <w:abstractNumId w:val="47"/>
  </w:num>
  <w:num w:numId="40">
    <w:abstractNumId w:val="31"/>
  </w:num>
  <w:num w:numId="41">
    <w:abstractNumId w:val="9"/>
  </w:num>
  <w:num w:numId="42">
    <w:abstractNumId w:val="7"/>
  </w:num>
  <w:num w:numId="43">
    <w:abstractNumId w:val="41"/>
  </w:num>
  <w:num w:numId="44">
    <w:abstractNumId w:val="25"/>
  </w:num>
  <w:num w:numId="45">
    <w:abstractNumId w:val="46"/>
  </w:num>
  <w:num w:numId="46">
    <w:abstractNumId w:val="39"/>
  </w:num>
  <w:num w:numId="47">
    <w:abstractNumId w:val="4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4183B"/>
    <w:rsid w:val="00056AD2"/>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A25DE"/>
    <w:rsid w:val="004A398A"/>
    <w:rsid w:val="004B1268"/>
    <w:rsid w:val="004B3491"/>
    <w:rsid w:val="004B4554"/>
    <w:rsid w:val="004C5286"/>
    <w:rsid w:val="004C740F"/>
    <w:rsid w:val="004D4DBF"/>
    <w:rsid w:val="004F42DD"/>
    <w:rsid w:val="004F7C1A"/>
    <w:rsid w:val="0050347C"/>
    <w:rsid w:val="00510229"/>
    <w:rsid w:val="0051126E"/>
    <w:rsid w:val="005117E9"/>
    <w:rsid w:val="005222BB"/>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600F82"/>
    <w:rsid w:val="00607D81"/>
    <w:rsid w:val="00610BC7"/>
    <w:rsid w:val="006175C7"/>
    <w:rsid w:val="00623E12"/>
    <w:rsid w:val="00635745"/>
    <w:rsid w:val="00635890"/>
    <w:rsid w:val="00637291"/>
    <w:rsid w:val="0063794C"/>
    <w:rsid w:val="006467A4"/>
    <w:rsid w:val="00646F50"/>
    <w:rsid w:val="006664AE"/>
    <w:rsid w:val="00672C5D"/>
    <w:rsid w:val="006745A6"/>
    <w:rsid w:val="00674FC6"/>
    <w:rsid w:val="006779D4"/>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13D7F"/>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77D31"/>
    <w:rsid w:val="00A80F10"/>
    <w:rsid w:val="00A87CFA"/>
    <w:rsid w:val="00AB0EAC"/>
    <w:rsid w:val="00AB3C74"/>
    <w:rsid w:val="00AC6AC3"/>
    <w:rsid w:val="00AD5F10"/>
    <w:rsid w:val="00AF11C7"/>
    <w:rsid w:val="00B02990"/>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B5E3A"/>
    <w:rsid w:val="00BB6259"/>
    <w:rsid w:val="00BB6DED"/>
    <w:rsid w:val="00BC4F60"/>
    <w:rsid w:val="00BC6E9C"/>
    <w:rsid w:val="00BC7E1F"/>
    <w:rsid w:val="00BD4034"/>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50E33"/>
    <w:rsid w:val="00F54CEC"/>
    <w:rsid w:val="00F6642C"/>
    <w:rsid w:val="00F70EBE"/>
    <w:rsid w:val="00F7399B"/>
    <w:rsid w:val="00F758A1"/>
    <w:rsid w:val="00F75B9B"/>
    <w:rsid w:val="00F84286"/>
    <w:rsid w:val="00F86457"/>
    <w:rsid w:val="00F966C3"/>
    <w:rsid w:val="00FA20AC"/>
    <w:rsid w:val="00FA6D26"/>
    <w:rsid w:val="00FB21D9"/>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2020-09-18T04:26:00Z</dcterms:created>
  <dcterms:modified xsi:type="dcterms:W3CDTF">2020-09-18T04:26:00Z</dcterms:modified>
</cp:coreProperties>
</file>