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  <w:bookmarkStart w:id="0" w:name="_GoBack"/>
      <w:bookmarkEnd w:id="0"/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4766A1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29412D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FOR </w:t>
      </w:r>
      <w:r w:rsidR="007E6F52"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AE2D7E" w:rsidRDefault="00933E1F" w:rsidP="00AE2D7E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29412D">
        <w:rPr>
          <w:rFonts w:cs="Arial"/>
          <w:b/>
          <w:szCs w:val="24"/>
          <w:lang w:val="en-US"/>
        </w:rPr>
        <w:t>2020</w:t>
      </w:r>
      <w:r w:rsidR="002A5795">
        <w:rPr>
          <w:rFonts w:cs="Arial"/>
          <w:b/>
          <w:szCs w:val="24"/>
          <w:lang w:val="en-US"/>
        </w:rPr>
        <w:t xml:space="preserve"> </w:t>
      </w:r>
      <w:r w:rsidR="000D371D">
        <w:rPr>
          <w:rFonts w:cs="Arial"/>
          <w:b/>
          <w:szCs w:val="24"/>
          <w:lang w:val="en-US"/>
        </w:rPr>
        <w:t>[NW</w:t>
      </w:r>
      <w:r w:rsidR="0029412D">
        <w:rPr>
          <w:rFonts w:cs="Arial"/>
          <w:b/>
          <w:szCs w:val="24"/>
          <w:lang w:val="en-US"/>
        </w:rPr>
        <w:t>2363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AE2D7E" w:rsidRDefault="00AE2D7E" w:rsidP="003229FB">
      <w:pPr>
        <w:outlineLvl w:val="0"/>
        <w:rPr>
          <w:rFonts w:eastAsia="Calibri" w:cs="Arial"/>
          <w:b/>
          <w:szCs w:val="24"/>
          <w:lang w:val="af-ZA"/>
        </w:rPr>
      </w:pPr>
    </w:p>
    <w:p w:rsidR="0029412D" w:rsidRPr="005126ED" w:rsidRDefault="0029412D" w:rsidP="0029412D">
      <w:pPr>
        <w:spacing w:before="100" w:beforeAutospacing="1" w:after="100" w:afterAutospacing="1"/>
        <w:ind w:left="720" w:hanging="720"/>
        <w:jc w:val="both"/>
        <w:outlineLvl w:val="0"/>
        <w:rPr>
          <w:rFonts w:ascii="Times New Roman" w:hAnsi="Times New Roman"/>
          <w:b/>
          <w:bCs/>
          <w:szCs w:val="24"/>
          <w:lang w:eastAsia="en-GB"/>
        </w:rPr>
      </w:pPr>
      <w:r>
        <w:rPr>
          <w:rFonts w:ascii="Times New Roman" w:hAnsi="Times New Roman"/>
          <w:b/>
          <w:bCs/>
          <w:szCs w:val="24"/>
          <w:lang w:eastAsia="en-GB"/>
        </w:rPr>
        <w:t>2020.</w:t>
      </w:r>
      <w:r>
        <w:rPr>
          <w:rFonts w:ascii="Times New Roman" w:hAnsi="Times New Roman"/>
          <w:b/>
          <w:bCs/>
          <w:szCs w:val="24"/>
          <w:lang w:eastAsia="en-GB"/>
        </w:rPr>
        <w:tab/>
      </w:r>
      <w:r w:rsidRPr="005126ED">
        <w:rPr>
          <w:rFonts w:ascii="Times New Roman" w:hAnsi="Times New Roman"/>
          <w:b/>
          <w:bCs/>
          <w:szCs w:val="24"/>
          <w:lang w:eastAsia="en-GB"/>
        </w:rPr>
        <w:t>Ms C N Mkhonto (</w:t>
      </w:r>
      <w:r w:rsidRPr="00CC7642">
        <w:rPr>
          <w:rFonts w:ascii="Times New Roman" w:hAnsi="Times New Roman"/>
          <w:b/>
          <w:bCs/>
          <w:szCs w:val="24"/>
        </w:rPr>
        <w:t>EFF</w:t>
      </w:r>
      <w:r w:rsidRPr="005126ED">
        <w:rPr>
          <w:rFonts w:ascii="Times New Roman" w:hAnsi="Times New Roman"/>
          <w:b/>
          <w:bCs/>
          <w:szCs w:val="24"/>
          <w:lang w:eastAsia="en-GB"/>
        </w:rPr>
        <w:t>) to ask the Minister of Employment and Labour</w:t>
      </w:r>
      <w:r w:rsidR="004766A1">
        <w:rPr>
          <w:rFonts w:ascii="Times New Roman" w:hAnsi="Times New Roman"/>
          <w:b/>
          <w:bCs/>
          <w:szCs w:val="24"/>
          <w:lang w:eastAsia="en-GB"/>
        </w:rPr>
        <w:fldChar w:fldCharType="begin"/>
      </w:r>
      <w:r>
        <w:instrText xml:space="preserve"> XE "</w:instrText>
      </w:r>
      <w:r w:rsidRPr="00EA04A1">
        <w:rPr>
          <w:rFonts w:ascii="Times New Roman" w:hAnsi="Times New Roman"/>
          <w:b/>
          <w:bCs/>
          <w:szCs w:val="24"/>
          <w:lang w:eastAsia="en-GB"/>
        </w:rPr>
        <w:instrText>Employment and Labour</w:instrText>
      </w:r>
      <w:r>
        <w:instrText xml:space="preserve">" </w:instrText>
      </w:r>
      <w:r w:rsidR="004766A1">
        <w:rPr>
          <w:rFonts w:ascii="Times New Roman" w:hAnsi="Times New Roman"/>
          <w:b/>
          <w:bCs/>
          <w:szCs w:val="24"/>
          <w:lang w:eastAsia="en-GB"/>
        </w:rPr>
        <w:fldChar w:fldCharType="end"/>
      </w:r>
      <w:r w:rsidRPr="005126ED">
        <w:rPr>
          <w:rFonts w:ascii="Times New Roman" w:hAnsi="Times New Roman"/>
          <w:b/>
          <w:bCs/>
          <w:szCs w:val="24"/>
          <w:lang w:eastAsia="en-GB"/>
        </w:rPr>
        <w:t>:</w:t>
      </w:r>
    </w:p>
    <w:p w:rsidR="0029412D" w:rsidRDefault="0029412D" w:rsidP="0029412D">
      <w:pPr>
        <w:pBdr>
          <w:bottom w:val="single" w:sz="6" w:space="1" w:color="auto"/>
        </w:pBdr>
        <w:spacing w:before="100" w:beforeAutospacing="1" w:after="100" w:afterAutospacing="1" w:line="360" w:lineRule="auto"/>
        <w:ind w:left="720"/>
        <w:jc w:val="both"/>
        <w:outlineLvl w:val="0"/>
        <w:rPr>
          <w:rFonts w:cs="Arial"/>
          <w:szCs w:val="24"/>
          <w:lang w:eastAsia="en-GB"/>
        </w:rPr>
      </w:pPr>
      <w:r w:rsidRPr="0029412D">
        <w:rPr>
          <w:rFonts w:cs="Arial"/>
          <w:szCs w:val="24"/>
          <w:lang w:eastAsia="en-GB"/>
        </w:rPr>
        <w:t xml:space="preserve">(a) What are the reasons that it has </w:t>
      </w:r>
      <w:r w:rsidRPr="0029412D">
        <w:rPr>
          <w:rFonts w:cs="Arial"/>
          <w:szCs w:val="24"/>
        </w:rPr>
        <w:t>taken</w:t>
      </w:r>
      <w:r w:rsidRPr="0029412D">
        <w:rPr>
          <w:rFonts w:cs="Arial"/>
          <w:szCs w:val="24"/>
          <w:lang w:eastAsia="en-GB"/>
        </w:rPr>
        <w:t xml:space="preserve"> so long to resolve the matter of the more than 395 workers of the Mbhaba Estate, who were unfairly dismissed by their employer in 2015 when they demanded wage increases, (b)(i) </w:t>
      </w:r>
      <w:r w:rsidRPr="0029412D">
        <w:rPr>
          <w:rFonts w:eastAsia="Calibri" w:cs="Arial"/>
          <w:szCs w:val="24"/>
        </w:rPr>
        <w:t>who is responsible for the specified case and (ii) why have the workers been left in limbo and (c) on what date will he release</w:t>
      </w:r>
      <w:r w:rsidRPr="0029412D">
        <w:rPr>
          <w:rFonts w:cs="Arial"/>
          <w:szCs w:val="24"/>
          <w:lang w:eastAsia="en-GB"/>
        </w:rPr>
        <w:t xml:space="preserve"> a report as promised to the workers by the President of the Republic, Mr M C Ramaphosa, in 2017?</w:t>
      </w:r>
      <w:r w:rsidRPr="0029412D">
        <w:rPr>
          <w:rFonts w:cs="Arial"/>
          <w:b/>
          <w:szCs w:val="24"/>
          <w:lang w:eastAsia="en-GB"/>
        </w:rPr>
        <w:tab/>
      </w:r>
      <w:r w:rsidRPr="0029412D">
        <w:rPr>
          <w:rFonts w:cs="Arial"/>
          <w:b/>
          <w:szCs w:val="24"/>
          <w:lang w:eastAsia="en-GB"/>
        </w:rPr>
        <w:tab/>
      </w:r>
      <w:r w:rsidRPr="0029412D">
        <w:rPr>
          <w:rFonts w:cs="Arial"/>
          <w:b/>
          <w:szCs w:val="24"/>
          <w:lang w:eastAsia="en-GB"/>
        </w:rPr>
        <w:tab/>
      </w:r>
      <w:r w:rsidRPr="0029412D">
        <w:rPr>
          <w:rFonts w:cs="Arial"/>
          <w:b/>
          <w:szCs w:val="24"/>
          <w:lang w:eastAsia="en-GB"/>
        </w:rPr>
        <w:tab/>
      </w:r>
      <w:r w:rsidRPr="0029412D">
        <w:rPr>
          <w:rFonts w:cs="Arial"/>
          <w:b/>
          <w:szCs w:val="24"/>
          <w:lang w:eastAsia="en-GB"/>
        </w:rPr>
        <w:tab/>
      </w:r>
      <w:r w:rsidRPr="0029412D">
        <w:rPr>
          <w:rFonts w:cs="Arial"/>
          <w:b/>
          <w:szCs w:val="24"/>
          <w:lang w:eastAsia="en-GB"/>
        </w:rPr>
        <w:tab/>
      </w:r>
      <w:r w:rsidRPr="0029412D">
        <w:rPr>
          <w:rFonts w:cs="Arial"/>
          <w:b/>
          <w:szCs w:val="24"/>
          <w:lang w:eastAsia="en-GB"/>
        </w:rPr>
        <w:tab/>
      </w:r>
      <w:r w:rsidRPr="0029412D">
        <w:rPr>
          <w:rFonts w:cs="Arial"/>
          <w:b/>
          <w:szCs w:val="24"/>
          <w:lang w:eastAsia="en-GB"/>
        </w:rPr>
        <w:tab/>
      </w:r>
      <w:r w:rsidRPr="0029412D">
        <w:rPr>
          <w:rFonts w:cs="Arial"/>
          <w:szCs w:val="24"/>
          <w:lang w:eastAsia="en-GB"/>
        </w:rPr>
        <w:t>NW2363E</w:t>
      </w:r>
    </w:p>
    <w:p w:rsidR="002A0AE5" w:rsidRDefault="00E861B4" w:rsidP="002A0AE5">
      <w:pPr>
        <w:jc w:val="both"/>
        <w:rPr>
          <w:rFonts w:ascii="Arial Black" w:hAnsi="Arial Black" w:cs="Arial"/>
          <w:b/>
          <w:sz w:val="28"/>
          <w:szCs w:val="28"/>
        </w:rPr>
      </w:pPr>
      <w:r w:rsidRPr="000D371D">
        <w:rPr>
          <w:rFonts w:ascii="Arial Black" w:hAnsi="Arial Black" w:cs="Arial"/>
          <w:b/>
          <w:sz w:val="28"/>
          <w:szCs w:val="28"/>
        </w:rPr>
        <w:t>Reply:</w:t>
      </w:r>
    </w:p>
    <w:p w:rsidR="002A0AE5" w:rsidRDefault="002A0AE5" w:rsidP="002A0AE5">
      <w:pPr>
        <w:jc w:val="both"/>
        <w:rPr>
          <w:rFonts w:ascii="Arial Black" w:hAnsi="Arial Black" w:cs="Arial"/>
          <w:b/>
          <w:sz w:val="28"/>
          <w:szCs w:val="28"/>
        </w:rPr>
      </w:pPr>
    </w:p>
    <w:p w:rsidR="00803557" w:rsidRPr="00803557" w:rsidRDefault="00803557" w:rsidP="002A0AE5">
      <w:pPr>
        <w:jc w:val="both"/>
        <w:rPr>
          <w:rFonts w:eastAsia="Calibri" w:cs="Arial"/>
          <w:szCs w:val="24"/>
          <w:lang w:val="en-US"/>
        </w:rPr>
      </w:pPr>
      <w:r w:rsidRPr="00803557">
        <w:rPr>
          <w:rFonts w:ascii="Calibri" w:eastAsia="Calibri" w:hAnsi="Calibri"/>
          <w:sz w:val="22"/>
          <w:szCs w:val="22"/>
          <w:lang w:val="en-US"/>
        </w:rPr>
        <w:t xml:space="preserve"> </w:t>
      </w:r>
      <w:r w:rsidRPr="00803557">
        <w:rPr>
          <w:rFonts w:eastAsia="Calibri" w:cs="Arial"/>
          <w:szCs w:val="24"/>
          <w:lang w:val="en-US"/>
        </w:rPr>
        <w:t>The CCMA has reviewed progress on the case file and reports as follows:</w:t>
      </w:r>
    </w:p>
    <w:p w:rsidR="00803557" w:rsidRPr="00803557" w:rsidRDefault="00803557" w:rsidP="002A0AE5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 w:cs="Arial"/>
          <w:szCs w:val="24"/>
          <w:lang w:val="en-US"/>
        </w:rPr>
      </w:pPr>
      <w:r w:rsidRPr="00803557">
        <w:rPr>
          <w:rFonts w:eastAsia="Calibri" w:cs="Arial"/>
          <w:szCs w:val="24"/>
          <w:lang w:val="en-US"/>
        </w:rPr>
        <w:t>FAWU obo Mahlalela &amp; Others v Umbhaba Estates (Pty) Ltd initially relating to an Organizational Rights dispute under case MP6595-14 which, led to a strike following which employees were dismissed for misconduct.</w:t>
      </w:r>
    </w:p>
    <w:p w:rsidR="00803557" w:rsidRDefault="00803557" w:rsidP="002A0AE5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 w:cs="Arial"/>
          <w:szCs w:val="24"/>
          <w:lang w:val="en-US"/>
        </w:rPr>
      </w:pPr>
      <w:r w:rsidRPr="00803557">
        <w:rPr>
          <w:rFonts w:eastAsia="Calibri" w:cs="Arial"/>
          <w:szCs w:val="24"/>
          <w:lang w:val="en-US"/>
        </w:rPr>
        <w:t>The dismissal dispute was referred to the CCMA under case number MP10027 – 15 for dismissal of employees for participating in a strike. The dismissal was not related to wages as per the EFF parliamentary question but emanates from the dispute about Organizational Rights.</w:t>
      </w:r>
    </w:p>
    <w:p w:rsidR="002A0AE5" w:rsidRPr="00803557" w:rsidRDefault="002A0AE5" w:rsidP="002A0AE5">
      <w:pPr>
        <w:spacing w:after="160" w:line="259" w:lineRule="auto"/>
        <w:ind w:left="720"/>
        <w:contextualSpacing/>
        <w:jc w:val="both"/>
        <w:rPr>
          <w:rFonts w:eastAsia="Calibri" w:cs="Arial"/>
          <w:szCs w:val="24"/>
          <w:lang w:val="en-US"/>
        </w:rPr>
      </w:pPr>
    </w:p>
    <w:p w:rsidR="00803557" w:rsidRPr="00803557" w:rsidRDefault="00803557" w:rsidP="002A0AE5">
      <w:pPr>
        <w:spacing w:after="160" w:line="259" w:lineRule="auto"/>
        <w:jc w:val="both"/>
        <w:rPr>
          <w:rFonts w:eastAsia="Calibri" w:cs="Arial"/>
          <w:b/>
          <w:szCs w:val="24"/>
          <w:u w:val="single"/>
          <w:lang w:val="en-US"/>
        </w:rPr>
      </w:pPr>
      <w:r w:rsidRPr="00803557">
        <w:rPr>
          <w:rFonts w:eastAsia="Calibri" w:cs="Arial"/>
          <w:b/>
          <w:szCs w:val="24"/>
          <w:u w:val="single"/>
          <w:lang w:val="en-US"/>
        </w:rPr>
        <w:t>Chronology of Events</w:t>
      </w:r>
    </w:p>
    <w:p w:rsidR="00803557" w:rsidRPr="00803557" w:rsidRDefault="00803557" w:rsidP="002A0AE5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 w:cs="Arial"/>
          <w:szCs w:val="24"/>
          <w:lang w:val="en-US"/>
        </w:rPr>
      </w:pPr>
      <w:r w:rsidRPr="00803557">
        <w:rPr>
          <w:rFonts w:eastAsia="Calibri" w:cs="Arial"/>
          <w:szCs w:val="24"/>
          <w:lang w:val="en-US"/>
        </w:rPr>
        <w:lastRenderedPageBreak/>
        <w:t>The matter commenced 03 September 2014 when FAWU referred an organizational rights dispute to CCMA against Umbhaba. The matter was conciliated on 23 September 2014.</w:t>
      </w:r>
    </w:p>
    <w:p w:rsidR="00803557" w:rsidRPr="00803557" w:rsidRDefault="00803557" w:rsidP="002A0AE5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 w:cs="Arial"/>
          <w:szCs w:val="24"/>
          <w:lang w:val="en-US"/>
        </w:rPr>
      </w:pPr>
      <w:r w:rsidRPr="00803557">
        <w:rPr>
          <w:rFonts w:eastAsia="Calibri" w:cs="Arial"/>
          <w:szCs w:val="24"/>
          <w:lang w:val="en-US"/>
        </w:rPr>
        <w:t xml:space="preserve">The matter remained unresolved and a certificate of non-resolution was issued. </w:t>
      </w:r>
    </w:p>
    <w:p w:rsidR="00803557" w:rsidRPr="00803557" w:rsidRDefault="00803557" w:rsidP="002A0AE5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 w:cs="Arial"/>
          <w:szCs w:val="24"/>
          <w:lang w:val="en-US"/>
        </w:rPr>
      </w:pPr>
      <w:r w:rsidRPr="00803557">
        <w:rPr>
          <w:rFonts w:eastAsia="Calibri" w:cs="Arial"/>
          <w:szCs w:val="24"/>
          <w:lang w:val="en-US"/>
        </w:rPr>
        <w:t xml:space="preserve">FAWU opted for a strike route. </w:t>
      </w:r>
    </w:p>
    <w:p w:rsidR="00803557" w:rsidRPr="00803557" w:rsidRDefault="00803557" w:rsidP="002A0AE5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 w:cs="Arial"/>
          <w:szCs w:val="24"/>
          <w:lang w:val="en-US"/>
        </w:rPr>
      </w:pPr>
      <w:r w:rsidRPr="00803557">
        <w:rPr>
          <w:rFonts w:eastAsia="Calibri" w:cs="Arial"/>
          <w:szCs w:val="24"/>
          <w:lang w:val="en-US"/>
        </w:rPr>
        <w:t>The strike was long and protracted,in between there was intimidation and later employer dismissed the employees.</w:t>
      </w:r>
    </w:p>
    <w:p w:rsidR="00803557" w:rsidRPr="00803557" w:rsidRDefault="00803557" w:rsidP="002A0AE5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 w:cs="Arial"/>
          <w:szCs w:val="24"/>
          <w:lang w:val="en-US"/>
        </w:rPr>
      </w:pPr>
      <w:r w:rsidRPr="00803557">
        <w:rPr>
          <w:rFonts w:eastAsia="Calibri" w:cs="Arial"/>
          <w:szCs w:val="24"/>
          <w:lang w:val="en-US"/>
        </w:rPr>
        <w:t xml:space="preserve">After the dismissal, the union referred an unfair dismissal dispute to CCMA under case MP10027-15 on 18 November 2015. </w:t>
      </w:r>
    </w:p>
    <w:p w:rsidR="00803557" w:rsidRPr="00803557" w:rsidRDefault="00803557" w:rsidP="002A0AE5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 w:cs="Arial"/>
          <w:szCs w:val="24"/>
          <w:lang w:val="en-US"/>
        </w:rPr>
      </w:pPr>
      <w:r w:rsidRPr="00803557">
        <w:rPr>
          <w:rFonts w:eastAsia="Calibri" w:cs="Arial"/>
          <w:szCs w:val="24"/>
          <w:lang w:val="en-US"/>
        </w:rPr>
        <w:t>On 03 December 2015, a jurisdictional challenge was lodged.</w:t>
      </w:r>
    </w:p>
    <w:p w:rsidR="00803557" w:rsidRPr="00803557" w:rsidRDefault="00803557" w:rsidP="002A0AE5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 w:cs="Arial"/>
          <w:szCs w:val="24"/>
          <w:lang w:val="en-US"/>
        </w:rPr>
      </w:pPr>
      <w:r w:rsidRPr="00803557">
        <w:rPr>
          <w:rFonts w:eastAsia="Calibri" w:cs="Arial"/>
          <w:szCs w:val="24"/>
          <w:lang w:val="en-US"/>
        </w:rPr>
        <w:t>On 30 June 2015, the Respondent forwarded a withdrawal notice of review under Labour Court case number JR640/2016.</w:t>
      </w:r>
    </w:p>
    <w:p w:rsidR="00803557" w:rsidRPr="00803557" w:rsidRDefault="00803557" w:rsidP="002A0AE5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 w:cs="Arial"/>
          <w:szCs w:val="24"/>
          <w:lang w:val="en-US"/>
        </w:rPr>
      </w:pPr>
      <w:r w:rsidRPr="00803557">
        <w:rPr>
          <w:rFonts w:eastAsia="Calibri" w:cs="Arial"/>
          <w:szCs w:val="24"/>
          <w:lang w:val="en-US"/>
        </w:rPr>
        <w:t>On 01 July 2016, the parties were directed to hold a pre-arbitration conference scheduled for 25 July 2016.</w:t>
      </w:r>
    </w:p>
    <w:p w:rsidR="00803557" w:rsidRPr="00803557" w:rsidRDefault="00803557" w:rsidP="002A0AE5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 w:cs="Arial"/>
          <w:szCs w:val="24"/>
          <w:lang w:val="en-US"/>
        </w:rPr>
      </w:pPr>
      <w:r w:rsidRPr="00803557">
        <w:rPr>
          <w:rFonts w:eastAsia="Calibri" w:cs="Arial"/>
          <w:szCs w:val="24"/>
          <w:lang w:val="en-US"/>
        </w:rPr>
        <w:t>On 03 July 2017, the Applicant attorney forwarded a notice of attorney of record withdrawal.</w:t>
      </w:r>
    </w:p>
    <w:p w:rsidR="00803557" w:rsidRPr="00803557" w:rsidRDefault="00803557" w:rsidP="002A0AE5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 w:cs="Arial"/>
          <w:szCs w:val="24"/>
          <w:lang w:val="en-US"/>
        </w:rPr>
      </w:pPr>
      <w:r w:rsidRPr="00803557">
        <w:rPr>
          <w:rFonts w:eastAsia="Calibri" w:cs="Arial"/>
          <w:szCs w:val="24"/>
          <w:lang w:val="en-US"/>
        </w:rPr>
        <w:t>On 04 October 2018, the Respondent attorney sought a postponement of the arbitration which was opposed by the Applicant.</w:t>
      </w:r>
    </w:p>
    <w:p w:rsidR="00803557" w:rsidRPr="00803557" w:rsidRDefault="00803557" w:rsidP="002A0AE5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 w:cs="Arial"/>
          <w:szCs w:val="24"/>
          <w:lang w:val="en-US"/>
        </w:rPr>
      </w:pPr>
      <w:r w:rsidRPr="00803557">
        <w:rPr>
          <w:rFonts w:eastAsia="Calibri" w:cs="Arial"/>
          <w:szCs w:val="24"/>
          <w:lang w:val="en-US"/>
        </w:rPr>
        <w:t>On 12 April 2019, the Respondent attorney forwarded a notice of attorney of record withdrawal.</w:t>
      </w:r>
    </w:p>
    <w:p w:rsidR="00803557" w:rsidRPr="00803557" w:rsidRDefault="00803557" w:rsidP="002A0AE5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 w:cs="Arial"/>
          <w:szCs w:val="24"/>
          <w:lang w:val="en-US"/>
        </w:rPr>
      </w:pPr>
      <w:r w:rsidRPr="00803557">
        <w:rPr>
          <w:rFonts w:eastAsia="Calibri" w:cs="Arial"/>
          <w:szCs w:val="24"/>
          <w:lang w:val="en-US"/>
        </w:rPr>
        <w:t>On 28 October 2019, the dispute was postponed without a date and the file closed on account of the intention of the Respondent to file a review application at the Labour Court.</w:t>
      </w:r>
    </w:p>
    <w:p w:rsidR="00803557" w:rsidRPr="00803557" w:rsidRDefault="00803557" w:rsidP="002A0AE5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 w:cs="Arial"/>
          <w:szCs w:val="24"/>
          <w:lang w:val="en-US"/>
        </w:rPr>
      </w:pPr>
      <w:r w:rsidRPr="00803557">
        <w:rPr>
          <w:rFonts w:eastAsia="Calibri" w:cs="Arial"/>
          <w:szCs w:val="24"/>
          <w:lang w:val="en-US"/>
        </w:rPr>
        <w:t>The CCMA received the review application on 18 November 2019.</w:t>
      </w:r>
    </w:p>
    <w:p w:rsidR="00803557" w:rsidRPr="00803557" w:rsidRDefault="00803557" w:rsidP="002A0AE5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 w:cs="Arial"/>
          <w:szCs w:val="24"/>
          <w:lang w:val="en-US"/>
        </w:rPr>
      </w:pPr>
      <w:r w:rsidRPr="00803557">
        <w:rPr>
          <w:rFonts w:eastAsia="Calibri" w:cs="Arial"/>
          <w:szCs w:val="24"/>
          <w:lang w:val="en-US"/>
        </w:rPr>
        <w:t>To date, the matter remains before the Labour Court.</w:t>
      </w:r>
    </w:p>
    <w:p w:rsidR="00E861B4" w:rsidRPr="00803557" w:rsidRDefault="00E861B4" w:rsidP="002A0AE5">
      <w:pPr>
        <w:spacing w:before="100" w:beforeAutospacing="1" w:after="100" w:afterAutospacing="1"/>
        <w:jc w:val="both"/>
        <w:outlineLvl w:val="0"/>
        <w:rPr>
          <w:rFonts w:cs="Arial"/>
          <w:b/>
          <w:szCs w:val="24"/>
        </w:rPr>
      </w:pPr>
    </w:p>
    <w:p w:rsidR="00902977" w:rsidRPr="00803557" w:rsidRDefault="00902977" w:rsidP="002A0AE5">
      <w:pPr>
        <w:spacing w:before="100" w:beforeAutospacing="1" w:after="100" w:afterAutospacing="1"/>
        <w:ind w:left="720" w:hanging="720"/>
        <w:jc w:val="both"/>
        <w:outlineLvl w:val="0"/>
        <w:rPr>
          <w:rFonts w:cs="Arial"/>
          <w:b/>
          <w:szCs w:val="24"/>
        </w:rPr>
      </w:pPr>
    </w:p>
    <w:sectPr w:rsidR="00902977" w:rsidRPr="00803557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76E" w:rsidRDefault="00F9376E" w:rsidP="00646E39">
      <w:r>
        <w:separator/>
      </w:r>
    </w:p>
  </w:endnote>
  <w:endnote w:type="continuationSeparator" w:id="0">
    <w:p w:rsidR="00F9376E" w:rsidRDefault="00F9376E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4766A1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F9376E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76E" w:rsidRDefault="00F9376E" w:rsidP="00646E39">
      <w:r>
        <w:separator/>
      </w:r>
    </w:p>
  </w:footnote>
  <w:footnote w:type="continuationSeparator" w:id="0">
    <w:p w:rsidR="00F9376E" w:rsidRDefault="00F9376E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DE4D48"/>
    <w:multiLevelType w:val="hybridMultilevel"/>
    <w:tmpl w:val="2A8EE1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B51A9"/>
    <w:multiLevelType w:val="hybridMultilevel"/>
    <w:tmpl w:val="F4723B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105B2"/>
    <w:rsid w:val="0004639E"/>
    <w:rsid w:val="00053D39"/>
    <w:rsid w:val="00060BC9"/>
    <w:rsid w:val="0007006C"/>
    <w:rsid w:val="00070E30"/>
    <w:rsid w:val="00092359"/>
    <w:rsid w:val="000A415E"/>
    <w:rsid w:val="000B46BB"/>
    <w:rsid w:val="000D371D"/>
    <w:rsid w:val="000E3E84"/>
    <w:rsid w:val="001160E8"/>
    <w:rsid w:val="00132042"/>
    <w:rsid w:val="0013744A"/>
    <w:rsid w:val="00146B10"/>
    <w:rsid w:val="001872A7"/>
    <w:rsid w:val="00197D8E"/>
    <w:rsid w:val="001E3EA4"/>
    <w:rsid w:val="00210A29"/>
    <w:rsid w:val="00210E97"/>
    <w:rsid w:val="002244FC"/>
    <w:rsid w:val="00227098"/>
    <w:rsid w:val="002373A4"/>
    <w:rsid w:val="0024010C"/>
    <w:rsid w:val="002864BC"/>
    <w:rsid w:val="00287415"/>
    <w:rsid w:val="0029412D"/>
    <w:rsid w:val="002A0AE5"/>
    <w:rsid w:val="002A5795"/>
    <w:rsid w:val="002B3EC8"/>
    <w:rsid w:val="002D38A3"/>
    <w:rsid w:val="002E2FA2"/>
    <w:rsid w:val="00303EA7"/>
    <w:rsid w:val="00303FE9"/>
    <w:rsid w:val="003229FB"/>
    <w:rsid w:val="00337B29"/>
    <w:rsid w:val="00356381"/>
    <w:rsid w:val="003946AA"/>
    <w:rsid w:val="0039754E"/>
    <w:rsid w:val="003C2B89"/>
    <w:rsid w:val="003C538B"/>
    <w:rsid w:val="003E7F6C"/>
    <w:rsid w:val="003F2035"/>
    <w:rsid w:val="003F2860"/>
    <w:rsid w:val="003F3DBF"/>
    <w:rsid w:val="00412B11"/>
    <w:rsid w:val="0041333B"/>
    <w:rsid w:val="00472A7F"/>
    <w:rsid w:val="00473D97"/>
    <w:rsid w:val="004766A1"/>
    <w:rsid w:val="00486ED4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1244B"/>
    <w:rsid w:val="00531FBB"/>
    <w:rsid w:val="00540E0B"/>
    <w:rsid w:val="005454F7"/>
    <w:rsid w:val="00551E1A"/>
    <w:rsid w:val="0057390A"/>
    <w:rsid w:val="005A270F"/>
    <w:rsid w:val="005B0B22"/>
    <w:rsid w:val="005B5F7A"/>
    <w:rsid w:val="005D4FC4"/>
    <w:rsid w:val="00611C65"/>
    <w:rsid w:val="00624906"/>
    <w:rsid w:val="00646E39"/>
    <w:rsid w:val="00682242"/>
    <w:rsid w:val="00683A8C"/>
    <w:rsid w:val="006A0D54"/>
    <w:rsid w:val="006A3CC4"/>
    <w:rsid w:val="006B2322"/>
    <w:rsid w:val="006B3814"/>
    <w:rsid w:val="006B59F9"/>
    <w:rsid w:val="006B66A3"/>
    <w:rsid w:val="00701F0B"/>
    <w:rsid w:val="00720156"/>
    <w:rsid w:val="00723C32"/>
    <w:rsid w:val="00736601"/>
    <w:rsid w:val="007426A8"/>
    <w:rsid w:val="00773011"/>
    <w:rsid w:val="007B5AD1"/>
    <w:rsid w:val="007D51CE"/>
    <w:rsid w:val="007D67F5"/>
    <w:rsid w:val="007D782A"/>
    <w:rsid w:val="007E3ECB"/>
    <w:rsid w:val="007E6F52"/>
    <w:rsid w:val="007F7723"/>
    <w:rsid w:val="00803557"/>
    <w:rsid w:val="008106C5"/>
    <w:rsid w:val="00810C11"/>
    <w:rsid w:val="0084624F"/>
    <w:rsid w:val="0084742A"/>
    <w:rsid w:val="00884E77"/>
    <w:rsid w:val="008D3F07"/>
    <w:rsid w:val="00902977"/>
    <w:rsid w:val="00917A69"/>
    <w:rsid w:val="0093224E"/>
    <w:rsid w:val="00933E1F"/>
    <w:rsid w:val="00961B84"/>
    <w:rsid w:val="009A51E9"/>
    <w:rsid w:val="009B0C6D"/>
    <w:rsid w:val="009B14B2"/>
    <w:rsid w:val="009B779E"/>
    <w:rsid w:val="009D7180"/>
    <w:rsid w:val="009E7E58"/>
    <w:rsid w:val="009F0E69"/>
    <w:rsid w:val="009F46AD"/>
    <w:rsid w:val="009F48F8"/>
    <w:rsid w:val="00A0027A"/>
    <w:rsid w:val="00A17A42"/>
    <w:rsid w:val="00A32CCC"/>
    <w:rsid w:val="00A55C17"/>
    <w:rsid w:val="00A601AA"/>
    <w:rsid w:val="00A76353"/>
    <w:rsid w:val="00AB7EDD"/>
    <w:rsid w:val="00AC0747"/>
    <w:rsid w:val="00AC170C"/>
    <w:rsid w:val="00AD7C35"/>
    <w:rsid w:val="00AE1499"/>
    <w:rsid w:val="00AE2D7E"/>
    <w:rsid w:val="00AE6850"/>
    <w:rsid w:val="00AF5608"/>
    <w:rsid w:val="00B042D7"/>
    <w:rsid w:val="00B0592D"/>
    <w:rsid w:val="00B371F7"/>
    <w:rsid w:val="00B506F8"/>
    <w:rsid w:val="00B70947"/>
    <w:rsid w:val="00B711C5"/>
    <w:rsid w:val="00B86FFB"/>
    <w:rsid w:val="00B9586C"/>
    <w:rsid w:val="00B95ED7"/>
    <w:rsid w:val="00BB0477"/>
    <w:rsid w:val="00BB70CA"/>
    <w:rsid w:val="00BB75DA"/>
    <w:rsid w:val="00BC26EE"/>
    <w:rsid w:val="00BF0DE8"/>
    <w:rsid w:val="00C0505E"/>
    <w:rsid w:val="00C15480"/>
    <w:rsid w:val="00C60A5C"/>
    <w:rsid w:val="00C65770"/>
    <w:rsid w:val="00C66E3E"/>
    <w:rsid w:val="00C75C93"/>
    <w:rsid w:val="00CA6885"/>
    <w:rsid w:val="00CB422B"/>
    <w:rsid w:val="00CE2837"/>
    <w:rsid w:val="00CE4338"/>
    <w:rsid w:val="00CF0FEF"/>
    <w:rsid w:val="00D13158"/>
    <w:rsid w:val="00D208A6"/>
    <w:rsid w:val="00D46D12"/>
    <w:rsid w:val="00D5427E"/>
    <w:rsid w:val="00D64996"/>
    <w:rsid w:val="00D66930"/>
    <w:rsid w:val="00D77B26"/>
    <w:rsid w:val="00D833A0"/>
    <w:rsid w:val="00D91831"/>
    <w:rsid w:val="00DC4EA3"/>
    <w:rsid w:val="00E26639"/>
    <w:rsid w:val="00E335AE"/>
    <w:rsid w:val="00E414A9"/>
    <w:rsid w:val="00E46C6E"/>
    <w:rsid w:val="00E47DA5"/>
    <w:rsid w:val="00E516AA"/>
    <w:rsid w:val="00E533B0"/>
    <w:rsid w:val="00E60511"/>
    <w:rsid w:val="00E62F07"/>
    <w:rsid w:val="00E65D3A"/>
    <w:rsid w:val="00E7319D"/>
    <w:rsid w:val="00E81CCC"/>
    <w:rsid w:val="00E83359"/>
    <w:rsid w:val="00E861B4"/>
    <w:rsid w:val="00E87985"/>
    <w:rsid w:val="00E91253"/>
    <w:rsid w:val="00E91284"/>
    <w:rsid w:val="00E95CE7"/>
    <w:rsid w:val="00EB7C76"/>
    <w:rsid w:val="00ED1116"/>
    <w:rsid w:val="00EF5848"/>
    <w:rsid w:val="00F43048"/>
    <w:rsid w:val="00F9376E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2984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Thembinkosi Mkalipi (HQ)</dc:creator>
  <cp:lastModifiedBy>USER</cp:lastModifiedBy>
  <cp:revision>2</cp:revision>
  <cp:lastPrinted>2020-05-08T13:07:00Z</cp:lastPrinted>
  <dcterms:created xsi:type="dcterms:W3CDTF">2022-06-06T08:51:00Z</dcterms:created>
  <dcterms:modified xsi:type="dcterms:W3CDTF">2022-06-06T08:51:00Z</dcterms:modified>
</cp:coreProperties>
</file>