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74175C"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 xml:space="preserve">National Assembly </w:t>
      </w:r>
    </w:p>
    <w:p w:rsidR="0074175C" w:rsidRDefault="0074175C"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202</w:t>
      </w:r>
    </w:p>
    <w:p w:rsidR="009F6B92" w:rsidRPr="009F6B92" w:rsidRDefault="009F6B92" w:rsidP="009F6B92">
      <w:pPr>
        <w:spacing w:before="100" w:beforeAutospacing="1" w:after="100" w:afterAutospacing="1"/>
        <w:ind w:left="709" w:hanging="709"/>
        <w:jc w:val="both"/>
        <w:outlineLvl w:val="0"/>
        <w:rPr>
          <w:rFonts w:ascii="Arial" w:hAnsi="Arial" w:cs="Arial"/>
          <w:b/>
          <w:sz w:val="22"/>
          <w:szCs w:val="22"/>
        </w:rPr>
      </w:pPr>
      <w:r w:rsidRPr="009F6B92">
        <w:rPr>
          <w:rFonts w:ascii="Arial" w:hAnsi="Arial" w:cs="Arial"/>
          <w:b/>
          <w:sz w:val="22"/>
          <w:szCs w:val="22"/>
        </w:rPr>
        <w:t>Mr M S Malatsi (DA) to ask the Minister of Transport</w:t>
      </w:r>
      <w:r w:rsidRPr="009F6B92">
        <w:rPr>
          <w:rFonts w:ascii="Arial" w:hAnsi="Arial" w:cs="Arial"/>
          <w:b/>
          <w:sz w:val="22"/>
          <w:szCs w:val="22"/>
        </w:rPr>
        <w:fldChar w:fldCharType="begin"/>
      </w:r>
      <w:r w:rsidRPr="009F6B92">
        <w:rPr>
          <w:rFonts w:ascii="Arial" w:hAnsi="Arial" w:cs="Arial"/>
          <w:sz w:val="22"/>
          <w:szCs w:val="22"/>
        </w:rPr>
        <w:instrText xml:space="preserve"> XE "</w:instrText>
      </w:r>
      <w:r w:rsidRPr="009F6B92">
        <w:rPr>
          <w:rFonts w:ascii="Arial" w:hAnsi="Arial" w:cs="Arial"/>
          <w:b/>
          <w:sz w:val="22"/>
          <w:szCs w:val="22"/>
        </w:rPr>
        <w:instrText>Transport</w:instrText>
      </w:r>
      <w:r w:rsidRPr="009F6B92">
        <w:rPr>
          <w:rFonts w:ascii="Arial" w:hAnsi="Arial" w:cs="Arial"/>
          <w:sz w:val="22"/>
          <w:szCs w:val="22"/>
        </w:rPr>
        <w:instrText xml:space="preserve">" </w:instrText>
      </w:r>
      <w:r w:rsidRPr="009F6B92">
        <w:rPr>
          <w:rFonts w:ascii="Arial" w:hAnsi="Arial" w:cs="Arial"/>
          <w:b/>
          <w:sz w:val="22"/>
          <w:szCs w:val="22"/>
        </w:rPr>
        <w:fldChar w:fldCharType="end"/>
      </w:r>
      <w:r w:rsidRPr="009F6B92">
        <w:rPr>
          <w:rFonts w:ascii="Arial" w:hAnsi="Arial" w:cs="Arial"/>
          <w:b/>
          <w:sz w:val="22"/>
          <w:szCs w:val="22"/>
        </w:rPr>
        <w:t>:</w:t>
      </w:r>
    </w:p>
    <w:p w:rsidR="009F6B92" w:rsidRPr="009F6B92" w:rsidRDefault="009F6B92" w:rsidP="009F6B92">
      <w:pPr>
        <w:spacing w:before="100" w:beforeAutospacing="1" w:after="100" w:afterAutospacing="1"/>
        <w:ind w:left="720"/>
        <w:jc w:val="both"/>
        <w:outlineLvl w:val="0"/>
        <w:rPr>
          <w:rFonts w:ascii="Arial" w:hAnsi="Arial" w:cs="Arial"/>
          <w:sz w:val="22"/>
          <w:szCs w:val="22"/>
        </w:rPr>
      </w:pPr>
      <w:r w:rsidRPr="009F6B92">
        <w:rPr>
          <w:rFonts w:ascii="Arial" w:hAnsi="Arial" w:cs="Arial"/>
          <w:sz w:val="22"/>
          <w:szCs w:val="22"/>
        </w:rPr>
        <w:t>(a) What number of supplier invoices 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r w:rsidRPr="009F6B92">
        <w:rPr>
          <w:rFonts w:ascii="Arial" w:hAnsi="Arial" w:cs="Arial"/>
          <w:sz w:val="22"/>
          <w:szCs w:val="22"/>
        </w:rPr>
        <w:tab/>
      </w:r>
      <w:r w:rsidRPr="009F6B92">
        <w:rPr>
          <w:rFonts w:ascii="Arial" w:hAnsi="Arial" w:cs="Arial"/>
          <w:sz w:val="22"/>
          <w:szCs w:val="22"/>
        </w:rPr>
        <w:tab/>
        <w:t>NW206E</w:t>
      </w:r>
    </w:p>
    <w:p w:rsidR="00D15269" w:rsidRDefault="00D15269" w:rsidP="00806B90">
      <w:pPr>
        <w:spacing w:before="100" w:beforeAutospacing="1" w:after="100" w:afterAutospacing="1"/>
        <w:jc w:val="both"/>
        <w:rPr>
          <w:rFonts w:ascii="Arial" w:hAnsi="Arial" w:cs="Arial"/>
          <w:b/>
          <w:bCs/>
          <w:sz w:val="22"/>
          <w:szCs w:val="22"/>
          <w:lang w:val="en-US"/>
        </w:rPr>
      </w:pP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B065F1" w:rsidRPr="00CE2880" w:rsidRDefault="00CE2880" w:rsidP="00CE2880">
      <w:pPr>
        <w:numPr>
          <w:ilvl w:val="0"/>
          <w:numId w:val="27"/>
        </w:numPr>
        <w:jc w:val="both"/>
        <w:rPr>
          <w:rFonts w:ascii="Arial" w:hAnsi="Arial" w:cs="Arial"/>
          <w:b/>
          <w:sz w:val="22"/>
          <w:szCs w:val="22"/>
        </w:rPr>
      </w:pPr>
      <w:r w:rsidRPr="00CE2880">
        <w:rPr>
          <w:rFonts w:ascii="Arial" w:hAnsi="Arial" w:cs="Arial"/>
          <w:b/>
          <w:sz w:val="22"/>
          <w:szCs w:val="22"/>
        </w:rPr>
        <w:t>Department</w:t>
      </w:r>
    </w:p>
    <w:p w:rsidR="00CE2880" w:rsidRPr="00CB2AB7" w:rsidRDefault="00CE2880" w:rsidP="00B065F1">
      <w:pPr>
        <w:jc w:val="both"/>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082"/>
        <w:gridCol w:w="2884"/>
      </w:tblGrid>
      <w:tr w:rsidR="00B065F1" w:rsidRPr="00353C6A" w:rsidTr="00353C6A">
        <w:tc>
          <w:tcPr>
            <w:tcW w:w="3260" w:type="dxa"/>
            <w:shd w:val="clear" w:color="auto" w:fill="auto"/>
          </w:tcPr>
          <w:p w:rsidR="00B065F1" w:rsidRPr="00353C6A" w:rsidRDefault="00B065F1" w:rsidP="00B065F1">
            <w:pPr>
              <w:rPr>
                <w:rFonts w:ascii="Arial" w:eastAsia="Calibri" w:hAnsi="Arial" w:cs="Arial"/>
                <w:b/>
                <w:color w:val="000000"/>
                <w:sz w:val="22"/>
                <w:szCs w:val="22"/>
              </w:rPr>
            </w:pPr>
            <w:bookmarkStart w:id="0" w:name="_Hlk71548594"/>
            <w:r w:rsidRPr="00353C6A">
              <w:rPr>
                <w:rFonts w:ascii="Arial" w:eastAsia="Calibri" w:hAnsi="Arial" w:cs="Arial"/>
                <w:b/>
                <w:color w:val="000000"/>
                <w:sz w:val="22"/>
                <w:szCs w:val="22"/>
              </w:rPr>
              <w:t>Invoice Age Analysis</w:t>
            </w:r>
          </w:p>
        </w:tc>
        <w:tc>
          <w:tcPr>
            <w:tcW w:w="2082" w:type="dxa"/>
            <w:shd w:val="clear" w:color="auto" w:fill="auto"/>
          </w:tcPr>
          <w:p w:rsidR="00B065F1" w:rsidRPr="00353C6A" w:rsidRDefault="00B065F1" w:rsidP="00B065F1">
            <w:pPr>
              <w:rPr>
                <w:rFonts w:ascii="Arial" w:eastAsia="Calibri" w:hAnsi="Arial" w:cs="Arial"/>
                <w:b/>
                <w:color w:val="000000"/>
                <w:sz w:val="22"/>
                <w:szCs w:val="22"/>
              </w:rPr>
            </w:pPr>
            <w:r w:rsidRPr="00353C6A">
              <w:rPr>
                <w:rFonts w:ascii="Arial" w:eastAsia="Calibri" w:hAnsi="Arial" w:cs="Arial"/>
                <w:b/>
                <w:color w:val="000000"/>
                <w:sz w:val="22"/>
                <w:szCs w:val="22"/>
              </w:rPr>
              <w:t>Number of Invoices</w:t>
            </w:r>
          </w:p>
        </w:tc>
        <w:tc>
          <w:tcPr>
            <w:tcW w:w="2884" w:type="dxa"/>
            <w:shd w:val="clear" w:color="auto" w:fill="auto"/>
          </w:tcPr>
          <w:p w:rsidR="00B065F1" w:rsidRPr="00353C6A" w:rsidRDefault="00B065F1" w:rsidP="00B065F1">
            <w:pPr>
              <w:rPr>
                <w:rFonts w:ascii="Arial" w:eastAsia="Calibri" w:hAnsi="Arial" w:cs="Arial"/>
                <w:b/>
                <w:color w:val="000000"/>
                <w:sz w:val="22"/>
                <w:szCs w:val="22"/>
              </w:rPr>
            </w:pPr>
            <w:r w:rsidRPr="00353C6A">
              <w:rPr>
                <w:rFonts w:ascii="Arial" w:eastAsia="Calibri" w:hAnsi="Arial" w:cs="Arial"/>
                <w:b/>
                <w:color w:val="000000"/>
                <w:sz w:val="22"/>
                <w:szCs w:val="22"/>
              </w:rPr>
              <w:t>Total Amount (b)</w:t>
            </w:r>
          </w:p>
        </w:tc>
      </w:tr>
      <w:tr w:rsidR="00B065F1" w:rsidRPr="00353C6A" w:rsidTr="00353C6A">
        <w:tc>
          <w:tcPr>
            <w:tcW w:w="3260" w:type="dxa"/>
            <w:shd w:val="clear" w:color="auto" w:fill="auto"/>
          </w:tcPr>
          <w:p w:rsidR="00B065F1" w:rsidRPr="00353C6A" w:rsidRDefault="00B065F1" w:rsidP="00353C6A">
            <w:pPr>
              <w:jc w:val="both"/>
              <w:rPr>
                <w:rFonts w:ascii="Arial" w:eastAsia="Calibri" w:hAnsi="Arial" w:cs="Arial"/>
                <w:color w:val="000000"/>
                <w:sz w:val="22"/>
                <w:szCs w:val="22"/>
              </w:rPr>
            </w:pPr>
            <w:r w:rsidRPr="00353C6A">
              <w:rPr>
                <w:rFonts w:ascii="Arial" w:eastAsia="Calibri" w:hAnsi="Arial" w:cs="Arial"/>
                <w:color w:val="000000"/>
                <w:sz w:val="22"/>
                <w:szCs w:val="22"/>
              </w:rPr>
              <w:t>More than 30 days (aa)</w:t>
            </w:r>
          </w:p>
        </w:tc>
        <w:tc>
          <w:tcPr>
            <w:tcW w:w="2082" w:type="dxa"/>
            <w:shd w:val="clear" w:color="auto" w:fill="auto"/>
            <w:vAlign w:val="bottom"/>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29</w:t>
            </w:r>
          </w:p>
        </w:tc>
        <w:tc>
          <w:tcPr>
            <w:tcW w:w="2884" w:type="dxa"/>
            <w:shd w:val="clear" w:color="auto" w:fill="auto"/>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R 71,851.69</w:t>
            </w:r>
          </w:p>
        </w:tc>
      </w:tr>
      <w:tr w:rsidR="00B065F1" w:rsidRPr="00353C6A" w:rsidTr="00353C6A">
        <w:tc>
          <w:tcPr>
            <w:tcW w:w="3260" w:type="dxa"/>
            <w:shd w:val="clear" w:color="auto" w:fill="auto"/>
          </w:tcPr>
          <w:p w:rsidR="00B065F1" w:rsidRPr="00353C6A" w:rsidRDefault="00B065F1" w:rsidP="00353C6A">
            <w:pPr>
              <w:jc w:val="both"/>
              <w:rPr>
                <w:rFonts w:ascii="Arial" w:eastAsia="Calibri" w:hAnsi="Arial" w:cs="Arial"/>
                <w:color w:val="000000"/>
                <w:sz w:val="22"/>
                <w:szCs w:val="22"/>
              </w:rPr>
            </w:pPr>
            <w:r w:rsidRPr="00353C6A">
              <w:rPr>
                <w:rFonts w:ascii="Arial" w:eastAsia="Calibri" w:hAnsi="Arial" w:cs="Arial"/>
                <w:color w:val="000000"/>
                <w:sz w:val="22"/>
                <w:szCs w:val="22"/>
              </w:rPr>
              <w:t>More than 60 days (bb)</w:t>
            </w:r>
          </w:p>
        </w:tc>
        <w:tc>
          <w:tcPr>
            <w:tcW w:w="2082" w:type="dxa"/>
            <w:shd w:val="clear" w:color="auto" w:fill="auto"/>
            <w:vAlign w:val="bottom"/>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13</w:t>
            </w:r>
          </w:p>
        </w:tc>
        <w:tc>
          <w:tcPr>
            <w:tcW w:w="2884" w:type="dxa"/>
            <w:shd w:val="clear" w:color="auto" w:fill="auto"/>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R 35,607.16</w:t>
            </w:r>
          </w:p>
        </w:tc>
      </w:tr>
      <w:tr w:rsidR="00B065F1" w:rsidRPr="00353C6A" w:rsidTr="00353C6A">
        <w:tc>
          <w:tcPr>
            <w:tcW w:w="3260" w:type="dxa"/>
            <w:shd w:val="clear" w:color="auto" w:fill="auto"/>
          </w:tcPr>
          <w:p w:rsidR="00B065F1" w:rsidRPr="00353C6A" w:rsidRDefault="00B065F1" w:rsidP="00353C6A">
            <w:pPr>
              <w:jc w:val="both"/>
              <w:rPr>
                <w:rFonts w:ascii="Arial" w:eastAsia="Calibri" w:hAnsi="Arial" w:cs="Arial"/>
                <w:color w:val="000000"/>
                <w:sz w:val="22"/>
                <w:szCs w:val="22"/>
              </w:rPr>
            </w:pPr>
            <w:r w:rsidRPr="00353C6A">
              <w:rPr>
                <w:rFonts w:ascii="Arial" w:eastAsia="Calibri" w:hAnsi="Arial" w:cs="Arial"/>
                <w:color w:val="000000"/>
                <w:sz w:val="22"/>
                <w:szCs w:val="22"/>
              </w:rPr>
              <w:t>More than 90 days (cc)</w:t>
            </w:r>
          </w:p>
        </w:tc>
        <w:tc>
          <w:tcPr>
            <w:tcW w:w="2082" w:type="dxa"/>
            <w:shd w:val="clear" w:color="auto" w:fill="auto"/>
            <w:vAlign w:val="bottom"/>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0</w:t>
            </w:r>
          </w:p>
        </w:tc>
        <w:tc>
          <w:tcPr>
            <w:tcW w:w="2884" w:type="dxa"/>
            <w:shd w:val="clear" w:color="auto" w:fill="auto"/>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R 0.00</w:t>
            </w:r>
          </w:p>
        </w:tc>
      </w:tr>
      <w:tr w:rsidR="00B065F1" w:rsidRPr="00353C6A" w:rsidTr="00353C6A">
        <w:tc>
          <w:tcPr>
            <w:tcW w:w="3260" w:type="dxa"/>
            <w:shd w:val="clear" w:color="auto" w:fill="auto"/>
          </w:tcPr>
          <w:p w:rsidR="00B065F1" w:rsidRPr="00353C6A" w:rsidRDefault="00B065F1" w:rsidP="00353C6A">
            <w:pPr>
              <w:jc w:val="both"/>
              <w:rPr>
                <w:rFonts w:ascii="Arial" w:eastAsia="Calibri" w:hAnsi="Arial" w:cs="Arial"/>
                <w:color w:val="000000"/>
                <w:sz w:val="22"/>
                <w:szCs w:val="22"/>
              </w:rPr>
            </w:pPr>
            <w:r w:rsidRPr="00353C6A">
              <w:rPr>
                <w:rFonts w:ascii="Arial" w:eastAsia="Calibri" w:hAnsi="Arial" w:cs="Arial"/>
                <w:color w:val="000000"/>
                <w:sz w:val="22"/>
                <w:szCs w:val="22"/>
              </w:rPr>
              <w:t>More than 120 days (dd)</w:t>
            </w:r>
          </w:p>
        </w:tc>
        <w:tc>
          <w:tcPr>
            <w:tcW w:w="2082" w:type="dxa"/>
            <w:shd w:val="clear" w:color="auto" w:fill="auto"/>
            <w:vAlign w:val="bottom"/>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223</w:t>
            </w:r>
          </w:p>
        </w:tc>
        <w:tc>
          <w:tcPr>
            <w:tcW w:w="2884" w:type="dxa"/>
            <w:shd w:val="clear" w:color="auto" w:fill="auto"/>
          </w:tcPr>
          <w:p w:rsidR="00B065F1" w:rsidRPr="00353C6A" w:rsidRDefault="00B065F1" w:rsidP="00353C6A">
            <w:pPr>
              <w:jc w:val="right"/>
              <w:rPr>
                <w:rFonts w:ascii="Arial" w:eastAsia="Calibri" w:hAnsi="Arial" w:cs="Arial"/>
                <w:color w:val="000000"/>
                <w:sz w:val="22"/>
                <w:szCs w:val="22"/>
              </w:rPr>
            </w:pPr>
            <w:r w:rsidRPr="00353C6A">
              <w:rPr>
                <w:rFonts w:ascii="Arial" w:eastAsia="Calibri" w:hAnsi="Arial" w:cs="Arial"/>
                <w:color w:val="000000"/>
                <w:sz w:val="22"/>
                <w:szCs w:val="22"/>
              </w:rPr>
              <w:t>R 1,187,235.53</w:t>
            </w:r>
          </w:p>
        </w:tc>
      </w:tr>
      <w:tr w:rsidR="00B065F1" w:rsidRPr="00353C6A" w:rsidTr="00353C6A">
        <w:tc>
          <w:tcPr>
            <w:tcW w:w="3260" w:type="dxa"/>
            <w:shd w:val="clear" w:color="auto" w:fill="auto"/>
          </w:tcPr>
          <w:p w:rsidR="00B065F1" w:rsidRPr="00353C6A" w:rsidRDefault="00B065F1" w:rsidP="00353C6A">
            <w:pPr>
              <w:jc w:val="both"/>
              <w:rPr>
                <w:rFonts w:ascii="Arial" w:eastAsia="Calibri" w:hAnsi="Arial" w:cs="Arial"/>
                <w:b/>
                <w:color w:val="000000"/>
                <w:sz w:val="22"/>
                <w:szCs w:val="22"/>
              </w:rPr>
            </w:pPr>
            <w:r w:rsidRPr="00353C6A">
              <w:rPr>
                <w:rFonts w:ascii="Arial" w:eastAsia="Calibri" w:hAnsi="Arial" w:cs="Arial"/>
                <w:b/>
                <w:color w:val="000000"/>
                <w:sz w:val="22"/>
                <w:szCs w:val="22"/>
              </w:rPr>
              <w:t>Total</w:t>
            </w:r>
          </w:p>
        </w:tc>
        <w:tc>
          <w:tcPr>
            <w:tcW w:w="2082" w:type="dxa"/>
            <w:shd w:val="clear" w:color="auto" w:fill="auto"/>
            <w:vAlign w:val="bottom"/>
          </w:tcPr>
          <w:p w:rsidR="00B065F1" w:rsidRPr="00353C6A" w:rsidRDefault="00B065F1" w:rsidP="00353C6A">
            <w:pPr>
              <w:jc w:val="right"/>
              <w:rPr>
                <w:rFonts w:ascii="Arial" w:eastAsia="Calibri" w:hAnsi="Arial" w:cs="Arial"/>
                <w:b/>
                <w:color w:val="000000"/>
                <w:sz w:val="22"/>
                <w:szCs w:val="22"/>
              </w:rPr>
            </w:pPr>
            <w:r w:rsidRPr="00353C6A">
              <w:rPr>
                <w:rFonts w:ascii="Arial" w:eastAsia="Calibri" w:hAnsi="Arial" w:cs="Arial"/>
                <w:b/>
                <w:color w:val="000000"/>
                <w:sz w:val="22"/>
                <w:szCs w:val="22"/>
              </w:rPr>
              <w:t>265</w:t>
            </w:r>
          </w:p>
        </w:tc>
        <w:tc>
          <w:tcPr>
            <w:tcW w:w="2884" w:type="dxa"/>
            <w:shd w:val="clear" w:color="auto" w:fill="auto"/>
          </w:tcPr>
          <w:p w:rsidR="00B065F1" w:rsidRPr="00353C6A" w:rsidRDefault="00B065F1" w:rsidP="00353C6A">
            <w:pPr>
              <w:jc w:val="right"/>
              <w:rPr>
                <w:rFonts w:ascii="Arial" w:eastAsia="Calibri" w:hAnsi="Arial" w:cs="Arial"/>
                <w:b/>
                <w:color w:val="000000"/>
                <w:sz w:val="22"/>
                <w:szCs w:val="22"/>
              </w:rPr>
            </w:pPr>
            <w:r w:rsidRPr="00353C6A">
              <w:rPr>
                <w:rFonts w:ascii="Arial" w:eastAsia="Calibri" w:hAnsi="Arial" w:cs="Arial"/>
                <w:b/>
                <w:color w:val="000000"/>
                <w:sz w:val="22"/>
                <w:szCs w:val="22"/>
              </w:rPr>
              <w:t>R 1,294,694.38</w:t>
            </w:r>
          </w:p>
        </w:tc>
      </w:tr>
    </w:tbl>
    <w:p w:rsidR="00B860FF" w:rsidRDefault="00B860FF" w:rsidP="00C85650">
      <w:pPr>
        <w:ind w:left="567"/>
        <w:jc w:val="both"/>
        <w:rPr>
          <w:rFonts w:ascii="Arial" w:eastAsia="Calibri" w:hAnsi="Arial" w:cs="Arial"/>
          <w:color w:val="000000"/>
          <w:sz w:val="22"/>
          <w:szCs w:val="22"/>
        </w:rPr>
      </w:pPr>
    </w:p>
    <w:p w:rsidR="001B30FC" w:rsidRDefault="00952AA2" w:rsidP="00952AA2">
      <w:pPr>
        <w:ind w:left="567" w:hanging="567"/>
        <w:jc w:val="both"/>
        <w:rPr>
          <w:rFonts w:ascii="Arial" w:eastAsia="Calibri" w:hAnsi="Arial" w:cs="Arial"/>
          <w:color w:val="000000"/>
          <w:sz w:val="22"/>
          <w:szCs w:val="22"/>
        </w:rPr>
      </w:pPr>
      <w:r>
        <w:rPr>
          <w:rFonts w:ascii="Arial" w:eastAsia="Calibri" w:hAnsi="Arial" w:cs="Arial"/>
          <w:color w:val="000000"/>
          <w:sz w:val="22"/>
          <w:szCs w:val="22"/>
        </w:rPr>
        <w:t>(c)   The invoices more than 30</w:t>
      </w:r>
      <w:r w:rsidR="007B4C0B">
        <w:rPr>
          <w:rFonts w:ascii="Arial" w:eastAsia="Calibri" w:hAnsi="Arial" w:cs="Arial"/>
          <w:color w:val="000000"/>
          <w:sz w:val="22"/>
          <w:szCs w:val="22"/>
        </w:rPr>
        <w:t xml:space="preserve"> days</w:t>
      </w:r>
      <w:r>
        <w:rPr>
          <w:rFonts w:ascii="Arial" w:eastAsia="Calibri" w:hAnsi="Arial" w:cs="Arial"/>
          <w:color w:val="000000"/>
          <w:sz w:val="22"/>
          <w:szCs w:val="22"/>
        </w:rPr>
        <w:t xml:space="preserve"> and 60 days will be paid within the next 30 days.  The invoices more than 120 days </w:t>
      </w:r>
      <w:r w:rsidR="007B4C0B">
        <w:rPr>
          <w:rFonts w:ascii="Arial" w:eastAsia="Calibri" w:hAnsi="Arial" w:cs="Arial"/>
          <w:color w:val="000000"/>
          <w:sz w:val="22"/>
          <w:szCs w:val="22"/>
        </w:rPr>
        <w:t xml:space="preserve">are </w:t>
      </w:r>
      <w:r>
        <w:rPr>
          <w:rFonts w:ascii="Arial" w:eastAsia="Calibri" w:hAnsi="Arial" w:cs="Arial"/>
          <w:color w:val="000000"/>
          <w:sz w:val="22"/>
          <w:szCs w:val="22"/>
        </w:rPr>
        <w:t xml:space="preserve">disputed </w:t>
      </w:r>
      <w:r w:rsidR="007B4C0B">
        <w:rPr>
          <w:rFonts w:ascii="Arial" w:eastAsia="Calibri" w:hAnsi="Arial" w:cs="Arial"/>
          <w:color w:val="000000"/>
          <w:sz w:val="22"/>
          <w:szCs w:val="22"/>
        </w:rPr>
        <w:t>Phakisa invoices</w:t>
      </w:r>
      <w:r>
        <w:rPr>
          <w:rFonts w:ascii="Arial" w:eastAsia="Calibri" w:hAnsi="Arial" w:cs="Arial"/>
          <w:color w:val="000000"/>
          <w:sz w:val="22"/>
          <w:szCs w:val="22"/>
        </w:rPr>
        <w:t xml:space="preserve">.  A final offer was </w:t>
      </w:r>
      <w:r w:rsidR="007B4C0B">
        <w:rPr>
          <w:rFonts w:ascii="Arial" w:eastAsia="Calibri" w:hAnsi="Arial" w:cs="Arial"/>
          <w:color w:val="000000"/>
          <w:sz w:val="22"/>
          <w:szCs w:val="22"/>
        </w:rPr>
        <w:t>accepted</w:t>
      </w:r>
      <w:r>
        <w:rPr>
          <w:rFonts w:ascii="Arial" w:eastAsia="Calibri" w:hAnsi="Arial" w:cs="Arial"/>
          <w:color w:val="000000"/>
          <w:sz w:val="22"/>
          <w:szCs w:val="22"/>
        </w:rPr>
        <w:t xml:space="preserve"> by the supplier and once the </w:t>
      </w:r>
      <w:r w:rsidR="007B4C0B">
        <w:rPr>
          <w:rFonts w:ascii="Arial" w:eastAsia="Calibri" w:hAnsi="Arial" w:cs="Arial"/>
          <w:color w:val="000000"/>
          <w:sz w:val="22"/>
          <w:szCs w:val="22"/>
        </w:rPr>
        <w:t>supplier provides</w:t>
      </w:r>
      <w:r>
        <w:rPr>
          <w:rFonts w:ascii="Arial" w:eastAsia="Calibri" w:hAnsi="Arial" w:cs="Arial"/>
          <w:color w:val="000000"/>
          <w:sz w:val="22"/>
          <w:szCs w:val="22"/>
        </w:rPr>
        <w:t xml:space="preserve"> th</w:t>
      </w:r>
      <w:r w:rsidR="00EA306B">
        <w:rPr>
          <w:rFonts w:ascii="Arial" w:eastAsia="Calibri" w:hAnsi="Arial" w:cs="Arial"/>
          <w:color w:val="000000"/>
          <w:sz w:val="22"/>
          <w:szCs w:val="22"/>
        </w:rPr>
        <w:t xml:space="preserve">e new invoices, </w:t>
      </w:r>
      <w:r>
        <w:rPr>
          <w:rFonts w:ascii="Arial" w:eastAsia="Calibri" w:hAnsi="Arial" w:cs="Arial"/>
          <w:color w:val="000000"/>
          <w:sz w:val="22"/>
          <w:szCs w:val="22"/>
        </w:rPr>
        <w:t>it</w:t>
      </w:r>
      <w:r w:rsidR="00EA306B">
        <w:rPr>
          <w:rFonts w:ascii="Arial" w:eastAsia="Calibri" w:hAnsi="Arial" w:cs="Arial"/>
          <w:color w:val="000000"/>
          <w:sz w:val="22"/>
          <w:szCs w:val="22"/>
        </w:rPr>
        <w:t xml:space="preserve"> will</w:t>
      </w:r>
      <w:r>
        <w:rPr>
          <w:rFonts w:ascii="Arial" w:eastAsia="Calibri" w:hAnsi="Arial" w:cs="Arial"/>
          <w:color w:val="000000"/>
          <w:sz w:val="22"/>
          <w:szCs w:val="22"/>
        </w:rPr>
        <w:t xml:space="preserve"> be paid. </w:t>
      </w:r>
    </w:p>
    <w:p w:rsidR="00952AA2" w:rsidRPr="00C85650" w:rsidRDefault="00952AA2" w:rsidP="00952AA2">
      <w:pPr>
        <w:ind w:left="567" w:hanging="567"/>
        <w:jc w:val="both"/>
        <w:rPr>
          <w:rFonts w:ascii="Arial" w:eastAsia="Calibri" w:hAnsi="Arial" w:cs="Arial"/>
          <w:color w:val="000000"/>
          <w:sz w:val="22"/>
          <w:szCs w:val="22"/>
        </w:rPr>
      </w:pPr>
    </w:p>
    <w:p w:rsidR="001D7FF3" w:rsidRDefault="001D7FF3" w:rsidP="00713973">
      <w:pPr>
        <w:jc w:val="both"/>
        <w:rPr>
          <w:rFonts w:ascii="Arial" w:eastAsia="Calibri" w:hAnsi="Arial" w:cs="Arial"/>
          <w:sz w:val="22"/>
          <w:szCs w:val="22"/>
        </w:rPr>
      </w:pPr>
    </w:p>
    <w:p w:rsidR="00CE2880" w:rsidRDefault="00CE2880" w:rsidP="00CE288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Airport of South Africa (ACSA)</w:t>
      </w:r>
    </w:p>
    <w:tbl>
      <w:tblPr>
        <w:tblW w:w="5340" w:type="dxa"/>
        <w:tblInd w:w="108" w:type="dxa"/>
        <w:tblLook w:val="04A0"/>
      </w:tblPr>
      <w:tblGrid>
        <w:gridCol w:w="2000"/>
        <w:gridCol w:w="1828"/>
        <w:gridCol w:w="1512"/>
      </w:tblGrid>
      <w:tr w:rsidR="00CE2880" w:rsidRPr="00941038" w:rsidTr="00405D4D">
        <w:trPr>
          <w:trHeight w:val="288"/>
        </w:trPr>
        <w:tc>
          <w:tcPr>
            <w:tcW w:w="2000" w:type="dxa"/>
            <w:tcBorders>
              <w:top w:val="nil"/>
              <w:left w:val="nil"/>
              <w:bottom w:val="nil"/>
              <w:right w:val="nil"/>
            </w:tcBorders>
            <w:shd w:val="clear" w:color="auto" w:fill="auto"/>
            <w:noWrap/>
            <w:vAlign w:val="center"/>
            <w:hideMark/>
          </w:tcPr>
          <w:p w:rsidR="00CE2880" w:rsidRPr="00941038" w:rsidRDefault="00CE2880" w:rsidP="00405D4D">
            <w:pPr>
              <w:rPr>
                <w:rFonts w:ascii="Arial" w:hAnsi="Arial" w:cs="Arial"/>
                <w:color w:val="000000"/>
                <w:sz w:val="22"/>
                <w:szCs w:val="22"/>
                <w:lang w:val="en-GB" w:eastAsia="en-GB"/>
              </w:rPr>
            </w:pPr>
          </w:p>
        </w:tc>
        <w:tc>
          <w:tcPr>
            <w:tcW w:w="1828" w:type="dxa"/>
            <w:tcBorders>
              <w:top w:val="nil"/>
              <w:left w:val="nil"/>
              <w:bottom w:val="nil"/>
              <w:right w:val="nil"/>
            </w:tcBorders>
            <w:shd w:val="clear" w:color="auto" w:fill="auto"/>
            <w:noWrap/>
            <w:vAlign w:val="bottom"/>
            <w:hideMark/>
          </w:tcPr>
          <w:p w:rsidR="00CE2880" w:rsidRPr="00941038" w:rsidRDefault="00CE2880" w:rsidP="00405D4D">
            <w:pPr>
              <w:rPr>
                <w:rFonts w:ascii="Arial" w:hAnsi="Arial" w:cs="Arial"/>
                <w:color w:val="000000"/>
                <w:sz w:val="22"/>
                <w:szCs w:val="22"/>
              </w:rPr>
            </w:pPr>
          </w:p>
        </w:tc>
        <w:tc>
          <w:tcPr>
            <w:tcW w:w="1512" w:type="dxa"/>
            <w:tcBorders>
              <w:top w:val="nil"/>
              <w:left w:val="nil"/>
              <w:bottom w:val="nil"/>
              <w:right w:val="nil"/>
            </w:tcBorders>
            <w:shd w:val="clear" w:color="auto" w:fill="auto"/>
            <w:noWrap/>
            <w:vAlign w:val="bottom"/>
            <w:hideMark/>
          </w:tcPr>
          <w:p w:rsidR="00CE2880" w:rsidRPr="00941038" w:rsidRDefault="00CE2880" w:rsidP="00405D4D">
            <w:pPr>
              <w:rPr>
                <w:rFonts w:ascii="Arial" w:hAnsi="Arial" w:cs="Arial"/>
                <w:sz w:val="20"/>
                <w:szCs w:val="20"/>
              </w:rPr>
            </w:pPr>
          </w:p>
        </w:tc>
      </w:tr>
      <w:tr w:rsidR="00CE2880" w:rsidRPr="00941038" w:rsidTr="00405D4D">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b/>
                <w:bCs/>
                <w:color w:val="000000"/>
                <w:sz w:val="22"/>
                <w:szCs w:val="22"/>
              </w:rPr>
            </w:pPr>
            <w:r w:rsidRPr="00941038">
              <w:rPr>
                <w:rFonts w:ascii="Arial" w:hAnsi="Arial" w:cs="Arial"/>
                <w:b/>
                <w:bCs/>
                <w:color w:val="000000"/>
                <w:sz w:val="22"/>
                <w:szCs w:val="22"/>
                <w:lang w:eastAsia="en-ZA"/>
              </w:rPr>
              <w:t xml:space="preserve">Days </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b/>
                <w:bCs/>
                <w:color w:val="000000"/>
                <w:sz w:val="22"/>
                <w:szCs w:val="22"/>
              </w:rPr>
            </w:pPr>
            <w:r w:rsidRPr="00941038">
              <w:rPr>
                <w:rFonts w:ascii="Arial" w:hAnsi="Arial" w:cs="Arial"/>
                <w:b/>
                <w:bCs/>
                <w:color w:val="000000"/>
                <w:sz w:val="22"/>
                <w:szCs w:val="22"/>
                <w:lang w:eastAsia="en-ZA"/>
              </w:rPr>
              <w:t xml:space="preserve"> Amount </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b/>
                <w:bCs/>
                <w:color w:val="000000"/>
                <w:sz w:val="22"/>
                <w:szCs w:val="22"/>
              </w:rPr>
            </w:pPr>
            <w:r w:rsidRPr="00941038">
              <w:rPr>
                <w:rFonts w:ascii="Arial" w:hAnsi="Arial" w:cs="Arial"/>
                <w:b/>
                <w:bCs/>
                <w:color w:val="000000"/>
                <w:sz w:val="22"/>
                <w:szCs w:val="22"/>
                <w:lang w:eastAsia="en-ZA"/>
              </w:rPr>
              <w:t xml:space="preserve"> Number of Invoices </w:t>
            </w:r>
          </w:p>
        </w:tc>
      </w:tr>
      <w:tr w:rsidR="00CE2880" w:rsidRPr="00941038" w:rsidTr="00405D4D">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               120</w:t>
            </w:r>
          </w:p>
        </w:tc>
        <w:tc>
          <w:tcPr>
            <w:tcW w:w="1828"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18 770 475,26</w:t>
            </w:r>
          </w:p>
        </w:tc>
        <w:tc>
          <w:tcPr>
            <w:tcW w:w="1512"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499</w:t>
            </w:r>
          </w:p>
        </w:tc>
      </w:tr>
      <w:tr w:rsidR="00CE2880" w:rsidRPr="00941038" w:rsidTr="00405D4D">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                 90</w:t>
            </w:r>
          </w:p>
        </w:tc>
        <w:tc>
          <w:tcPr>
            <w:tcW w:w="1828"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1 267 884,84</w:t>
            </w:r>
          </w:p>
        </w:tc>
        <w:tc>
          <w:tcPr>
            <w:tcW w:w="1512"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25</w:t>
            </w:r>
          </w:p>
        </w:tc>
      </w:tr>
      <w:tr w:rsidR="00CE2880" w:rsidRPr="00941038" w:rsidTr="00405D4D">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 xml:space="preserve">                 60 </w:t>
            </w:r>
          </w:p>
        </w:tc>
        <w:tc>
          <w:tcPr>
            <w:tcW w:w="1828"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2 791 207,73</w:t>
            </w:r>
          </w:p>
        </w:tc>
        <w:tc>
          <w:tcPr>
            <w:tcW w:w="1512"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20</w:t>
            </w:r>
          </w:p>
        </w:tc>
      </w:tr>
      <w:tr w:rsidR="00CE2880" w:rsidRPr="00941038" w:rsidTr="00405D4D">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 xml:space="preserve">                 30 </w:t>
            </w:r>
          </w:p>
        </w:tc>
        <w:tc>
          <w:tcPr>
            <w:tcW w:w="1828"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5 280 488,09</w:t>
            </w:r>
          </w:p>
        </w:tc>
        <w:tc>
          <w:tcPr>
            <w:tcW w:w="1512"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56</w:t>
            </w:r>
          </w:p>
        </w:tc>
      </w:tr>
      <w:tr w:rsidR="00CE2880" w:rsidRPr="00941038" w:rsidTr="00405D4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Current</w:t>
            </w:r>
          </w:p>
        </w:tc>
        <w:tc>
          <w:tcPr>
            <w:tcW w:w="1828"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38 047 207,76</w:t>
            </w:r>
          </w:p>
        </w:tc>
        <w:tc>
          <w:tcPr>
            <w:tcW w:w="1512"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color w:val="000000"/>
                <w:sz w:val="22"/>
                <w:szCs w:val="22"/>
              </w:rPr>
            </w:pPr>
            <w:r w:rsidRPr="00941038">
              <w:rPr>
                <w:rFonts w:ascii="Arial" w:hAnsi="Arial" w:cs="Arial"/>
                <w:color w:val="000000"/>
                <w:sz w:val="22"/>
                <w:szCs w:val="22"/>
                <w:lang w:eastAsia="en-ZA"/>
              </w:rPr>
              <w:t>118</w:t>
            </w:r>
          </w:p>
        </w:tc>
      </w:tr>
      <w:tr w:rsidR="00CE2880" w:rsidRPr="00941038" w:rsidTr="00405D4D">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b/>
                <w:bCs/>
                <w:color w:val="000000"/>
                <w:sz w:val="22"/>
                <w:szCs w:val="22"/>
              </w:rPr>
            </w:pPr>
            <w:r w:rsidRPr="00941038">
              <w:rPr>
                <w:rFonts w:ascii="Arial" w:hAnsi="Arial" w:cs="Arial"/>
                <w:b/>
                <w:bCs/>
                <w:color w:val="000000"/>
                <w:sz w:val="22"/>
                <w:szCs w:val="22"/>
                <w:lang w:eastAsia="en-ZA"/>
              </w:rPr>
              <w:t xml:space="preserve">Total </w:t>
            </w:r>
          </w:p>
        </w:tc>
        <w:tc>
          <w:tcPr>
            <w:tcW w:w="1828"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b/>
                <w:bCs/>
                <w:color w:val="000000"/>
                <w:sz w:val="22"/>
                <w:szCs w:val="22"/>
              </w:rPr>
            </w:pPr>
            <w:r w:rsidRPr="00941038">
              <w:rPr>
                <w:rFonts w:ascii="Arial" w:hAnsi="Arial" w:cs="Arial"/>
                <w:b/>
                <w:bCs/>
                <w:color w:val="000000"/>
                <w:sz w:val="22"/>
                <w:szCs w:val="22"/>
                <w:lang w:eastAsia="en-ZA"/>
              </w:rPr>
              <w:t>66 157 263,68</w:t>
            </w:r>
          </w:p>
        </w:tc>
        <w:tc>
          <w:tcPr>
            <w:tcW w:w="1512" w:type="dxa"/>
            <w:tcBorders>
              <w:top w:val="nil"/>
              <w:left w:val="nil"/>
              <w:bottom w:val="single" w:sz="4" w:space="0" w:color="auto"/>
              <w:right w:val="single" w:sz="4" w:space="0" w:color="auto"/>
            </w:tcBorders>
            <w:shd w:val="clear" w:color="auto" w:fill="auto"/>
            <w:noWrap/>
            <w:vAlign w:val="center"/>
            <w:hideMark/>
          </w:tcPr>
          <w:p w:rsidR="00CE2880" w:rsidRPr="00941038" w:rsidRDefault="00CE2880" w:rsidP="00405D4D">
            <w:pPr>
              <w:jc w:val="center"/>
              <w:rPr>
                <w:rFonts w:ascii="Arial" w:hAnsi="Arial" w:cs="Arial"/>
                <w:b/>
                <w:bCs/>
                <w:color w:val="000000"/>
                <w:sz w:val="22"/>
                <w:szCs w:val="22"/>
              </w:rPr>
            </w:pPr>
            <w:r w:rsidRPr="00941038">
              <w:rPr>
                <w:rFonts w:ascii="Arial" w:hAnsi="Arial" w:cs="Arial"/>
                <w:b/>
                <w:bCs/>
                <w:color w:val="000000"/>
                <w:sz w:val="22"/>
                <w:szCs w:val="22"/>
                <w:lang w:eastAsia="en-ZA"/>
              </w:rPr>
              <w:t>718</w:t>
            </w:r>
          </w:p>
        </w:tc>
      </w:tr>
      <w:tr w:rsidR="00CE2880" w:rsidRPr="00941038" w:rsidTr="00405D4D">
        <w:trPr>
          <w:trHeight w:val="2304"/>
        </w:trPr>
        <w:tc>
          <w:tcPr>
            <w:tcW w:w="5340" w:type="dxa"/>
            <w:gridSpan w:val="3"/>
            <w:tcBorders>
              <w:top w:val="single" w:sz="4" w:space="0" w:color="auto"/>
              <w:left w:val="nil"/>
              <w:bottom w:val="nil"/>
              <w:right w:val="nil"/>
            </w:tcBorders>
            <w:shd w:val="clear" w:color="auto" w:fill="auto"/>
            <w:vAlign w:val="center"/>
            <w:hideMark/>
          </w:tcPr>
          <w:p w:rsidR="00CE2880" w:rsidRPr="00941038" w:rsidRDefault="00CE2880" w:rsidP="00405D4D">
            <w:pPr>
              <w:rPr>
                <w:rFonts w:ascii="Arial" w:hAnsi="Arial" w:cs="Arial"/>
                <w:color w:val="000000"/>
                <w:sz w:val="22"/>
                <w:szCs w:val="22"/>
              </w:rPr>
            </w:pPr>
          </w:p>
          <w:p w:rsidR="00CE2880" w:rsidRDefault="00CE2880" w:rsidP="00405D4D">
            <w:pPr>
              <w:jc w:val="both"/>
              <w:rPr>
                <w:rFonts w:ascii="Arial" w:hAnsi="Arial" w:cs="Arial"/>
                <w:color w:val="000000"/>
                <w:sz w:val="22"/>
                <w:szCs w:val="22"/>
              </w:rPr>
            </w:pPr>
            <w:r w:rsidRPr="00E71325">
              <w:rPr>
                <w:rFonts w:ascii="Arial" w:hAnsi="Arial" w:cs="Arial"/>
                <w:color w:val="000000"/>
                <w:sz w:val="22"/>
                <w:szCs w:val="22"/>
              </w:rPr>
              <w:t xml:space="preserve">As a response to the Covid-19 </w:t>
            </w:r>
            <w:r>
              <w:rPr>
                <w:rFonts w:ascii="Arial" w:hAnsi="Arial" w:cs="Arial"/>
                <w:color w:val="000000"/>
                <w:sz w:val="22"/>
                <w:szCs w:val="22"/>
              </w:rPr>
              <w:t>p</w:t>
            </w:r>
            <w:r w:rsidRPr="00E71325">
              <w:rPr>
                <w:rFonts w:ascii="Arial" w:hAnsi="Arial" w:cs="Arial"/>
                <w:color w:val="000000"/>
                <w:sz w:val="22"/>
                <w:szCs w:val="22"/>
              </w:rPr>
              <w:t xml:space="preserve">andemic, ACSA undertook a rental </w:t>
            </w:r>
            <w:r>
              <w:rPr>
                <w:rFonts w:ascii="Arial" w:hAnsi="Arial" w:cs="Arial"/>
                <w:color w:val="000000"/>
                <w:sz w:val="22"/>
                <w:szCs w:val="22"/>
              </w:rPr>
              <w:t>reprieve</w:t>
            </w:r>
            <w:r w:rsidRPr="00E71325">
              <w:rPr>
                <w:rFonts w:ascii="Arial" w:hAnsi="Arial" w:cs="Arial"/>
                <w:color w:val="000000"/>
                <w:sz w:val="22"/>
                <w:szCs w:val="22"/>
              </w:rPr>
              <w:t xml:space="preserve"> process </w:t>
            </w:r>
            <w:r>
              <w:rPr>
                <w:rFonts w:ascii="Arial" w:hAnsi="Arial" w:cs="Arial"/>
                <w:color w:val="000000"/>
                <w:sz w:val="22"/>
                <w:szCs w:val="22"/>
              </w:rPr>
              <w:t>for</w:t>
            </w:r>
            <w:r w:rsidRPr="00E71325">
              <w:rPr>
                <w:rFonts w:ascii="Arial" w:hAnsi="Arial" w:cs="Arial"/>
                <w:color w:val="000000"/>
                <w:sz w:val="22"/>
                <w:szCs w:val="22"/>
              </w:rPr>
              <w:t xml:space="preserve"> its tenants by giving out credit notes for the rental owed, amount</w:t>
            </w:r>
            <w:r>
              <w:rPr>
                <w:rFonts w:ascii="Arial" w:hAnsi="Arial" w:cs="Arial"/>
                <w:color w:val="000000"/>
                <w:sz w:val="22"/>
                <w:szCs w:val="22"/>
              </w:rPr>
              <w:t>ing</w:t>
            </w:r>
            <w:r w:rsidRPr="00E71325">
              <w:rPr>
                <w:rFonts w:ascii="Arial" w:hAnsi="Arial" w:cs="Arial"/>
                <w:color w:val="000000"/>
                <w:sz w:val="22"/>
                <w:szCs w:val="22"/>
              </w:rPr>
              <w:t xml:space="preserve"> to R2,8 billion. In addition, the traffic volumes decline significantly reduced ACSA</w:t>
            </w:r>
            <w:r>
              <w:rPr>
                <w:rFonts w:ascii="Arial" w:hAnsi="Arial" w:cs="Arial"/>
                <w:color w:val="000000"/>
                <w:sz w:val="22"/>
                <w:szCs w:val="22"/>
              </w:rPr>
              <w:t>’s</w:t>
            </w:r>
            <w:r w:rsidRPr="00E71325">
              <w:rPr>
                <w:rFonts w:ascii="Arial" w:hAnsi="Arial" w:cs="Arial"/>
                <w:color w:val="000000"/>
                <w:sz w:val="22"/>
                <w:szCs w:val="22"/>
              </w:rPr>
              <w:t xml:space="preserve"> total revenues in the last </w:t>
            </w:r>
            <w:r>
              <w:rPr>
                <w:rFonts w:ascii="Arial" w:hAnsi="Arial" w:cs="Arial"/>
                <w:color w:val="000000"/>
                <w:sz w:val="22"/>
                <w:szCs w:val="22"/>
              </w:rPr>
              <w:t>two</w:t>
            </w:r>
            <w:r w:rsidRPr="00E71325">
              <w:rPr>
                <w:rFonts w:ascii="Arial" w:hAnsi="Arial" w:cs="Arial"/>
                <w:color w:val="000000"/>
                <w:sz w:val="22"/>
                <w:szCs w:val="22"/>
              </w:rPr>
              <w:t xml:space="preserve"> financial years</w:t>
            </w:r>
            <w:r>
              <w:rPr>
                <w:rFonts w:ascii="Arial" w:hAnsi="Arial" w:cs="Arial"/>
                <w:color w:val="000000"/>
                <w:sz w:val="22"/>
                <w:szCs w:val="22"/>
              </w:rPr>
              <w:t>.</w:t>
            </w:r>
            <w:r w:rsidRPr="00E71325">
              <w:rPr>
                <w:rFonts w:ascii="Arial" w:hAnsi="Arial" w:cs="Arial"/>
                <w:color w:val="000000"/>
                <w:sz w:val="22"/>
                <w:szCs w:val="22"/>
              </w:rPr>
              <w:t xml:space="preserve"> </w:t>
            </w:r>
            <w:r>
              <w:rPr>
                <w:rFonts w:ascii="Arial" w:hAnsi="Arial" w:cs="Arial"/>
                <w:color w:val="000000"/>
                <w:sz w:val="22"/>
                <w:szCs w:val="22"/>
              </w:rPr>
              <w:t>F</w:t>
            </w:r>
            <w:r w:rsidRPr="00E71325">
              <w:rPr>
                <w:rFonts w:ascii="Arial" w:hAnsi="Arial" w:cs="Arial"/>
                <w:color w:val="000000"/>
                <w:sz w:val="22"/>
                <w:szCs w:val="22"/>
              </w:rPr>
              <w:t xml:space="preserve">or the </w:t>
            </w:r>
            <w:r>
              <w:rPr>
                <w:rFonts w:ascii="Arial" w:hAnsi="Arial" w:cs="Arial"/>
                <w:color w:val="000000"/>
                <w:sz w:val="22"/>
                <w:szCs w:val="22"/>
              </w:rPr>
              <w:t xml:space="preserve">financial </w:t>
            </w:r>
            <w:r w:rsidRPr="00E71325">
              <w:rPr>
                <w:rFonts w:ascii="Arial" w:hAnsi="Arial" w:cs="Arial"/>
                <w:color w:val="000000"/>
                <w:sz w:val="22"/>
                <w:szCs w:val="22"/>
              </w:rPr>
              <w:t xml:space="preserve">year ended </w:t>
            </w:r>
            <w:r>
              <w:rPr>
                <w:rFonts w:ascii="Arial" w:hAnsi="Arial" w:cs="Arial"/>
                <w:color w:val="000000"/>
                <w:sz w:val="22"/>
                <w:szCs w:val="22"/>
              </w:rPr>
              <w:t xml:space="preserve">31 </w:t>
            </w:r>
            <w:r w:rsidRPr="00E71325">
              <w:rPr>
                <w:rFonts w:ascii="Arial" w:hAnsi="Arial" w:cs="Arial"/>
                <w:color w:val="000000"/>
                <w:sz w:val="22"/>
                <w:szCs w:val="22"/>
              </w:rPr>
              <w:t>March 2021</w:t>
            </w:r>
            <w:r>
              <w:rPr>
                <w:rFonts w:ascii="Arial" w:hAnsi="Arial" w:cs="Arial"/>
                <w:color w:val="000000"/>
                <w:sz w:val="22"/>
                <w:szCs w:val="22"/>
              </w:rPr>
              <w:t>,</w:t>
            </w:r>
            <w:r w:rsidRPr="00E71325">
              <w:rPr>
                <w:rFonts w:ascii="Arial" w:hAnsi="Arial" w:cs="Arial"/>
                <w:color w:val="000000"/>
                <w:sz w:val="22"/>
                <w:szCs w:val="22"/>
              </w:rPr>
              <w:t xml:space="preserve"> revenues declined by about 80% i.e., from R7,2 billion to R2,2 billion</w:t>
            </w:r>
            <w:r>
              <w:rPr>
                <w:rFonts w:ascii="Arial" w:hAnsi="Arial" w:cs="Arial"/>
                <w:color w:val="000000"/>
                <w:sz w:val="22"/>
                <w:szCs w:val="22"/>
              </w:rPr>
              <w:t>, and t</w:t>
            </w:r>
            <w:r w:rsidRPr="00E71325">
              <w:rPr>
                <w:rFonts w:ascii="Arial" w:hAnsi="Arial" w:cs="Arial"/>
                <w:color w:val="000000"/>
                <w:sz w:val="22"/>
                <w:szCs w:val="22"/>
              </w:rPr>
              <w:t>his has led to decreased cashflows</w:t>
            </w:r>
            <w:r>
              <w:rPr>
                <w:rFonts w:ascii="Arial" w:hAnsi="Arial" w:cs="Arial"/>
                <w:color w:val="000000"/>
                <w:sz w:val="22"/>
                <w:szCs w:val="22"/>
              </w:rPr>
              <w:t>.</w:t>
            </w:r>
            <w:r w:rsidRPr="00E71325">
              <w:rPr>
                <w:rFonts w:ascii="Arial" w:hAnsi="Arial" w:cs="Arial"/>
                <w:color w:val="000000"/>
                <w:sz w:val="22"/>
                <w:szCs w:val="22"/>
              </w:rPr>
              <w:t xml:space="preserve"> ACSA engaged </w:t>
            </w:r>
            <w:r>
              <w:rPr>
                <w:rFonts w:ascii="Arial" w:hAnsi="Arial" w:cs="Arial"/>
                <w:color w:val="000000"/>
                <w:sz w:val="22"/>
                <w:szCs w:val="22"/>
              </w:rPr>
              <w:t>its</w:t>
            </w:r>
            <w:r w:rsidRPr="00E71325">
              <w:rPr>
                <w:rFonts w:ascii="Arial" w:hAnsi="Arial" w:cs="Arial"/>
                <w:color w:val="000000"/>
                <w:sz w:val="22"/>
                <w:szCs w:val="22"/>
              </w:rPr>
              <w:t xml:space="preserve"> suppliers for relaxed payment terms where possible</w:t>
            </w:r>
            <w:r>
              <w:rPr>
                <w:rFonts w:ascii="Arial" w:hAnsi="Arial" w:cs="Arial"/>
                <w:color w:val="000000"/>
                <w:sz w:val="22"/>
                <w:szCs w:val="22"/>
              </w:rPr>
              <w:t>,</w:t>
            </w:r>
            <w:r w:rsidRPr="00E71325">
              <w:rPr>
                <w:rFonts w:ascii="Arial" w:hAnsi="Arial" w:cs="Arial"/>
                <w:color w:val="000000"/>
                <w:sz w:val="22"/>
                <w:szCs w:val="22"/>
              </w:rPr>
              <w:t xml:space="preserve"> particularly among the bigger suppliers</w:t>
            </w:r>
            <w:r>
              <w:rPr>
                <w:rFonts w:ascii="Arial" w:hAnsi="Arial" w:cs="Arial"/>
                <w:color w:val="000000"/>
                <w:sz w:val="22"/>
                <w:szCs w:val="22"/>
              </w:rPr>
              <w:t>,</w:t>
            </w:r>
            <w:r w:rsidRPr="00E71325">
              <w:rPr>
                <w:rFonts w:ascii="Arial" w:hAnsi="Arial" w:cs="Arial"/>
                <w:color w:val="000000"/>
                <w:sz w:val="22"/>
                <w:szCs w:val="22"/>
              </w:rPr>
              <w:t xml:space="preserve"> leading to days average creditor days exceeding 30 days</w:t>
            </w:r>
            <w:r>
              <w:rPr>
                <w:rFonts w:ascii="Arial" w:hAnsi="Arial" w:cs="Arial"/>
                <w:color w:val="000000"/>
                <w:sz w:val="22"/>
                <w:szCs w:val="22"/>
              </w:rPr>
              <w:t>.</w:t>
            </w:r>
          </w:p>
          <w:p w:rsidR="00CE2880" w:rsidRPr="00E71325" w:rsidRDefault="00CE2880" w:rsidP="00405D4D">
            <w:pPr>
              <w:jc w:val="both"/>
              <w:rPr>
                <w:rFonts w:ascii="Arial" w:hAnsi="Arial" w:cs="Arial"/>
                <w:color w:val="000000"/>
                <w:sz w:val="22"/>
                <w:szCs w:val="22"/>
              </w:rPr>
            </w:pPr>
          </w:p>
          <w:p w:rsidR="00CE2880" w:rsidRPr="00941038" w:rsidRDefault="00CE2880" w:rsidP="00405D4D">
            <w:pPr>
              <w:jc w:val="both"/>
              <w:rPr>
                <w:rFonts w:ascii="Arial" w:hAnsi="Arial" w:cs="Arial"/>
                <w:color w:val="000000"/>
                <w:sz w:val="22"/>
                <w:szCs w:val="22"/>
              </w:rPr>
            </w:pPr>
            <w:r w:rsidRPr="00941038">
              <w:rPr>
                <w:rFonts w:ascii="Arial" w:hAnsi="Arial" w:cs="Arial"/>
                <w:sz w:val="22"/>
                <w:szCs w:val="22"/>
                <w:lang w:val="en-GB"/>
              </w:rPr>
              <w:t>T</w:t>
            </w:r>
            <w:r w:rsidRPr="00941038">
              <w:rPr>
                <w:rFonts w:ascii="Arial" w:hAnsi="Arial" w:cs="Arial"/>
                <w:color w:val="000000"/>
                <w:sz w:val="22"/>
                <w:szCs w:val="22"/>
              </w:rPr>
              <w:t>he monthly payment to suppliers averages R150m to R200m. Invoices for which there are no queries are paid on a monthly. Invoices older than 30 days are those wherein there are  queries with the suppliers pertaining to</w:t>
            </w:r>
            <w:r w:rsidRPr="00941038">
              <w:rPr>
                <w:rFonts w:ascii="Arial" w:hAnsi="Arial" w:cs="Arial"/>
                <w:sz w:val="22"/>
                <w:szCs w:val="22"/>
                <w:lang w:val="en-GB"/>
              </w:rPr>
              <w:t xml:space="preserve"> contractual matters pertaining to scope of works/goods delivered, timing and budgets/fees. </w:t>
            </w:r>
          </w:p>
        </w:tc>
      </w:tr>
    </w:tbl>
    <w:p w:rsidR="00CE2880" w:rsidRPr="00CE2880" w:rsidRDefault="00CE2880" w:rsidP="00CE2880">
      <w:pPr>
        <w:jc w:val="both"/>
        <w:rPr>
          <w:rFonts w:ascii="Arial" w:eastAsia="Calibri" w:hAnsi="Arial" w:cs="Arial"/>
          <w:b/>
          <w:sz w:val="22"/>
          <w:szCs w:val="22"/>
        </w:rPr>
      </w:pPr>
      <w:r w:rsidRPr="00CE2880">
        <w:rPr>
          <w:rFonts w:ascii="Arial" w:eastAsia="Calibri" w:hAnsi="Arial" w:cs="Arial"/>
          <w:b/>
          <w:sz w:val="22"/>
          <w:szCs w:val="22"/>
        </w:rPr>
        <w:t>Air Transporting Navigating System ( ATNS)</w:t>
      </w:r>
    </w:p>
    <w:p w:rsidR="00CE2880" w:rsidRDefault="00CE2880" w:rsidP="00CE2880">
      <w:pPr>
        <w:jc w:val="both"/>
        <w:rPr>
          <w:rFonts w:ascii="Arial" w:eastAsia="Calibri" w:hAnsi="Arial" w:cs="Arial"/>
          <w:sz w:val="22"/>
          <w:szCs w:val="22"/>
        </w:rPr>
      </w:pPr>
    </w:p>
    <w:p w:rsidR="00CE2880" w:rsidRDefault="00CE2880" w:rsidP="00CE2880">
      <w:pPr>
        <w:jc w:val="both"/>
        <w:rPr>
          <w:rFonts w:ascii="Arial" w:eastAsia="Calibri" w:hAnsi="Arial" w:cs="Arial"/>
          <w:sz w:val="22"/>
          <w:szCs w:val="22"/>
        </w:rPr>
      </w:pPr>
    </w:p>
    <w:p w:rsidR="00CE2880" w:rsidRPr="00CA7C53" w:rsidRDefault="00CE2880" w:rsidP="00CE2880">
      <w:pPr>
        <w:jc w:val="both"/>
        <w:rPr>
          <w:rFonts w:ascii="Arial" w:eastAsia="Calibri" w:hAnsi="Arial" w:cs="Arial"/>
          <w:sz w:val="22"/>
          <w:szCs w:val="22"/>
        </w:rPr>
      </w:pPr>
      <w:r w:rsidRPr="00CA7C53">
        <w:rPr>
          <w:rFonts w:ascii="Arial" w:eastAsia="Calibri" w:hAnsi="Arial" w:cs="Arial"/>
          <w:sz w:val="22"/>
          <w:szCs w:val="22"/>
        </w:rPr>
        <w:t>Based on 31</w:t>
      </w:r>
      <w:r w:rsidRPr="00CA7C53">
        <w:rPr>
          <w:rFonts w:ascii="Arial" w:eastAsia="Calibri" w:hAnsi="Arial" w:cs="Arial"/>
          <w:sz w:val="22"/>
          <w:szCs w:val="22"/>
          <w:vertAlign w:val="superscript"/>
        </w:rPr>
        <w:t>st</w:t>
      </w:r>
      <w:r w:rsidRPr="00CA7C53">
        <w:rPr>
          <w:rFonts w:ascii="Arial" w:eastAsia="Calibri" w:hAnsi="Arial" w:cs="Arial"/>
          <w:sz w:val="22"/>
          <w:szCs w:val="22"/>
        </w:rPr>
        <w:t xml:space="preserve"> January 2022 age analysis</w:t>
      </w:r>
    </w:p>
    <w:p w:rsidR="00CE2880" w:rsidRDefault="00CE2880" w:rsidP="00CE2880">
      <w:pPr>
        <w:spacing w:line="360" w:lineRule="auto"/>
        <w:jc w:val="both"/>
        <w:rPr>
          <w:rFonts w:ascii="Arial" w:hAnsi="Arial" w:cs="Arial"/>
          <w:b/>
          <w:bCs/>
          <w:sz w:val="22"/>
          <w:szCs w:val="22"/>
        </w:rPr>
      </w:pPr>
    </w:p>
    <w:tbl>
      <w:tblPr>
        <w:tblW w:w="5000" w:type="pct"/>
        <w:tblLook w:val="04A0"/>
      </w:tblPr>
      <w:tblGrid>
        <w:gridCol w:w="2171"/>
        <w:gridCol w:w="1222"/>
        <w:gridCol w:w="1151"/>
        <w:gridCol w:w="1151"/>
        <w:gridCol w:w="1151"/>
        <w:gridCol w:w="1151"/>
        <w:gridCol w:w="1222"/>
      </w:tblGrid>
      <w:tr w:rsidR="00CE2880" w:rsidTr="00405D4D">
        <w:trPr>
          <w:trHeight w:val="240"/>
        </w:trPr>
        <w:tc>
          <w:tcPr>
            <w:tcW w:w="1067" w:type="pct"/>
            <w:tcBorders>
              <w:top w:val="nil"/>
              <w:left w:val="nil"/>
              <w:bottom w:val="nil"/>
              <w:right w:val="nil"/>
            </w:tcBorders>
            <w:shd w:val="clear" w:color="auto" w:fill="auto"/>
            <w:noWrap/>
            <w:vAlign w:val="bottom"/>
            <w:hideMark/>
          </w:tcPr>
          <w:p w:rsidR="00CE2880" w:rsidRDefault="00CE2880" w:rsidP="00405D4D">
            <w:pPr>
              <w:rPr>
                <w:sz w:val="20"/>
                <w:szCs w:val="20"/>
                <w:lang w:val="en-US"/>
              </w:rPr>
            </w:pPr>
          </w:p>
        </w:tc>
        <w:tc>
          <w:tcPr>
            <w:tcW w:w="656" w:type="pct"/>
            <w:tcBorders>
              <w:top w:val="nil"/>
              <w:left w:val="nil"/>
              <w:bottom w:val="nil"/>
              <w:right w:val="nil"/>
            </w:tcBorders>
            <w:shd w:val="clear" w:color="auto" w:fill="auto"/>
            <w:noWrap/>
            <w:vAlign w:val="bottom"/>
            <w:hideMark/>
          </w:tcPr>
          <w:p w:rsidR="00CE2880" w:rsidRDefault="00CE2880" w:rsidP="00405D4D">
            <w:pPr>
              <w:rPr>
                <w:sz w:val="20"/>
                <w:szCs w:val="20"/>
              </w:rPr>
            </w:pPr>
          </w:p>
        </w:tc>
        <w:tc>
          <w:tcPr>
            <w:tcW w:w="656" w:type="pct"/>
            <w:tcBorders>
              <w:top w:val="nil"/>
              <w:left w:val="nil"/>
              <w:bottom w:val="nil"/>
              <w:right w:val="nil"/>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(aa)</w:t>
            </w:r>
          </w:p>
        </w:tc>
        <w:tc>
          <w:tcPr>
            <w:tcW w:w="656" w:type="pct"/>
            <w:tcBorders>
              <w:top w:val="nil"/>
              <w:left w:val="nil"/>
              <w:bottom w:val="nil"/>
              <w:right w:val="nil"/>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(bb)</w:t>
            </w:r>
          </w:p>
        </w:tc>
        <w:tc>
          <w:tcPr>
            <w:tcW w:w="656" w:type="pct"/>
            <w:tcBorders>
              <w:top w:val="nil"/>
              <w:left w:val="nil"/>
              <w:bottom w:val="nil"/>
              <w:right w:val="nil"/>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(cc)</w:t>
            </w:r>
          </w:p>
        </w:tc>
        <w:tc>
          <w:tcPr>
            <w:tcW w:w="656" w:type="pct"/>
            <w:tcBorders>
              <w:top w:val="nil"/>
              <w:left w:val="nil"/>
              <w:bottom w:val="nil"/>
              <w:right w:val="nil"/>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(dd)</w:t>
            </w:r>
          </w:p>
        </w:tc>
        <w:tc>
          <w:tcPr>
            <w:tcW w:w="656" w:type="pct"/>
            <w:tcBorders>
              <w:top w:val="nil"/>
              <w:left w:val="nil"/>
              <w:bottom w:val="nil"/>
              <w:right w:val="nil"/>
            </w:tcBorders>
            <w:shd w:val="clear" w:color="auto" w:fill="auto"/>
            <w:noWrap/>
            <w:vAlign w:val="bottom"/>
            <w:hideMark/>
          </w:tcPr>
          <w:p w:rsidR="00CE2880" w:rsidRDefault="00CE2880" w:rsidP="00405D4D">
            <w:pPr>
              <w:jc w:val="center"/>
              <w:rPr>
                <w:rFonts w:ascii="Calibri" w:hAnsi="Calibri" w:cs="Calibri"/>
                <w:color w:val="000000"/>
                <w:sz w:val="22"/>
                <w:szCs w:val="22"/>
              </w:rPr>
            </w:pPr>
          </w:p>
        </w:tc>
      </w:tr>
      <w:tr w:rsidR="00CE2880" w:rsidTr="00405D4D">
        <w:trPr>
          <w:trHeight w:val="240"/>
        </w:trPr>
        <w:tc>
          <w:tcPr>
            <w:tcW w:w="1067" w:type="pct"/>
            <w:tcBorders>
              <w:top w:val="nil"/>
              <w:left w:val="nil"/>
              <w:bottom w:val="nil"/>
              <w:right w:val="nil"/>
            </w:tcBorders>
            <w:shd w:val="clear" w:color="auto" w:fill="auto"/>
            <w:noWrap/>
            <w:vAlign w:val="bottom"/>
            <w:hideMark/>
          </w:tcPr>
          <w:p w:rsidR="00CE2880" w:rsidRDefault="00CE2880" w:rsidP="00405D4D">
            <w:pPr>
              <w:rPr>
                <w:sz w:val="20"/>
                <w:szCs w:val="20"/>
              </w:rPr>
            </w:pPr>
          </w:p>
        </w:tc>
        <w:tc>
          <w:tcPr>
            <w:tcW w:w="656" w:type="pct"/>
            <w:tcBorders>
              <w:top w:val="single" w:sz="4" w:space="0" w:color="auto"/>
              <w:left w:val="single" w:sz="4" w:space="0" w:color="auto"/>
              <w:bottom w:val="nil"/>
              <w:right w:val="single" w:sz="4" w:space="0" w:color="auto"/>
            </w:tcBorders>
            <w:shd w:val="clear" w:color="000000" w:fill="0070C0"/>
            <w:vAlign w:val="center"/>
            <w:hideMark/>
          </w:tcPr>
          <w:p w:rsidR="00CE2880" w:rsidRDefault="00CE2880" w:rsidP="00405D4D">
            <w:pPr>
              <w:jc w:val="center"/>
              <w:rPr>
                <w:rFonts w:ascii="Calibri" w:hAnsi="Calibri" w:cs="Calibri"/>
                <w:b/>
                <w:bCs/>
                <w:color w:val="FFFFFF"/>
                <w:sz w:val="22"/>
                <w:szCs w:val="22"/>
              </w:rPr>
            </w:pPr>
            <w:r>
              <w:rPr>
                <w:rFonts w:ascii="Calibri" w:hAnsi="Calibri" w:cs="Calibri"/>
                <w:b/>
                <w:bCs/>
                <w:color w:val="FFFFFF"/>
                <w:sz w:val="22"/>
                <w:szCs w:val="22"/>
              </w:rPr>
              <w:t>Current Period</w:t>
            </w:r>
          </w:p>
        </w:tc>
        <w:tc>
          <w:tcPr>
            <w:tcW w:w="656" w:type="pct"/>
            <w:tcBorders>
              <w:top w:val="single" w:sz="4" w:space="0" w:color="auto"/>
              <w:left w:val="nil"/>
              <w:bottom w:val="nil"/>
              <w:right w:val="single" w:sz="4" w:space="0" w:color="auto"/>
            </w:tcBorders>
            <w:shd w:val="clear" w:color="000000" w:fill="0070C0"/>
            <w:vAlign w:val="center"/>
            <w:hideMark/>
          </w:tcPr>
          <w:p w:rsidR="00CE2880" w:rsidRDefault="00CE2880" w:rsidP="00405D4D">
            <w:pPr>
              <w:jc w:val="center"/>
              <w:rPr>
                <w:rFonts w:ascii="Calibri" w:hAnsi="Calibri" w:cs="Calibri"/>
                <w:b/>
                <w:bCs/>
                <w:color w:val="FFFFFF"/>
                <w:sz w:val="22"/>
                <w:szCs w:val="22"/>
              </w:rPr>
            </w:pPr>
            <w:r>
              <w:rPr>
                <w:rFonts w:ascii="Calibri" w:hAnsi="Calibri" w:cs="Calibri"/>
                <w:b/>
                <w:bCs/>
                <w:color w:val="FFFFFF"/>
                <w:sz w:val="22"/>
                <w:szCs w:val="22"/>
              </w:rPr>
              <w:t>31 - 60 Days</w:t>
            </w:r>
          </w:p>
        </w:tc>
        <w:tc>
          <w:tcPr>
            <w:tcW w:w="656" w:type="pct"/>
            <w:tcBorders>
              <w:top w:val="single" w:sz="4" w:space="0" w:color="auto"/>
              <w:left w:val="nil"/>
              <w:bottom w:val="nil"/>
              <w:right w:val="single" w:sz="4" w:space="0" w:color="auto"/>
            </w:tcBorders>
            <w:shd w:val="clear" w:color="000000" w:fill="0070C0"/>
            <w:vAlign w:val="center"/>
            <w:hideMark/>
          </w:tcPr>
          <w:p w:rsidR="00CE2880" w:rsidRDefault="00CE2880" w:rsidP="00405D4D">
            <w:pPr>
              <w:jc w:val="center"/>
              <w:rPr>
                <w:rFonts w:ascii="Calibri" w:hAnsi="Calibri" w:cs="Calibri"/>
                <w:b/>
                <w:bCs/>
                <w:color w:val="FFFFFF"/>
                <w:sz w:val="22"/>
                <w:szCs w:val="22"/>
              </w:rPr>
            </w:pPr>
            <w:r>
              <w:rPr>
                <w:rFonts w:ascii="Calibri" w:hAnsi="Calibri" w:cs="Calibri"/>
                <w:b/>
                <w:bCs/>
                <w:color w:val="FFFFFF"/>
                <w:sz w:val="22"/>
                <w:szCs w:val="22"/>
              </w:rPr>
              <w:t>61 - 90 Days</w:t>
            </w:r>
          </w:p>
        </w:tc>
        <w:tc>
          <w:tcPr>
            <w:tcW w:w="656" w:type="pct"/>
            <w:tcBorders>
              <w:top w:val="single" w:sz="4" w:space="0" w:color="auto"/>
              <w:left w:val="nil"/>
              <w:bottom w:val="nil"/>
              <w:right w:val="single" w:sz="4" w:space="0" w:color="auto"/>
            </w:tcBorders>
            <w:shd w:val="clear" w:color="000000" w:fill="0070C0"/>
            <w:vAlign w:val="center"/>
            <w:hideMark/>
          </w:tcPr>
          <w:p w:rsidR="00CE2880" w:rsidRDefault="00CE2880" w:rsidP="00405D4D">
            <w:pPr>
              <w:jc w:val="center"/>
              <w:rPr>
                <w:rFonts w:ascii="Calibri" w:hAnsi="Calibri" w:cs="Calibri"/>
                <w:b/>
                <w:bCs/>
                <w:color w:val="FFFFFF"/>
                <w:sz w:val="22"/>
                <w:szCs w:val="22"/>
              </w:rPr>
            </w:pPr>
            <w:r>
              <w:rPr>
                <w:rFonts w:ascii="Calibri" w:hAnsi="Calibri" w:cs="Calibri"/>
                <w:b/>
                <w:bCs/>
                <w:color w:val="FFFFFF"/>
                <w:sz w:val="22"/>
                <w:szCs w:val="22"/>
              </w:rPr>
              <w:t>90 - 120 Days</w:t>
            </w:r>
          </w:p>
        </w:tc>
        <w:tc>
          <w:tcPr>
            <w:tcW w:w="656" w:type="pct"/>
            <w:tcBorders>
              <w:top w:val="single" w:sz="4" w:space="0" w:color="auto"/>
              <w:left w:val="nil"/>
              <w:bottom w:val="nil"/>
              <w:right w:val="single" w:sz="4" w:space="0" w:color="auto"/>
            </w:tcBorders>
            <w:shd w:val="clear" w:color="000000" w:fill="0070C0"/>
            <w:vAlign w:val="center"/>
            <w:hideMark/>
          </w:tcPr>
          <w:p w:rsidR="00CE2880" w:rsidRDefault="00CE2880" w:rsidP="00405D4D">
            <w:pPr>
              <w:jc w:val="center"/>
              <w:rPr>
                <w:rFonts w:ascii="Calibri" w:hAnsi="Calibri" w:cs="Calibri"/>
                <w:b/>
                <w:bCs/>
                <w:color w:val="FFFFFF"/>
                <w:sz w:val="22"/>
                <w:szCs w:val="22"/>
              </w:rPr>
            </w:pPr>
            <w:r>
              <w:rPr>
                <w:rFonts w:ascii="Calibri" w:hAnsi="Calibri" w:cs="Calibri"/>
                <w:b/>
                <w:bCs/>
                <w:color w:val="FFFFFF"/>
                <w:sz w:val="22"/>
                <w:szCs w:val="22"/>
              </w:rPr>
              <w:t>120 Days and over</w:t>
            </w:r>
          </w:p>
        </w:tc>
        <w:tc>
          <w:tcPr>
            <w:tcW w:w="656" w:type="pct"/>
            <w:tcBorders>
              <w:top w:val="single" w:sz="4" w:space="0" w:color="auto"/>
              <w:left w:val="nil"/>
              <w:bottom w:val="nil"/>
              <w:right w:val="single" w:sz="4" w:space="0" w:color="auto"/>
            </w:tcBorders>
            <w:shd w:val="clear" w:color="000000" w:fill="0070C0"/>
            <w:vAlign w:val="center"/>
            <w:hideMark/>
          </w:tcPr>
          <w:p w:rsidR="00CE2880" w:rsidRDefault="00CE2880" w:rsidP="00405D4D">
            <w:pPr>
              <w:jc w:val="center"/>
              <w:rPr>
                <w:rFonts w:ascii="Calibri" w:hAnsi="Calibri" w:cs="Calibri"/>
                <w:b/>
                <w:bCs/>
                <w:color w:val="FFFFFF"/>
                <w:sz w:val="22"/>
                <w:szCs w:val="22"/>
              </w:rPr>
            </w:pPr>
            <w:r>
              <w:rPr>
                <w:rFonts w:ascii="Calibri" w:hAnsi="Calibri" w:cs="Calibri"/>
                <w:b/>
                <w:bCs/>
                <w:color w:val="FFFFFF"/>
                <w:sz w:val="22"/>
                <w:szCs w:val="22"/>
              </w:rPr>
              <w:t xml:space="preserve"> Total </w:t>
            </w:r>
          </w:p>
        </w:tc>
      </w:tr>
      <w:tr w:rsidR="00CE2880" w:rsidTr="00405D4D">
        <w:trPr>
          <w:trHeight w:val="240"/>
        </w:trPr>
        <w:tc>
          <w:tcPr>
            <w:tcW w:w="10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R</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R</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R</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R</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R</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R</w:t>
            </w:r>
          </w:p>
        </w:tc>
      </w:tr>
      <w:tr w:rsidR="00CE2880" w:rsidTr="00405D4D">
        <w:trPr>
          <w:trHeight w:val="24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center"/>
              <w:rPr>
                <w:rFonts w:ascii="Calibri" w:hAnsi="Calibri" w:cs="Calibri"/>
                <w:color w:val="000000"/>
                <w:sz w:val="22"/>
                <w:szCs w:val="22"/>
              </w:rPr>
            </w:pPr>
            <w:r>
              <w:rPr>
                <w:rFonts w:ascii="Calibri" w:hAnsi="Calibri" w:cs="Calibri"/>
                <w:color w:val="000000"/>
                <w:sz w:val="22"/>
                <w:szCs w:val="22"/>
              </w:rPr>
              <w:t> </w:t>
            </w:r>
          </w:p>
        </w:tc>
      </w:tr>
      <w:tr w:rsidR="00CE2880" w:rsidTr="00405D4D">
        <w:trPr>
          <w:trHeight w:val="24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xml:space="preserve"> (a) No. of invoices </w:t>
            </w:r>
          </w:p>
        </w:tc>
        <w:tc>
          <w:tcPr>
            <w:tcW w:w="656" w:type="pct"/>
            <w:tcBorders>
              <w:top w:val="nil"/>
              <w:left w:val="nil"/>
              <w:bottom w:val="single" w:sz="4" w:space="0" w:color="auto"/>
              <w:right w:val="single" w:sz="4" w:space="0" w:color="auto"/>
            </w:tcBorders>
            <w:shd w:val="clear" w:color="auto" w:fill="auto"/>
            <w:noWrap/>
            <w:vAlign w:val="center"/>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101</w:t>
            </w:r>
          </w:p>
        </w:tc>
        <w:tc>
          <w:tcPr>
            <w:tcW w:w="656" w:type="pct"/>
            <w:tcBorders>
              <w:top w:val="nil"/>
              <w:left w:val="nil"/>
              <w:bottom w:val="single" w:sz="4" w:space="0" w:color="auto"/>
              <w:right w:val="single" w:sz="4" w:space="0" w:color="auto"/>
            </w:tcBorders>
            <w:shd w:val="clear" w:color="auto" w:fill="auto"/>
            <w:noWrap/>
            <w:vAlign w:val="center"/>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57</w:t>
            </w:r>
          </w:p>
        </w:tc>
        <w:tc>
          <w:tcPr>
            <w:tcW w:w="656" w:type="pct"/>
            <w:tcBorders>
              <w:top w:val="nil"/>
              <w:left w:val="nil"/>
              <w:bottom w:val="single" w:sz="4" w:space="0" w:color="auto"/>
              <w:right w:val="single" w:sz="4" w:space="0" w:color="auto"/>
            </w:tcBorders>
            <w:shd w:val="clear" w:color="auto" w:fill="auto"/>
            <w:noWrap/>
            <w:vAlign w:val="center"/>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48</w:t>
            </w:r>
          </w:p>
        </w:tc>
        <w:tc>
          <w:tcPr>
            <w:tcW w:w="656" w:type="pct"/>
            <w:tcBorders>
              <w:top w:val="nil"/>
              <w:left w:val="nil"/>
              <w:bottom w:val="single" w:sz="4" w:space="0" w:color="auto"/>
              <w:right w:val="single" w:sz="4" w:space="0" w:color="auto"/>
            </w:tcBorders>
            <w:shd w:val="clear" w:color="auto" w:fill="auto"/>
            <w:noWrap/>
            <w:vAlign w:val="center"/>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35</w:t>
            </w:r>
          </w:p>
        </w:tc>
        <w:tc>
          <w:tcPr>
            <w:tcW w:w="656" w:type="pct"/>
            <w:tcBorders>
              <w:top w:val="nil"/>
              <w:left w:val="nil"/>
              <w:bottom w:val="single" w:sz="4" w:space="0" w:color="auto"/>
              <w:right w:val="single" w:sz="4" w:space="0" w:color="auto"/>
            </w:tcBorders>
            <w:shd w:val="clear" w:color="auto" w:fill="auto"/>
            <w:noWrap/>
            <w:vAlign w:val="center"/>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390</w:t>
            </w:r>
          </w:p>
        </w:tc>
        <w:tc>
          <w:tcPr>
            <w:tcW w:w="656" w:type="pct"/>
            <w:tcBorders>
              <w:top w:val="nil"/>
              <w:left w:val="nil"/>
              <w:bottom w:val="single" w:sz="4" w:space="0" w:color="auto"/>
              <w:right w:val="single" w:sz="4" w:space="0" w:color="auto"/>
            </w:tcBorders>
            <w:shd w:val="clear" w:color="auto" w:fill="auto"/>
            <w:noWrap/>
            <w:vAlign w:val="center"/>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631</w:t>
            </w:r>
          </w:p>
        </w:tc>
      </w:tr>
      <w:tr w:rsidR="00CE2880" w:rsidTr="00405D4D">
        <w:trPr>
          <w:trHeight w:val="30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16%</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9%</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8%</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6%</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62%</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100%</w:t>
            </w:r>
          </w:p>
        </w:tc>
      </w:tr>
      <w:tr w:rsidR="00CE2880" w:rsidTr="00405D4D">
        <w:trPr>
          <w:trHeight w:val="30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r>
      <w:tr w:rsidR="00CE2880" w:rsidTr="00405D4D">
        <w:trPr>
          <w:trHeight w:val="30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xml:space="preserve"> (b) Total Amount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 xml:space="preserve">12,197,617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 xml:space="preserve">4,155,346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 xml:space="preserve">5,927,040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 xml:space="preserve">1,665,189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 xml:space="preserve">3,775,262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b/>
                <w:bCs/>
                <w:color w:val="000000"/>
                <w:sz w:val="22"/>
                <w:szCs w:val="22"/>
              </w:rPr>
            </w:pPr>
            <w:r>
              <w:rPr>
                <w:rFonts w:ascii="Calibri" w:hAnsi="Calibri" w:cs="Calibri"/>
                <w:b/>
                <w:bCs/>
                <w:color w:val="000000"/>
                <w:sz w:val="22"/>
                <w:szCs w:val="22"/>
              </w:rPr>
              <w:t xml:space="preserve">27,720,453 </w:t>
            </w:r>
          </w:p>
        </w:tc>
      </w:tr>
      <w:tr w:rsidR="00CE2880" w:rsidTr="00405D4D">
        <w:trPr>
          <w:trHeight w:val="30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44%</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15%</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21%</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6%</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14%</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100%</w:t>
            </w:r>
          </w:p>
        </w:tc>
      </w:tr>
      <w:tr w:rsidR="00CE2880" w:rsidTr="00405D4D">
        <w:trPr>
          <w:trHeight w:val="30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r>
      <w:tr w:rsidR="00CE2880" w:rsidTr="00405D4D">
        <w:trPr>
          <w:trHeight w:val="300"/>
        </w:trPr>
        <w:tc>
          <w:tcPr>
            <w:tcW w:w="1067" w:type="pct"/>
            <w:tcBorders>
              <w:top w:val="nil"/>
              <w:left w:val="single" w:sz="4" w:space="0" w:color="auto"/>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xml:space="preserve"> Total No. of suppliers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rPr>
                <w:rFonts w:ascii="Calibri" w:hAnsi="Calibri" w:cs="Calibri"/>
                <w:color w:val="000000"/>
                <w:sz w:val="22"/>
                <w:szCs w:val="22"/>
              </w:rPr>
            </w:pPr>
            <w:r>
              <w:rPr>
                <w:rFonts w:ascii="Calibri" w:hAnsi="Calibri" w:cs="Calibri"/>
                <w:color w:val="000000"/>
                <w:sz w:val="22"/>
                <w:szCs w:val="22"/>
              </w:rPr>
              <w:t> </w:t>
            </w:r>
          </w:p>
        </w:tc>
        <w:tc>
          <w:tcPr>
            <w:tcW w:w="656" w:type="pct"/>
            <w:tcBorders>
              <w:top w:val="nil"/>
              <w:left w:val="nil"/>
              <w:bottom w:val="single" w:sz="4" w:space="0" w:color="auto"/>
              <w:right w:val="single" w:sz="4" w:space="0" w:color="auto"/>
            </w:tcBorders>
            <w:shd w:val="clear" w:color="auto" w:fill="auto"/>
            <w:noWrap/>
            <w:vAlign w:val="bottom"/>
            <w:hideMark/>
          </w:tcPr>
          <w:p w:rsidR="00CE2880" w:rsidRDefault="00CE2880" w:rsidP="00405D4D">
            <w:pPr>
              <w:jc w:val="right"/>
              <w:rPr>
                <w:rFonts w:ascii="Calibri" w:hAnsi="Calibri" w:cs="Calibri"/>
                <w:color w:val="000000"/>
                <w:sz w:val="22"/>
                <w:szCs w:val="22"/>
              </w:rPr>
            </w:pPr>
            <w:r>
              <w:rPr>
                <w:rFonts w:ascii="Calibri" w:hAnsi="Calibri" w:cs="Calibri"/>
                <w:color w:val="000000"/>
                <w:sz w:val="22"/>
                <w:szCs w:val="22"/>
              </w:rPr>
              <w:t>150</w:t>
            </w:r>
          </w:p>
        </w:tc>
      </w:tr>
    </w:tbl>
    <w:p w:rsidR="00CE2880" w:rsidRDefault="00CE2880" w:rsidP="00CE2880">
      <w:pPr>
        <w:spacing w:line="360" w:lineRule="auto"/>
        <w:jc w:val="both"/>
        <w:rPr>
          <w:rFonts w:ascii="Arial" w:hAnsi="Arial" w:cs="Arial"/>
          <w:b/>
          <w:bCs/>
          <w:sz w:val="22"/>
          <w:szCs w:val="22"/>
        </w:rPr>
      </w:pPr>
    </w:p>
    <w:p w:rsidR="00CE2880" w:rsidRPr="00CA7C53" w:rsidRDefault="00CE2880" w:rsidP="00CE2880">
      <w:pPr>
        <w:spacing w:line="360" w:lineRule="auto"/>
        <w:ind w:left="90"/>
        <w:jc w:val="both"/>
        <w:rPr>
          <w:rFonts w:ascii="Arial" w:hAnsi="Arial" w:cs="Arial"/>
          <w:bCs/>
          <w:sz w:val="22"/>
          <w:szCs w:val="22"/>
        </w:rPr>
      </w:pPr>
      <w:r>
        <w:rPr>
          <w:rFonts w:ascii="Arial" w:hAnsi="Arial" w:cs="Arial"/>
          <w:bCs/>
          <w:sz w:val="22"/>
          <w:szCs w:val="22"/>
        </w:rPr>
        <w:t xml:space="preserve">(c) </w:t>
      </w:r>
      <w:r w:rsidRPr="00CA7C53">
        <w:rPr>
          <w:rFonts w:ascii="Arial" w:hAnsi="Arial" w:cs="Arial"/>
          <w:bCs/>
          <w:sz w:val="22"/>
          <w:szCs w:val="22"/>
        </w:rPr>
        <w:t xml:space="preserve">All suppliers </w:t>
      </w:r>
      <w:r>
        <w:rPr>
          <w:rFonts w:ascii="Arial" w:hAnsi="Arial" w:cs="Arial"/>
          <w:bCs/>
          <w:sz w:val="22"/>
          <w:szCs w:val="22"/>
        </w:rPr>
        <w:t>where there are no disputes will be paid in 30 days</w:t>
      </w:r>
    </w:p>
    <w:p w:rsidR="00CE2880" w:rsidRDefault="00CE2880" w:rsidP="00713973">
      <w:pPr>
        <w:jc w:val="both"/>
        <w:rPr>
          <w:rFonts w:ascii="Arial" w:eastAsia="Calibri" w:hAnsi="Arial" w:cs="Arial"/>
          <w:sz w:val="22"/>
          <w:szCs w:val="22"/>
        </w:rPr>
      </w:pPr>
    </w:p>
    <w:p w:rsidR="00CE2880" w:rsidRDefault="00CE2880" w:rsidP="00CE288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Cross Board Transport Agency( CBRTA</w:t>
      </w:r>
    </w:p>
    <w:p w:rsidR="00CE2880" w:rsidRDefault="00CE2880" w:rsidP="00CE2880">
      <w:pPr>
        <w:numPr>
          <w:ilvl w:val="0"/>
          <w:numId w:val="28"/>
        </w:numPr>
        <w:jc w:val="both"/>
        <w:rPr>
          <w:rFonts w:ascii="Arial" w:hAnsi="Arial" w:cs="Arial"/>
          <w:sz w:val="22"/>
          <w:szCs w:val="22"/>
        </w:rPr>
      </w:pPr>
      <w:r>
        <w:rPr>
          <w:rFonts w:ascii="Arial" w:hAnsi="Arial" w:cs="Arial"/>
          <w:sz w:val="22"/>
          <w:szCs w:val="22"/>
        </w:rPr>
        <w:t>There are eleven (11)</w:t>
      </w:r>
      <w:r w:rsidRPr="009254A9">
        <w:rPr>
          <w:rFonts w:ascii="Arial" w:hAnsi="Arial" w:cs="Arial"/>
          <w:sz w:val="22"/>
          <w:szCs w:val="22"/>
        </w:rPr>
        <w:t xml:space="preserve"> supplier invoices that currently remain unpaid at (b) Cross-Border Road Transport Agency (C-BRTA)</w:t>
      </w:r>
      <w:r>
        <w:rPr>
          <w:rFonts w:ascii="Arial" w:hAnsi="Arial" w:cs="Arial"/>
          <w:sz w:val="22"/>
          <w:szCs w:val="22"/>
        </w:rPr>
        <w:t xml:space="preserve"> and are</w:t>
      </w:r>
      <w:r w:rsidRPr="009254A9">
        <w:rPr>
          <w:rFonts w:ascii="Arial" w:hAnsi="Arial" w:cs="Arial"/>
          <w:sz w:val="22"/>
          <w:szCs w:val="22"/>
        </w:rPr>
        <w:t xml:space="preserve"> shown in the table below.  </w:t>
      </w:r>
    </w:p>
    <w:p w:rsidR="00CE2880" w:rsidRPr="009254A9" w:rsidRDefault="00CE2880" w:rsidP="00CE2880">
      <w:pPr>
        <w:jc w:val="both"/>
        <w:rPr>
          <w:rFonts w:ascii="Arial" w:hAnsi="Arial" w:cs="Arial"/>
          <w:sz w:val="22"/>
          <w:szCs w:val="22"/>
        </w:rPr>
      </w:pPr>
    </w:p>
    <w:p w:rsidR="00CE2880" w:rsidRDefault="00CE2880" w:rsidP="00CE2880">
      <w:pPr>
        <w:ind w:left="567"/>
        <w:jc w:val="both"/>
        <w:rPr>
          <w:rFonts w:ascii="Arial" w:eastAsia="Calibri"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1689"/>
        <w:gridCol w:w="1512"/>
        <w:gridCol w:w="4322"/>
      </w:tblGrid>
      <w:tr w:rsidR="00CE2880" w:rsidRPr="000146EA" w:rsidTr="00405D4D">
        <w:trPr>
          <w:tblHeader/>
        </w:trPr>
        <w:tc>
          <w:tcPr>
            <w:tcW w:w="1124" w:type="dxa"/>
            <w:shd w:val="clear" w:color="auto" w:fill="auto"/>
          </w:tcPr>
          <w:p w:rsidR="00CE2880" w:rsidRPr="00534EE7" w:rsidRDefault="00CE2880" w:rsidP="00405D4D">
            <w:pPr>
              <w:pStyle w:val="ListParagraph"/>
              <w:suppressAutoHyphens w:val="0"/>
              <w:spacing w:after="0" w:line="240" w:lineRule="auto"/>
              <w:ind w:left="284"/>
              <w:rPr>
                <w:rFonts w:ascii="Arial" w:hAnsi="Arial" w:cs="Arial"/>
                <w:b/>
                <w:szCs w:val="22"/>
                <w:lang/>
              </w:rPr>
            </w:pPr>
            <w:r>
              <w:rPr>
                <w:rFonts w:ascii="Arial" w:hAnsi="Arial" w:cs="Arial"/>
                <w:b/>
                <w:szCs w:val="22"/>
                <w:lang/>
              </w:rPr>
              <w:t>(a)</w:t>
            </w:r>
          </w:p>
        </w:tc>
        <w:tc>
          <w:tcPr>
            <w:tcW w:w="1689" w:type="dxa"/>
          </w:tcPr>
          <w:p w:rsidR="00CE2880" w:rsidRDefault="00CE2880" w:rsidP="00405D4D">
            <w:pPr>
              <w:pStyle w:val="ListParagraph"/>
              <w:suppressAutoHyphens w:val="0"/>
              <w:spacing w:after="0" w:line="240" w:lineRule="auto"/>
              <w:ind w:left="284"/>
              <w:rPr>
                <w:rFonts w:ascii="Arial" w:hAnsi="Arial" w:cs="Arial"/>
                <w:b/>
                <w:szCs w:val="22"/>
                <w:lang/>
              </w:rPr>
            </w:pPr>
            <w:r>
              <w:rPr>
                <w:rFonts w:ascii="Arial" w:hAnsi="Arial" w:cs="Arial"/>
                <w:b/>
                <w:szCs w:val="22"/>
                <w:lang/>
              </w:rPr>
              <w:t>(aa) – (dd)</w:t>
            </w:r>
          </w:p>
        </w:tc>
        <w:tc>
          <w:tcPr>
            <w:tcW w:w="1512" w:type="dxa"/>
            <w:shd w:val="clear" w:color="auto" w:fill="auto"/>
          </w:tcPr>
          <w:p w:rsidR="00CE2880" w:rsidRPr="00534EE7" w:rsidRDefault="00CE2880" w:rsidP="00405D4D">
            <w:pPr>
              <w:pStyle w:val="ListParagraph"/>
              <w:suppressAutoHyphens w:val="0"/>
              <w:spacing w:after="0" w:line="240" w:lineRule="auto"/>
              <w:ind w:left="284"/>
              <w:rPr>
                <w:rFonts w:ascii="Arial" w:hAnsi="Arial" w:cs="Arial"/>
                <w:b/>
                <w:szCs w:val="22"/>
                <w:lang/>
              </w:rPr>
            </w:pPr>
            <w:r>
              <w:rPr>
                <w:rFonts w:ascii="Arial" w:hAnsi="Arial" w:cs="Arial"/>
                <w:b/>
                <w:szCs w:val="22"/>
                <w:lang/>
              </w:rPr>
              <w:t>(b)</w:t>
            </w:r>
          </w:p>
        </w:tc>
        <w:tc>
          <w:tcPr>
            <w:tcW w:w="4322" w:type="dxa"/>
            <w:shd w:val="clear" w:color="auto" w:fill="auto"/>
          </w:tcPr>
          <w:p w:rsidR="00CE2880" w:rsidRPr="00534EE7" w:rsidRDefault="00CE2880" w:rsidP="00405D4D">
            <w:pPr>
              <w:pStyle w:val="ListParagraph"/>
              <w:suppressAutoHyphens w:val="0"/>
              <w:spacing w:after="0" w:line="240" w:lineRule="auto"/>
              <w:ind w:left="284"/>
              <w:rPr>
                <w:rFonts w:ascii="Arial" w:hAnsi="Arial" w:cs="Arial"/>
                <w:b/>
                <w:szCs w:val="22"/>
                <w:lang/>
              </w:rPr>
            </w:pPr>
            <w:r>
              <w:rPr>
                <w:rFonts w:ascii="Arial" w:hAnsi="Arial" w:cs="Arial"/>
                <w:b/>
                <w:szCs w:val="22"/>
                <w:lang/>
              </w:rPr>
              <w:t>(c)</w:t>
            </w:r>
          </w:p>
        </w:tc>
      </w:tr>
      <w:tr w:rsidR="00CE2880" w:rsidRPr="000146EA" w:rsidTr="00405D4D">
        <w:trPr>
          <w:tblHeader/>
        </w:trPr>
        <w:tc>
          <w:tcPr>
            <w:tcW w:w="1124" w:type="dxa"/>
            <w:shd w:val="clear" w:color="auto" w:fill="auto"/>
          </w:tcPr>
          <w:p w:rsidR="00CE2880" w:rsidRPr="00534EE7" w:rsidRDefault="00CE2880" w:rsidP="00405D4D">
            <w:pPr>
              <w:rPr>
                <w:rFonts w:ascii="Arial" w:eastAsia="Calibri" w:hAnsi="Arial" w:cs="Arial"/>
                <w:b/>
                <w:sz w:val="22"/>
                <w:szCs w:val="22"/>
                <w:lang/>
              </w:rPr>
            </w:pPr>
            <w:r w:rsidRPr="00534EE7">
              <w:rPr>
                <w:rFonts w:ascii="Arial" w:eastAsia="Calibri" w:hAnsi="Arial" w:cs="Arial"/>
                <w:b/>
                <w:sz w:val="22"/>
                <w:szCs w:val="22"/>
                <w:lang/>
              </w:rPr>
              <w:lastRenderedPageBreak/>
              <w:t>Total number of invoices</w:t>
            </w:r>
          </w:p>
        </w:tc>
        <w:tc>
          <w:tcPr>
            <w:tcW w:w="1689" w:type="dxa"/>
          </w:tcPr>
          <w:p w:rsidR="00CE2880" w:rsidRPr="00534EE7" w:rsidRDefault="00CE2880" w:rsidP="00405D4D">
            <w:pPr>
              <w:rPr>
                <w:rFonts w:ascii="Arial" w:eastAsia="Calibri" w:hAnsi="Arial" w:cs="Arial"/>
                <w:b/>
                <w:sz w:val="22"/>
                <w:szCs w:val="22"/>
                <w:lang/>
              </w:rPr>
            </w:pPr>
            <w:r w:rsidRPr="00534EE7">
              <w:rPr>
                <w:rFonts w:ascii="Arial" w:eastAsia="Calibri" w:hAnsi="Arial" w:cs="Arial"/>
                <w:b/>
                <w:sz w:val="22"/>
                <w:szCs w:val="22"/>
                <w:lang/>
              </w:rPr>
              <w:t>Period of non-payment</w:t>
            </w:r>
          </w:p>
        </w:tc>
        <w:tc>
          <w:tcPr>
            <w:tcW w:w="1512" w:type="dxa"/>
            <w:shd w:val="clear" w:color="auto" w:fill="auto"/>
          </w:tcPr>
          <w:p w:rsidR="00CE2880" w:rsidRPr="00534EE7" w:rsidRDefault="00CE2880" w:rsidP="00405D4D">
            <w:pPr>
              <w:rPr>
                <w:rFonts w:ascii="Arial" w:eastAsia="Calibri" w:hAnsi="Arial" w:cs="Arial"/>
                <w:b/>
                <w:sz w:val="22"/>
                <w:szCs w:val="22"/>
                <w:lang/>
              </w:rPr>
            </w:pPr>
            <w:r w:rsidRPr="00534EE7">
              <w:rPr>
                <w:rFonts w:ascii="Arial" w:eastAsia="Calibri" w:hAnsi="Arial" w:cs="Arial"/>
                <w:b/>
                <w:sz w:val="22"/>
                <w:szCs w:val="22"/>
                <w:lang/>
              </w:rPr>
              <w:t>Amount Outstanding</w:t>
            </w:r>
          </w:p>
        </w:tc>
        <w:tc>
          <w:tcPr>
            <w:tcW w:w="4322" w:type="dxa"/>
            <w:shd w:val="clear" w:color="auto" w:fill="auto"/>
          </w:tcPr>
          <w:p w:rsidR="00CE2880" w:rsidRPr="00534EE7" w:rsidRDefault="00CE2880" w:rsidP="00405D4D">
            <w:pPr>
              <w:rPr>
                <w:rFonts w:ascii="Arial" w:eastAsia="Calibri" w:hAnsi="Arial" w:cs="Arial"/>
                <w:b/>
                <w:sz w:val="22"/>
                <w:szCs w:val="22"/>
                <w:lang/>
              </w:rPr>
            </w:pPr>
            <w:r w:rsidRPr="00534EE7">
              <w:rPr>
                <w:rFonts w:ascii="Arial" w:eastAsia="Calibri" w:hAnsi="Arial" w:cs="Arial"/>
                <w:b/>
                <w:sz w:val="22"/>
                <w:szCs w:val="22"/>
                <w:lang/>
              </w:rPr>
              <w:t>Envisaged date on which amount will be paid</w:t>
            </w:r>
          </w:p>
        </w:tc>
      </w:tr>
      <w:tr w:rsidR="00CE2880" w:rsidRPr="000146EA" w:rsidTr="00405D4D">
        <w:tc>
          <w:tcPr>
            <w:tcW w:w="1124" w:type="dxa"/>
            <w:shd w:val="clear" w:color="auto" w:fill="auto"/>
          </w:tcPr>
          <w:p w:rsidR="00CE2880" w:rsidRPr="00787C54" w:rsidRDefault="00CE2880" w:rsidP="00405D4D">
            <w:pPr>
              <w:pStyle w:val="ListParagraph"/>
              <w:ind w:left="0"/>
              <w:jc w:val="center"/>
              <w:rPr>
                <w:rFonts w:ascii="Arial" w:hAnsi="Arial" w:cs="Arial"/>
                <w:sz w:val="22"/>
                <w:szCs w:val="22"/>
                <w:lang/>
              </w:rPr>
            </w:pPr>
            <w:r w:rsidRPr="00787C54">
              <w:rPr>
                <w:rFonts w:ascii="Arial" w:hAnsi="Arial" w:cs="Arial"/>
                <w:sz w:val="22"/>
                <w:szCs w:val="22"/>
                <w:lang/>
              </w:rPr>
              <w:t>2</w:t>
            </w:r>
          </w:p>
        </w:tc>
        <w:tc>
          <w:tcPr>
            <w:tcW w:w="1689" w:type="dxa"/>
          </w:tcPr>
          <w:p w:rsidR="00CE2880" w:rsidRPr="00787C54" w:rsidRDefault="00CE2880" w:rsidP="00405D4D">
            <w:pPr>
              <w:pStyle w:val="ListParagraph"/>
              <w:ind w:left="0"/>
              <w:rPr>
                <w:rFonts w:ascii="Arial" w:hAnsi="Arial" w:cs="Arial"/>
                <w:sz w:val="22"/>
                <w:szCs w:val="22"/>
                <w:lang/>
              </w:rPr>
            </w:pPr>
            <w:r w:rsidRPr="00787C54">
              <w:rPr>
                <w:rFonts w:ascii="Arial" w:hAnsi="Arial" w:cs="Arial"/>
                <w:sz w:val="22"/>
                <w:szCs w:val="22"/>
                <w:lang/>
              </w:rPr>
              <w:t xml:space="preserve">180 days </w:t>
            </w:r>
          </w:p>
        </w:tc>
        <w:tc>
          <w:tcPr>
            <w:tcW w:w="1512" w:type="dxa"/>
            <w:shd w:val="clear" w:color="auto" w:fill="auto"/>
          </w:tcPr>
          <w:p w:rsidR="00CE2880" w:rsidRPr="00787C54" w:rsidRDefault="00CE2880" w:rsidP="00405D4D">
            <w:pPr>
              <w:pStyle w:val="ListParagraph"/>
              <w:ind w:left="0"/>
              <w:rPr>
                <w:rFonts w:ascii="Arial" w:hAnsi="Arial" w:cs="Arial"/>
                <w:sz w:val="22"/>
                <w:szCs w:val="22"/>
                <w:lang/>
              </w:rPr>
            </w:pPr>
            <w:r w:rsidRPr="00787C54">
              <w:rPr>
                <w:rFonts w:ascii="Arial" w:hAnsi="Arial" w:cs="Arial"/>
                <w:sz w:val="22"/>
                <w:szCs w:val="22"/>
                <w:lang/>
              </w:rPr>
              <w:t xml:space="preserve">R127 123.89 </w:t>
            </w:r>
          </w:p>
          <w:p w:rsidR="00CE2880" w:rsidRPr="00787C54" w:rsidRDefault="00CE2880" w:rsidP="00405D4D">
            <w:pPr>
              <w:pStyle w:val="ListParagraph"/>
              <w:ind w:left="0"/>
              <w:rPr>
                <w:rFonts w:ascii="Arial" w:hAnsi="Arial" w:cs="Arial"/>
                <w:sz w:val="22"/>
                <w:szCs w:val="22"/>
                <w:lang/>
              </w:rPr>
            </w:pPr>
          </w:p>
          <w:p w:rsidR="00CE2880" w:rsidRPr="00787C54" w:rsidRDefault="00CE2880" w:rsidP="00405D4D">
            <w:pPr>
              <w:pStyle w:val="ListParagraph"/>
              <w:ind w:left="0"/>
              <w:rPr>
                <w:rFonts w:ascii="Arial" w:hAnsi="Arial" w:cs="Arial"/>
                <w:sz w:val="22"/>
                <w:szCs w:val="22"/>
                <w:lang/>
              </w:rPr>
            </w:pPr>
          </w:p>
        </w:tc>
        <w:tc>
          <w:tcPr>
            <w:tcW w:w="4322" w:type="dxa"/>
            <w:shd w:val="clear" w:color="auto" w:fill="auto"/>
            <w:vAlign w:val="center"/>
          </w:tcPr>
          <w:p w:rsidR="00CE2880" w:rsidRPr="00787C54" w:rsidRDefault="00CE2880" w:rsidP="00405D4D">
            <w:pPr>
              <w:pStyle w:val="ListParagraph"/>
              <w:ind w:left="0"/>
              <w:rPr>
                <w:rFonts w:ascii="Arial" w:hAnsi="Arial" w:cs="Arial"/>
                <w:sz w:val="22"/>
                <w:szCs w:val="22"/>
                <w:lang/>
              </w:rPr>
            </w:pPr>
            <w:r>
              <w:rPr>
                <w:rFonts w:ascii="Arial" w:hAnsi="Arial" w:cs="Arial"/>
                <w:sz w:val="22"/>
                <w:szCs w:val="22"/>
                <w:lang/>
              </w:rPr>
              <w:t xml:space="preserve">The Service Provider has invoiced us incorrectly. They </w:t>
            </w:r>
            <w:r w:rsidRPr="00787C54">
              <w:rPr>
                <w:rFonts w:ascii="Arial" w:hAnsi="Arial" w:cs="Arial"/>
                <w:sz w:val="22"/>
                <w:szCs w:val="22"/>
                <w:lang/>
              </w:rPr>
              <w:t>ha</w:t>
            </w:r>
            <w:r>
              <w:rPr>
                <w:rFonts w:ascii="Arial" w:hAnsi="Arial" w:cs="Arial"/>
                <w:sz w:val="22"/>
                <w:szCs w:val="22"/>
                <w:lang/>
              </w:rPr>
              <w:t>ve</w:t>
            </w:r>
            <w:r w:rsidRPr="00787C54">
              <w:rPr>
                <w:rFonts w:ascii="Arial" w:hAnsi="Arial" w:cs="Arial"/>
                <w:sz w:val="22"/>
                <w:szCs w:val="22"/>
                <w:lang/>
              </w:rPr>
              <w:t xml:space="preserve"> agreed to re-invoice and once we receive the updated invoices, payment will be processed. The envisaged </w:t>
            </w:r>
            <w:r>
              <w:rPr>
                <w:rFonts w:ascii="Arial" w:hAnsi="Arial" w:cs="Arial"/>
                <w:sz w:val="22"/>
                <w:szCs w:val="22"/>
                <w:lang/>
              </w:rPr>
              <w:t xml:space="preserve">payment </w:t>
            </w:r>
            <w:r w:rsidRPr="00787C54">
              <w:rPr>
                <w:rFonts w:ascii="Arial" w:hAnsi="Arial" w:cs="Arial"/>
                <w:sz w:val="22"/>
                <w:szCs w:val="22"/>
                <w:lang/>
              </w:rPr>
              <w:t>date is 28 February 2022.</w:t>
            </w:r>
          </w:p>
        </w:tc>
      </w:tr>
      <w:tr w:rsidR="00CE2880" w:rsidRPr="000146EA" w:rsidTr="00405D4D">
        <w:tc>
          <w:tcPr>
            <w:tcW w:w="1124" w:type="dxa"/>
            <w:shd w:val="clear" w:color="auto" w:fill="auto"/>
          </w:tcPr>
          <w:p w:rsidR="00CE2880" w:rsidRPr="00787C54" w:rsidRDefault="00CE2880" w:rsidP="00405D4D">
            <w:pPr>
              <w:pStyle w:val="ListParagraph"/>
              <w:ind w:left="0"/>
              <w:jc w:val="center"/>
              <w:rPr>
                <w:rFonts w:ascii="Arial" w:hAnsi="Arial" w:cs="Arial"/>
                <w:sz w:val="22"/>
                <w:szCs w:val="22"/>
                <w:lang/>
              </w:rPr>
            </w:pPr>
            <w:r w:rsidRPr="00787C54">
              <w:rPr>
                <w:rFonts w:ascii="Arial" w:hAnsi="Arial" w:cs="Arial"/>
                <w:sz w:val="22"/>
                <w:szCs w:val="22"/>
                <w:lang/>
              </w:rPr>
              <w:t>9</w:t>
            </w:r>
          </w:p>
        </w:tc>
        <w:tc>
          <w:tcPr>
            <w:tcW w:w="1689" w:type="dxa"/>
          </w:tcPr>
          <w:p w:rsidR="00CE2880" w:rsidRPr="00787C54" w:rsidRDefault="00CE2880" w:rsidP="00405D4D">
            <w:pPr>
              <w:pStyle w:val="ListParagraph"/>
              <w:ind w:left="0"/>
              <w:rPr>
                <w:rFonts w:ascii="Arial" w:hAnsi="Arial" w:cs="Arial"/>
                <w:sz w:val="22"/>
                <w:szCs w:val="22"/>
                <w:lang/>
              </w:rPr>
            </w:pPr>
            <w:r w:rsidRPr="00787C54">
              <w:rPr>
                <w:rFonts w:ascii="Arial" w:hAnsi="Arial" w:cs="Arial"/>
                <w:sz w:val="22"/>
                <w:szCs w:val="22"/>
                <w:lang/>
              </w:rPr>
              <w:t>90 days</w:t>
            </w:r>
          </w:p>
        </w:tc>
        <w:tc>
          <w:tcPr>
            <w:tcW w:w="1512" w:type="dxa"/>
            <w:shd w:val="clear" w:color="auto" w:fill="auto"/>
          </w:tcPr>
          <w:p w:rsidR="00CE2880" w:rsidRPr="00787C54" w:rsidRDefault="00CE2880" w:rsidP="00405D4D">
            <w:pPr>
              <w:pStyle w:val="ListParagraph"/>
              <w:ind w:left="0"/>
              <w:rPr>
                <w:rFonts w:ascii="Arial" w:hAnsi="Arial" w:cs="Arial"/>
                <w:sz w:val="22"/>
                <w:szCs w:val="22"/>
                <w:lang/>
              </w:rPr>
            </w:pPr>
            <w:r w:rsidRPr="00787C54">
              <w:rPr>
                <w:rFonts w:ascii="Arial" w:hAnsi="Arial" w:cs="Arial"/>
                <w:sz w:val="22"/>
                <w:szCs w:val="22"/>
                <w:lang/>
              </w:rPr>
              <w:t>R63 357.97</w:t>
            </w:r>
          </w:p>
        </w:tc>
        <w:tc>
          <w:tcPr>
            <w:tcW w:w="4322" w:type="dxa"/>
            <w:shd w:val="clear" w:color="auto" w:fill="auto"/>
            <w:vAlign w:val="center"/>
          </w:tcPr>
          <w:p w:rsidR="00CE2880" w:rsidRPr="00787C54" w:rsidRDefault="00CE2880" w:rsidP="00405D4D">
            <w:pPr>
              <w:pStyle w:val="ListParagraph"/>
              <w:tabs>
                <w:tab w:val="left" w:pos="567"/>
              </w:tabs>
              <w:ind w:left="0"/>
              <w:rPr>
                <w:rFonts w:ascii="Arial" w:hAnsi="Arial" w:cs="Arial"/>
                <w:sz w:val="22"/>
                <w:szCs w:val="22"/>
              </w:rPr>
            </w:pPr>
            <w:r>
              <w:rPr>
                <w:rFonts w:ascii="Arial" w:hAnsi="Arial" w:cs="Arial"/>
                <w:sz w:val="22"/>
                <w:szCs w:val="22"/>
              </w:rPr>
              <w:t xml:space="preserve">The Agency has raised a dispute with the service provider regarding the billed amounts. </w:t>
            </w:r>
            <w:r w:rsidRPr="00787C54">
              <w:rPr>
                <w:rFonts w:ascii="Arial" w:hAnsi="Arial" w:cs="Arial"/>
                <w:sz w:val="22"/>
                <w:szCs w:val="22"/>
              </w:rPr>
              <w:t>Disputed amounts will be settled once engagements are concluded.</w:t>
            </w:r>
            <w:r>
              <w:rPr>
                <w:rFonts w:ascii="Arial" w:hAnsi="Arial" w:cs="Arial"/>
                <w:sz w:val="22"/>
                <w:szCs w:val="22"/>
              </w:rPr>
              <w:t xml:space="preserve"> The envisaged payment date is 28 February 2022.</w:t>
            </w:r>
          </w:p>
        </w:tc>
      </w:tr>
      <w:tr w:rsidR="00CE2880" w:rsidRPr="000146EA" w:rsidTr="00405D4D">
        <w:tc>
          <w:tcPr>
            <w:tcW w:w="1124" w:type="dxa"/>
            <w:shd w:val="clear" w:color="auto" w:fill="auto"/>
          </w:tcPr>
          <w:p w:rsidR="00CE2880" w:rsidRPr="00787C54" w:rsidRDefault="00CE2880" w:rsidP="00405D4D">
            <w:pPr>
              <w:pStyle w:val="ListParagraph"/>
              <w:ind w:left="0"/>
              <w:jc w:val="center"/>
              <w:rPr>
                <w:rFonts w:ascii="Arial" w:hAnsi="Arial" w:cs="Arial"/>
                <w:b/>
                <w:bCs/>
                <w:sz w:val="22"/>
                <w:szCs w:val="22"/>
                <w:lang/>
              </w:rPr>
            </w:pPr>
            <w:r w:rsidRPr="00787C54">
              <w:rPr>
                <w:rFonts w:ascii="Arial" w:hAnsi="Arial" w:cs="Arial"/>
                <w:b/>
                <w:bCs/>
                <w:sz w:val="22"/>
                <w:szCs w:val="22"/>
                <w:lang/>
              </w:rPr>
              <w:t>11</w:t>
            </w:r>
          </w:p>
        </w:tc>
        <w:tc>
          <w:tcPr>
            <w:tcW w:w="7523" w:type="dxa"/>
            <w:gridSpan w:val="3"/>
          </w:tcPr>
          <w:p w:rsidR="00CE2880" w:rsidRPr="00787C54" w:rsidRDefault="00CE2880" w:rsidP="00405D4D">
            <w:pPr>
              <w:pStyle w:val="ListParagraph"/>
              <w:ind w:left="0"/>
              <w:rPr>
                <w:rFonts w:ascii="Arial" w:hAnsi="Arial" w:cs="Arial"/>
                <w:sz w:val="22"/>
                <w:szCs w:val="22"/>
                <w:lang/>
              </w:rPr>
            </w:pPr>
          </w:p>
        </w:tc>
      </w:tr>
    </w:tbl>
    <w:p w:rsidR="00CE2880" w:rsidRDefault="00CE2880" w:rsidP="00CE2880">
      <w:pPr>
        <w:ind w:left="567"/>
        <w:jc w:val="both"/>
        <w:rPr>
          <w:rFonts w:ascii="Arial" w:eastAsia="Calibri" w:hAnsi="Arial" w:cs="Arial"/>
          <w:color w:val="000000"/>
          <w:sz w:val="22"/>
          <w:szCs w:val="22"/>
        </w:rPr>
      </w:pPr>
    </w:p>
    <w:p w:rsidR="00CE2880" w:rsidRDefault="00CE2880" w:rsidP="00CE2880">
      <w:pPr>
        <w:ind w:left="567"/>
        <w:jc w:val="both"/>
        <w:rPr>
          <w:rFonts w:ascii="Arial" w:eastAsia="Calibri" w:hAnsi="Arial" w:cs="Arial"/>
          <w:b/>
          <w:color w:val="000000"/>
          <w:sz w:val="22"/>
          <w:szCs w:val="22"/>
        </w:rPr>
      </w:pPr>
    </w:p>
    <w:p w:rsidR="00CE2880" w:rsidRDefault="00CE2880" w:rsidP="00CE2880">
      <w:pPr>
        <w:ind w:left="567" w:hanging="567"/>
        <w:jc w:val="both"/>
        <w:rPr>
          <w:rFonts w:ascii="Arial" w:eastAsia="Calibri" w:hAnsi="Arial" w:cs="Arial"/>
          <w:b/>
          <w:color w:val="000000"/>
          <w:sz w:val="22"/>
          <w:szCs w:val="22"/>
        </w:rPr>
      </w:pPr>
      <w:r w:rsidRPr="009815E2">
        <w:rPr>
          <w:rFonts w:ascii="Arial" w:eastAsia="Calibri" w:hAnsi="Arial" w:cs="Arial"/>
          <w:b/>
          <w:color w:val="000000"/>
          <w:sz w:val="22"/>
          <w:szCs w:val="22"/>
        </w:rPr>
        <w:t>S</w:t>
      </w:r>
      <w:r>
        <w:rPr>
          <w:rFonts w:ascii="Arial" w:eastAsia="Calibri" w:hAnsi="Arial" w:cs="Arial"/>
          <w:b/>
          <w:color w:val="000000"/>
          <w:sz w:val="22"/>
          <w:szCs w:val="22"/>
        </w:rPr>
        <w:t>outh African National Roads Agency Limited (S</w:t>
      </w:r>
      <w:r w:rsidRPr="009815E2">
        <w:rPr>
          <w:rFonts w:ascii="Arial" w:eastAsia="Calibri" w:hAnsi="Arial" w:cs="Arial"/>
          <w:b/>
          <w:color w:val="000000"/>
          <w:sz w:val="22"/>
          <w:szCs w:val="22"/>
        </w:rPr>
        <w:t>ANRAL</w:t>
      </w:r>
      <w:r>
        <w:rPr>
          <w:rFonts w:ascii="Arial" w:eastAsia="Calibri" w:hAnsi="Arial" w:cs="Arial"/>
          <w:b/>
          <w:color w:val="000000"/>
          <w:sz w:val="22"/>
          <w:szCs w:val="22"/>
        </w:rPr>
        <w:t>)</w:t>
      </w:r>
    </w:p>
    <w:p w:rsidR="00CE2880" w:rsidRDefault="00CE2880" w:rsidP="00CE2880">
      <w:pPr>
        <w:ind w:left="567"/>
        <w:jc w:val="both"/>
        <w:rPr>
          <w:rFonts w:ascii="Arial" w:eastAsia="Calibri" w:hAnsi="Arial" w:cs="Arial"/>
          <w:b/>
          <w:color w:val="000000"/>
          <w:sz w:val="22"/>
          <w:szCs w:val="22"/>
        </w:rPr>
      </w:pPr>
    </w:p>
    <w:p w:rsidR="00CE2880" w:rsidRPr="009815E2" w:rsidRDefault="00CE2880" w:rsidP="00CE2880">
      <w:pPr>
        <w:ind w:left="567"/>
        <w:jc w:val="both"/>
        <w:rPr>
          <w:rFonts w:ascii="Arial" w:eastAsia="Calibri" w:hAnsi="Arial" w:cs="Arial"/>
          <w:b/>
          <w:color w:val="000000"/>
          <w:sz w:val="22"/>
          <w:szCs w:val="22"/>
        </w:rPr>
      </w:pPr>
    </w:p>
    <w:p w:rsidR="00CE2880" w:rsidRDefault="00CE2880" w:rsidP="00CE2880">
      <w:pPr>
        <w:jc w:val="both"/>
        <w:rPr>
          <w:rFonts w:ascii="Arial" w:eastAsia="Calibri" w:hAnsi="Arial" w:cs="Arial"/>
          <w:color w:val="000000"/>
          <w:sz w:val="22"/>
          <w:szCs w:val="22"/>
        </w:rPr>
      </w:pPr>
      <w:r>
        <w:rPr>
          <w:rFonts w:ascii="Arial" w:eastAsia="Calibri" w:hAnsi="Arial" w:cs="Arial"/>
          <w:color w:val="000000"/>
          <w:sz w:val="22"/>
          <w:szCs w:val="22"/>
        </w:rPr>
        <w:t>(a)(ii) SANRAL has 5 outstanding invoices, which are older than 30 days. The age analysis of the creditors is indicated in the Table below.</w:t>
      </w:r>
    </w:p>
    <w:p w:rsidR="00CE2880" w:rsidRDefault="00CE2880" w:rsidP="00CE2880">
      <w:pPr>
        <w:jc w:val="both"/>
        <w:rPr>
          <w:rFonts w:ascii="Arial" w:eastAsia="Calibri" w:hAnsi="Arial" w:cs="Arial"/>
          <w:color w:val="000000"/>
          <w:sz w:val="22"/>
          <w:szCs w:val="22"/>
        </w:rPr>
      </w:pPr>
    </w:p>
    <w:p w:rsidR="00CE2880" w:rsidRDefault="00CE2880" w:rsidP="00CE2880">
      <w:pPr>
        <w:ind w:left="567"/>
        <w:jc w:val="both"/>
        <w:rPr>
          <w:rFonts w:ascii="Arial" w:eastAsia="Calibri" w:hAnsi="Arial" w:cs="Arial"/>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320"/>
        <w:gridCol w:w="1351"/>
        <w:gridCol w:w="1667"/>
        <w:gridCol w:w="2544"/>
      </w:tblGrid>
      <w:tr w:rsidR="00CE2880" w:rsidRPr="002F1D31" w:rsidTr="00405D4D">
        <w:tc>
          <w:tcPr>
            <w:tcW w:w="2087" w:type="dxa"/>
            <w:shd w:val="clear" w:color="auto" w:fill="auto"/>
          </w:tcPr>
          <w:p w:rsidR="00CE2880" w:rsidRPr="002F1D31" w:rsidRDefault="00CE2880" w:rsidP="00405D4D">
            <w:pPr>
              <w:jc w:val="center"/>
              <w:rPr>
                <w:rFonts w:ascii="Arial" w:eastAsia="Calibri" w:hAnsi="Arial" w:cs="Arial"/>
                <w:b/>
                <w:bCs/>
                <w:color w:val="000000"/>
                <w:sz w:val="22"/>
                <w:szCs w:val="22"/>
              </w:rPr>
            </w:pPr>
            <w:r w:rsidRPr="002F1D31">
              <w:rPr>
                <w:rFonts w:ascii="Arial" w:eastAsia="Calibri" w:hAnsi="Arial" w:cs="Arial"/>
                <w:b/>
                <w:bCs/>
                <w:color w:val="000000"/>
                <w:sz w:val="22"/>
                <w:szCs w:val="22"/>
              </w:rPr>
              <w:t>Age</w:t>
            </w:r>
          </w:p>
        </w:tc>
        <w:tc>
          <w:tcPr>
            <w:tcW w:w="1320" w:type="dxa"/>
            <w:shd w:val="clear" w:color="auto" w:fill="auto"/>
          </w:tcPr>
          <w:p w:rsidR="00CE2880" w:rsidRPr="002F1D31" w:rsidRDefault="00CE2880" w:rsidP="00405D4D">
            <w:pPr>
              <w:jc w:val="center"/>
              <w:rPr>
                <w:rFonts w:ascii="Arial" w:eastAsia="Calibri" w:hAnsi="Arial" w:cs="Arial"/>
                <w:b/>
                <w:bCs/>
                <w:color w:val="000000"/>
                <w:sz w:val="22"/>
                <w:szCs w:val="22"/>
              </w:rPr>
            </w:pPr>
            <w:r w:rsidRPr="002F1D31">
              <w:rPr>
                <w:rFonts w:ascii="Arial" w:eastAsia="Calibri" w:hAnsi="Arial" w:cs="Arial"/>
                <w:b/>
                <w:bCs/>
                <w:color w:val="000000"/>
                <w:sz w:val="22"/>
                <w:szCs w:val="22"/>
              </w:rPr>
              <w:t>Number of invoices</w:t>
            </w:r>
          </w:p>
        </w:tc>
        <w:tc>
          <w:tcPr>
            <w:tcW w:w="1351" w:type="dxa"/>
          </w:tcPr>
          <w:p w:rsidR="00CE2880" w:rsidRPr="002F1D31" w:rsidRDefault="00CE2880" w:rsidP="00405D4D">
            <w:pPr>
              <w:jc w:val="center"/>
              <w:rPr>
                <w:rFonts w:ascii="Arial" w:eastAsia="Calibri" w:hAnsi="Arial" w:cs="Arial"/>
                <w:color w:val="000000"/>
                <w:sz w:val="22"/>
                <w:szCs w:val="22"/>
              </w:rPr>
            </w:pPr>
          </w:p>
        </w:tc>
        <w:tc>
          <w:tcPr>
            <w:tcW w:w="1667" w:type="dxa"/>
            <w:shd w:val="clear" w:color="auto" w:fill="auto"/>
          </w:tcPr>
          <w:p w:rsidR="00CE2880" w:rsidRPr="002F1D31" w:rsidRDefault="00CE2880" w:rsidP="00405D4D">
            <w:pPr>
              <w:jc w:val="center"/>
              <w:rPr>
                <w:rFonts w:ascii="Arial" w:eastAsia="Calibri" w:hAnsi="Arial" w:cs="Arial"/>
                <w:b/>
                <w:bCs/>
                <w:color w:val="000000"/>
                <w:sz w:val="22"/>
                <w:szCs w:val="22"/>
              </w:rPr>
            </w:pPr>
            <w:r w:rsidRPr="002F1D31">
              <w:rPr>
                <w:rFonts w:ascii="Arial" w:eastAsia="Calibri" w:hAnsi="Arial" w:cs="Arial"/>
                <w:color w:val="000000"/>
                <w:sz w:val="22"/>
                <w:szCs w:val="22"/>
              </w:rPr>
              <w:t>(b)</w:t>
            </w:r>
            <w:r w:rsidRPr="002F1D31">
              <w:rPr>
                <w:rFonts w:ascii="Arial" w:eastAsia="Calibri" w:hAnsi="Arial" w:cs="Arial"/>
                <w:b/>
                <w:bCs/>
                <w:color w:val="000000"/>
                <w:sz w:val="22"/>
                <w:szCs w:val="22"/>
              </w:rPr>
              <w:t xml:space="preserve"> Value</w:t>
            </w:r>
          </w:p>
          <w:p w:rsidR="00CE2880" w:rsidRPr="002F1D31" w:rsidRDefault="00CE2880" w:rsidP="00405D4D">
            <w:pPr>
              <w:jc w:val="center"/>
              <w:rPr>
                <w:rFonts w:ascii="Arial" w:eastAsia="Calibri" w:hAnsi="Arial" w:cs="Arial"/>
                <w:b/>
                <w:bCs/>
                <w:color w:val="000000"/>
                <w:sz w:val="22"/>
                <w:szCs w:val="22"/>
              </w:rPr>
            </w:pPr>
            <w:r w:rsidRPr="002F1D31">
              <w:rPr>
                <w:rFonts w:ascii="Arial" w:eastAsia="Calibri" w:hAnsi="Arial" w:cs="Arial"/>
                <w:b/>
                <w:bCs/>
                <w:color w:val="000000"/>
                <w:sz w:val="22"/>
                <w:szCs w:val="22"/>
              </w:rPr>
              <w:t>(R)</w:t>
            </w:r>
          </w:p>
        </w:tc>
        <w:tc>
          <w:tcPr>
            <w:tcW w:w="2544" w:type="dxa"/>
            <w:shd w:val="clear" w:color="auto" w:fill="auto"/>
          </w:tcPr>
          <w:p w:rsidR="00CE2880" w:rsidRPr="002F1D31" w:rsidRDefault="00CE2880" w:rsidP="00405D4D">
            <w:pPr>
              <w:jc w:val="center"/>
              <w:rPr>
                <w:rFonts w:ascii="Arial" w:eastAsia="Calibri" w:hAnsi="Arial" w:cs="Arial"/>
                <w:b/>
                <w:bCs/>
                <w:color w:val="000000"/>
                <w:sz w:val="22"/>
                <w:szCs w:val="22"/>
              </w:rPr>
            </w:pPr>
            <w:r w:rsidRPr="002F1D31">
              <w:rPr>
                <w:rFonts w:ascii="Arial" w:eastAsia="Calibri" w:hAnsi="Arial" w:cs="Arial"/>
                <w:b/>
                <w:bCs/>
                <w:color w:val="000000"/>
                <w:sz w:val="22"/>
                <w:szCs w:val="22"/>
              </w:rPr>
              <w:t>Reason</w:t>
            </w:r>
          </w:p>
        </w:tc>
      </w:tr>
      <w:tr w:rsidR="00CE2880" w:rsidRPr="002F1D31" w:rsidTr="00405D4D">
        <w:tc>
          <w:tcPr>
            <w:tcW w:w="2087" w:type="dxa"/>
            <w:shd w:val="clear" w:color="auto" w:fill="auto"/>
          </w:tcPr>
          <w:p w:rsidR="00CE2880" w:rsidRPr="002F1D31" w:rsidRDefault="00CE2880" w:rsidP="00CE2880">
            <w:pPr>
              <w:numPr>
                <w:ilvl w:val="0"/>
                <w:numId w:val="29"/>
              </w:numPr>
              <w:ind w:left="429"/>
              <w:rPr>
                <w:rFonts w:ascii="Arial" w:eastAsia="Calibri" w:hAnsi="Arial" w:cs="Arial"/>
                <w:color w:val="000000"/>
                <w:sz w:val="22"/>
                <w:szCs w:val="22"/>
              </w:rPr>
            </w:pPr>
            <w:r w:rsidRPr="002F1D31">
              <w:rPr>
                <w:rFonts w:ascii="Arial" w:eastAsia="Calibri" w:hAnsi="Arial" w:cs="Arial"/>
                <w:color w:val="000000"/>
                <w:sz w:val="22"/>
                <w:szCs w:val="22"/>
              </w:rPr>
              <w:t>&gt; 30 days</w:t>
            </w:r>
          </w:p>
        </w:tc>
        <w:tc>
          <w:tcPr>
            <w:tcW w:w="1320" w:type="dxa"/>
            <w:shd w:val="clear" w:color="auto" w:fill="auto"/>
          </w:tcPr>
          <w:p w:rsidR="00CE2880" w:rsidRPr="002F1D31" w:rsidRDefault="00CE2880" w:rsidP="00405D4D">
            <w:pPr>
              <w:jc w:val="center"/>
              <w:rPr>
                <w:rFonts w:ascii="Arial" w:eastAsia="Calibri" w:hAnsi="Arial" w:cs="Arial"/>
                <w:color w:val="000000"/>
                <w:sz w:val="22"/>
                <w:szCs w:val="22"/>
              </w:rPr>
            </w:pPr>
            <w:r w:rsidRPr="002F1D31">
              <w:rPr>
                <w:rFonts w:ascii="Arial" w:eastAsia="Calibri" w:hAnsi="Arial" w:cs="Arial"/>
                <w:color w:val="000000"/>
                <w:sz w:val="22"/>
                <w:szCs w:val="22"/>
              </w:rPr>
              <w:t>1</w:t>
            </w:r>
          </w:p>
        </w:tc>
        <w:tc>
          <w:tcPr>
            <w:tcW w:w="1351" w:type="dxa"/>
          </w:tcPr>
          <w:p w:rsidR="00CE2880" w:rsidRPr="002F1D31" w:rsidRDefault="00CE2880" w:rsidP="00405D4D">
            <w:pPr>
              <w:jc w:val="right"/>
              <w:rPr>
                <w:rFonts w:ascii="Arial" w:eastAsia="Calibri" w:hAnsi="Arial" w:cs="Arial"/>
                <w:color w:val="000000"/>
                <w:sz w:val="22"/>
                <w:szCs w:val="22"/>
              </w:rPr>
            </w:pPr>
          </w:p>
        </w:tc>
        <w:tc>
          <w:tcPr>
            <w:tcW w:w="1667" w:type="dxa"/>
            <w:shd w:val="clear" w:color="auto" w:fill="auto"/>
          </w:tcPr>
          <w:p w:rsidR="00CE2880" w:rsidRPr="002F1D31" w:rsidRDefault="00CE2880" w:rsidP="00405D4D">
            <w:pPr>
              <w:jc w:val="right"/>
              <w:rPr>
                <w:rFonts w:ascii="Arial" w:eastAsia="Calibri" w:hAnsi="Arial" w:cs="Arial"/>
                <w:color w:val="000000"/>
                <w:sz w:val="22"/>
                <w:szCs w:val="22"/>
              </w:rPr>
            </w:pPr>
            <w:r w:rsidRPr="002F1D31">
              <w:rPr>
                <w:rFonts w:ascii="Arial" w:eastAsia="Calibri" w:hAnsi="Arial" w:cs="Arial"/>
                <w:color w:val="000000"/>
                <w:sz w:val="22"/>
                <w:szCs w:val="22"/>
              </w:rPr>
              <w:t>1 268 262.99</w:t>
            </w:r>
          </w:p>
        </w:tc>
        <w:tc>
          <w:tcPr>
            <w:tcW w:w="2544" w:type="dxa"/>
            <w:vMerge w:val="restart"/>
            <w:shd w:val="clear" w:color="auto" w:fill="auto"/>
          </w:tcPr>
          <w:p w:rsidR="00CE2880" w:rsidRPr="002F1D31" w:rsidRDefault="00CE2880" w:rsidP="00405D4D">
            <w:pPr>
              <w:rPr>
                <w:rFonts w:ascii="Arial" w:eastAsia="Calibri" w:hAnsi="Arial" w:cs="Arial"/>
                <w:color w:val="000000"/>
                <w:sz w:val="22"/>
                <w:szCs w:val="22"/>
              </w:rPr>
            </w:pPr>
            <w:r w:rsidRPr="002F1D31">
              <w:rPr>
                <w:rFonts w:ascii="Arial" w:eastAsia="Calibri" w:hAnsi="Arial" w:cs="Arial"/>
                <w:color w:val="000000"/>
                <w:sz w:val="22"/>
                <w:szCs w:val="22"/>
              </w:rPr>
              <w:t>Rejected by bank due to banking details incorrectly supplied</w:t>
            </w:r>
          </w:p>
        </w:tc>
      </w:tr>
      <w:tr w:rsidR="00CE2880" w:rsidRPr="002F1D31" w:rsidTr="00405D4D">
        <w:tc>
          <w:tcPr>
            <w:tcW w:w="2087" w:type="dxa"/>
            <w:shd w:val="clear" w:color="auto" w:fill="auto"/>
          </w:tcPr>
          <w:p w:rsidR="00CE2880" w:rsidRPr="002F1D31" w:rsidRDefault="00CE2880" w:rsidP="00CE2880">
            <w:pPr>
              <w:numPr>
                <w:ilvl w:val="0"/>
                <w:numId w:val="29"/>
              </w:numPr>
              <w:ind w:left="429"/>
              <w:rPr>
                <w:rFonts w:ascii="Arial" w:eastAsia="Calibri" w:hAnsi="Arial" w:cs="Arial"/>
                <w:color w:val="000000"/>
                <w:sz w:val="22"/>
                <w:szCs w:val="22"/>
              </w:rPr>
            </w:pPr>
            <w:r w:rsidRPr="002F1D31">
              <w:rPr>
                <w:rFonts w:ascii="Arial" w:eastAsia="Calibri" w:hAnsi="Arial" w:cs="Arial"/>
                <w:color w:val="000000"/>
                <w:sz w:val="22"/>
                <w:szCs w:val="22"/>
              </w:rPr>
              <w:t>&gt; 60 days</w:t>
            </w:r>
          </w:p>
        </w:tc>
        <w:tc>
          <w:tcPr>
            <w:tcW w:w="1320" w:type="dxa"/>
            <w:shd w:val="clear" w:color="auto" w:fill="auto"/>
          </w:tcPr>
          <w:p w:rsidR="00CE2880" w:rsidRPr="002F1D31" w:rsidRDefault="00CE2880" w:rsidP="00405D4D">
            <w:pPr>
              <w:jc w:val="center"/>
              <w:rPr>
                <w:rFonts w:ascii="Arial" w:eastAsia="Calibri" w:hAnsi="Arial" w:cs="Arial"/>
                <w:color w:val="000000"/>
                <w:sz w:val="22"/>
                <w:szCs w:val="22"/>
              </w:rPr>
            </w:pPr>
            <w:r w:rsidRPr="002F1D31">
              <w:rPr>
                <w:rFonts w:ascii="Arial" w:eastAsia="Calibri" w:hAnsi="Arial" w:cs="Arial"/>
                <w:color w:val="000000"/>
                <w:sz w:val="22"/>
                <w:szCs w:val="22"/>
              </w:rPr>
              <w:t>1</w:t>
            </w:r>
          </w:p>
        </w:tc>
        <w:tc>
          <w:tcPr>
            <w:tcW w:w="1351" w:type="dxa"/>
          </w:tcPr>
          <w:p w:rsidR="00CE2880" w:rsidRPr="002F1D31" w:rsidRDefault="00CE2880" w:rsidP="00405D4D">
            <w:pPr>
              <w:jc w:val="right"/>
              <w:rPr>
                <w:rFonts w:ascii="Arial" w:eastAsia="Calibri" w:hAnsi="Arial" w:cs="Arial"/>
                <w:color w:val="000000"/>
                <w:sz w:val="22"/>
                <w:szCs w:val="22"/>
              </w:rPr>
            </w:pPr>
          </w:p>
        </w:tc>
        <w:tc>
          <w:tcPr>
            <w:tcW w:w="1667" w:type="dxa"/>
            <w:shd w:val="clear" w:color="auto" w:fill="auto"/>
          </w:tcPr>
          <w:p w:rsidR="00CE2880" w:rsidRPr="002F1D31" w:rsidRDefault="00CE2880" w:rsidP="00405D4D">
            <w:pPr>
              <w:jc w:val="right"/>
              <w:rPr>
                <w:rFonts w:ascii="Arial" w:eastAsia="Calibri" w:hAnsi="Arial" w:cs="Arial"/>
                <w:color w:val="000000"/>
                <w:sz w:val="22"/>
                <w:szCs w:val="22"/>
              </w:rPr>
            </w:pPr>
            <w:r w:rsidRPr="002F1D31">
              <w:rPr>
                <w:rFonts w:ascii="Arial" w:eastAsia="Calibri" w:hAnsi="Arial" w:cs="Arial"/>
                <w:color w:val="000000"/>
                <w:sz w:val="22"/>
                <w:szCs w:val="22"/>
              </w:rPr>
              <w:t>1 738.00</w:t>
            </w:r>
          </w:p>
        </w:tc>
        <w:tc>
          <w:tcPr>
            <w:tcW w:w="2544" w:type="dxa"/>
            <w:vMerge/>
            <w:shd w:val="clear" w:color="auto" w:fill="auto"/>
          </w:tcPr>
          <w:p w:rsidR="00CE2880" w:rsidRPr="002F1D31" w:rsidRDefault="00CE2880" w:rsidP="00405D4D">
            <w:pPr>
              <w:jc w:val="both"/>
              <w:rPr>
                <w:rFonts w:ascii="Arial" w:eastAsia="Calibri" w:hAnsi="Arial" w:cs="Arial"/>
                <w:color w:val="000000"/>
                <w:sz w:val="22"/>
                <w:szCs w:val="22"/>
              </w:rPr>
            </w:pPr>
          </w:p>
        </w:tc>
      </w:tr>
      <w:tr w:rsidR="00CE2880" w:rsidRPr="002F1D31" w:rsidTr="00405D4D">
        <w:tc>
          <w:tcPr>
            <w:tcW w:w="2087" w:type="dxa"/>
            <w:shd w:val="clear" w:color="auto" w:fill="auto"/>
          </w:tcPr>
          <w:p w:rsidR="00CE2880" w:rsidRPr="002F1D31" w:rsidRDefault="00CE2880" w:rsidP="00CE2880">
            <w:pPr>
              <w:numPr>
                <w:ilvl w:val="0"/>
                <w:numId w:val="29"/>
              </w:numPr>
              <w:ind w:left="712" w:hanging="667"/>
              <w:rPr>
                <w:rFonts w:ascii="Arial" w:eastAsia="Calibri" w:hAnsi="Arial" w:cs="Arial"/>
                <w:color w:val="000000"/>
                <w:sz w:val="22"/>
                <w:szCs w:val="22"/>
              </w:rPr>
            </w:pPr>
            <w:r w:rsidRPr="002F1D31">
              <w:rPr>
                <w:rFonts w:ascii="Arial" w:eastAsia="Calibri" w:hAnsi="Arial" w:cs="Arial"/>
                <w:color w:val="000000"/>
                <w:sz w:val="22"/>
                <w:szCs w:val="22"/>
              </w:rPr>
              <w:t>&gt; 90 days</w:t>
            </w:r>
          </w:p>
        </w:tc>
        <w:tc>
          <w:tcPr>
            <w:tcW w:w="1320" w:type="dxa"/>
            <w:shd w:val="clear" w:color="auto" w:fill="auto"/>
          </w:tcPr>
          <w:p w:rsidR="00CE2880" w:rsidRPr="002F1D31" w:rsidRDefault="00CE2880" w:rsidP="00405D4D">
            <w:pPr>
              <w:jc w:val="center"/>
              <w:rPr>
                <w:rFonts w:ascii="Arial" w:eastAsia="Calibri" w:hAnsi="Arial" w:cs="Arial"/>
                <w:color w:val="000000"/>
                <w:sz w:val="22"/>
                <w:szCs w:val="22"/>
              </w:rPr>
            </w:pPr>
          </w:p>
        </w:tc>
        <w:tc>
          <w:tcPr>
            <w:tcW w:w="1351" w:type="dxa"/>
          </w:tcPr>
          <w:p w:rsidR="00CE2880" w:rsidRPr="002F1D31" w:rsidRDefault="00CE2880" w:rsidP="00405D4D">
            <w:pPr>
              <w:jc w:val="right"/>
              <w:rPr>
                <w:rFonts w:ascii="Arial" w:eastAsia="Calibri" w:hAnsi="Arial" w:cs="Arial"/>
                <w:color w:val="000000"/>
                <w:sz w:val="22"/>
                <w:szCs w:val="22"/>
              </w:rPr>
            </w:pPr>
          </w:p>
        </w:tc>
        <w:tc>
          <w:tcPr>
            <w:tcW w:w="1667" w:type="dxa"/>
            <w:shd w:val="clear" w:color="auto" w:fill="auto"/>
          </w:tcPr>
          <w:p w:rsidR="00CE2880" w:rsidRPr="002F1D31" w:rsidRDefault="00CE2880" w:rsidP="00405D4D">
            <w:pPr>
              <w:jc w:val="right"/>
              <w:rPr>
                <w:rFonts w:ascii="Arial" w:eastAsia="Calibri" w:hAnsi="Arial" w:cs="Arial"/>
                <w:color w:val="000000"/>
                <w:sz w:val="22"/>
                <w:szCs w:val="22"/>
              </w:rPr>
            </w:pPr>
          </w:p>
        </w:tc>
        <w:tc>
          <w:tcPr>
            <w:tcW w:w="2544" w:type="dxa"/>
            <w:vMerge/>
            <w:shd w:val="clear" w:color="auto" w:fill="auto"/>
          </w:tcPr>
          <w:p w:rsidR="00CE2880" w:rsidRPr="002F1D31" w:rsidRDefault="00CE2880" w:rsidP="00405D4D">
            <w:pPr>
              <w:jc w:val="both"/>
              <w:rPr>
                <w:rFonts w:ascii="Arial" w:eastAsia="Calibri" w:hAnsi="Arial" w:cs="Arial"/>
                <w:color w:val="000000"/>
                <w:sz w:val="22"/>
                <w:szCs w:val="22"/>
              </w:rPr>
            </w:pPr>
          </w:p>
        </w:tc>
      </w:tr>
      <w:tr w:rsidR="00CE2880" w:rsidRPr="002F1D31" w:rsidTr="00405D4D">
        <w:tc>
          <w:tcPr>
            <w:tcW w:w="2087" w:type="dxa"/>
            <w:shd w:val="clear" w:color="auto" w:fill="auto"/>
          </w:tcPr>
          <w:p w:rsidR="00CE2880" w:rsidRPr="002F1D31" w:rsidRDefault="00CE2880" w:rsidP="00CE2880">
            <w:pPr>
              <w:numPr>
                <w:ilvl w:val="0"/>
                <w:numId w:val="29"/>
              </w:numPr>
              <w:ind w:left="429"/>
              <w:rPr>
                <w:rFonts w:ascii="Arial" w:eastAsia="Calibri" w:hAnsi="Arial" w:cs="Arial"/>
                <w:color w:val="000000"/>
                <w:sz w:val="22"/>
                <w:szCs w:val="22"/>
              </w:rPr>
            </w:pPr>
            <w:r w:rsidRPr="002F1D31">
              <w:rPr>
                <w:rFonts w:ascii="Arial" w:eastAsia="Calibri" w:hAnsi="Arial" w:cs="Arial"/>
                <w:color w:val="000000"/>
                <w:sz w:val="22"/>
                <w:szCs w:val="22"/>
              </w:rPr>
              <w:t>&gt; 120 days</w:t>
            </w:r>
          </w:p>
        </w:tc>
        <w:tc>
          <w:tcPr>
            <w:tcW w:w="1320" w:type="dxa"/>
            <w:shd w:val="clear" w:color="auto" w:fill="auto"/>
          </w:tcPr>
          <w:p w:rsidR="00CE2880" w:rsidRPr="002F1D31" w:rsidRDefault="00CE2880" w:rsidP="00405D4D">
            <w:pPr>
              <w:jc w:val="center"/>
              <w:rPr>
                <w:rFonts w:ascii="Arial" w:eastAsia="Calibri" w:hAnsi="Arial" w:cs="Arial"/>
                <w:color w:val="000000"/>
                <w:sz w:val="22"/>
                <w:szCs w:val="22"/>
              </w:rPr>
            </w:pPr>
            <w:r w:rsidRPr="002F1D31">
              <w:rPr>
                <w:rFonts w:ascii="Arial" w:eastAsia="Calibri" w:hAnsi="Arial" w:cs="Arial"/>
                <w:color w:val="000000"/>
                <w:sz w:val="22"/>
                <w:szCs w:val="22"/>
              </w:rPr>
              <w:t>3</w:t>
            </w:r>
          </w:p>
        </w:tc>
        <w:tc>
          <w:tcPr>
            <w:tcW w:w="1351" w:type="dxa"/>
          </w:tcPr>
          <w:p w:rsidR="00CE2880" w:rsidRPr="002F1D31" w:rsidRDefault="00CE2880" w:rsidP="00405D4D">
            <w:pPr>
              <w:jc w:val="right"/>
              <w:rPr>
                <w:rFonts w:ascii="Arial" w:eastAsia="Calibri" w:hAnsi="Arial" w:cs="Arial"/>
                <w:color w:val="000000"/>
                <w:sz w:val="22"/>
                <w:szCs w:val="22"/>
              </w:rPr>
            </w:pPr>
          </w:p>
        </w:tc>
        <w:tc>
          <w:tcPr>
            <w:tcW w:w="1667" w:type="dxa"/>
            <w:shd w:val="clear" w:color="auto" w:fill="auto"/>
          </w:tcPr>
          <w:p w:rsidR="00CE2880" w:rsidRPr="002F1D31" w:rsidRDefault="00CE2880" w:rsidP="00405D4D">
            <w:pPr>
              <w:jc w:val="right"/>
              <w:rPr>
                <w:rFonts w:ascii="Arial" w:eastAsia="Calibri" w:hAnsi="Arial" w:cs="Arial"/>
                <w:color w:val="000000"/>
                <w:sz w:val="22"/>
                <w:szCs w:val="22"/>
              </w:rPr>
            </w:pPr>
            <w:r w:rsidRPr="002F1D31">
              <w:rPr>
                <w:rFonts w:ascii="Arial" w:eastAsia="Calibri" w:hAnsi="Arial" w:cs="Arial"/>
                <w:color w:val="000000"/>
                <w:sz w:val="22"/>
                <w:szCs w:val="22"/>
              </w:rPr>
              <w:t>12 405.80</w:t>
            </w:r>
          </w:p>
        </w:tc>
        <w:tc>
          <w:tcPr>
            <w:tcW w:w="2544" w:type="dxa"/>
            <w:vMerge/>
            <w:shd w:val="clear" w:color="auto" w:fill="auto"/>
          </w:tcPr>
          <w:p w:rsidR="00CE2880" w:rsidRPr="002F1D31" w:rsidRDefault="00CE2880" w:rsidP="00405D4D">
            <w:pPr>
              <w:jc w:val="both"/>
              <w:rPr>
                <w:rFonts w:ascii="Arial" w:eastAsia="Calibri" w:hAnsi="Arial" w:cs="Arial"/>
                <w:color w:val="000000"/>
                <w:sz w:val="22"/>
                <w:szCs w:val="22"/>
              </w:rPr>
            </w:pPr>
          </w:p>
        </w:tc>
      </w:tr>
      <w:tr w:rsidR="00CE2880" w:rsidRPr="002F1D31" w:rsidTr="00405D4D">
        <w:tc>
          <w:tcPr>
            <w:tcW w:w="2087" w:type="dxa"/>
            <w:shd w:val="clear" w:color="auto" w:fill="auto"/>
          </w:tcPr>
          <w:p w:rsidR="00CE2880" w:rsidRPr="002F1D31" w:rsidRDefault="00CE2880" w:rsidP="00405D4D">
            <w:pPr>
              <w:rPr>
                <w:rFonts w:ascii="Arial" w:eastAsia="Calibri" w:hAnsi="Arial" w:cs="Arial"/>
                <w:b/>
                <w:bCs/>
                <w:color w:val="000000"/>
                <w:sz w:val="22"/>
                <w:szCs w:val="22"/>
              </w:rPr>
            </w:pPr>
            <w:r w:rsidRPr="002F1D31">
              <w:rPr>
                <w:rFonts w:ascii="Arial" w:eastAsia="Calibri" w:hAnsi="Arial" w:cs="Arial"/>
                <w:b/>
                <w:bCs/>
                <w:color w:val="000000"/>
                <w:sz w:val="22"/>
                <w:szCs w:val="22"/>
              </w:rPr>
              <w:t>TOTAL</w:t>
            </w:r>
          </w:p>
        </w:tc>
        <w:tc>
          <w:tcPr>
            <w:tcW w:w="1320" w:type="dxa"/>
            <w:shd w:val="clear" w:color="auto" w:fill="auto"/>
          </w:tcPr>
          <w:p w:rsidR="00CE2880" w:rsidRPr="002F1D31" w:rsidRDefault="00CE2880" w:rsidP="00405D4D">
            <w:pPr>
              <w:jc w:val="center"/>
              <w:rPr>
                <w:rFonts w:ascii="Arial" w:eastAsia="Calibri" w:hAnsi="Arial" w:cs="Arial"/>
                <w:b/>
                <w:bCs/>
                <w:color w:val="000000"/>
                <w:sz w:val="22"/>
                <w:szCs w:val="22"/>
              </w:rPr>
            </w:pPr>
            <w:r w:rsidRPr="002F1D31">
              <w:rPr>
                <w:rFonts w:ascii="Arial" w:eastAsia="Calibri" w:hAnsi="Arial" w:cs="Arial"/>
                <w:b/>
                <w:bCs/>
                <w:color w:val="000000"/>
                <w:sz w:val="22"/>
                <w:szCs w:val="22"/>
              </w:rPr>
              <w:t>5</w:t>
            </w:r>
          </w:p>
        </w:tc>
        <w:tc>
          <w:tcPr>
            <w:tcW w:w="1351" w:type="dxa"/>
          </w:tcPr>
          <w:p w:rsidR="00CE2880" w:rsidRPr="002F1D31" w:rsidRDefault="00CE2880" w:rsidP="00405D4D">
            <w:pPr>
              <w:jc w:val="right"/>
              <w:rPr>
                <w:rFonts w:ascii="Arial" w:eastAsia="Calibri" w:hAnsi="Arial" w:cs="Arial"/>
                <w:b/>
                <w:bCs/>
                <w:color w:val="000000"/>
                <w:sz w:val="22"/>
                <w:szCs w:val="22"/>
              </w:rPr>
            </w:pPr>
          </w:p>
        </w:tc>
        <w:tc>
          <w:tcPr>
            <w:tcW w:w="1667" w:type="dxa"/>
            <w:shd w:val="clear" w:color="auto" w:fill="auto"/>
          </w:tcPr>
          <w:p w:rsidR="00CE2880" w:rsidRPr="002F1D31" w:rsidRDefault="00CE2880" w:rsidP="00405D4D">
            <w:pPr>
              <w:jc w:val="right"/>
              <w:rPr>
                <w:rFonts w:ascii="Arial" w:eastAsia="Calibri" w:hAnsi="Arial" w:cs="Arial"/>
                <w:b/>
                <w:bCs/>
                <w:color w:val="000000"/>
                <w:sz w:val="22"/>
                <w:szCs w:val="22"/>
              </w:rPr>
            </w:pPr>
            <w:r w:rsidRPr="002F1D31">
              <w:rPr>
                <w:rFonts w:ascii="Arial" w:eastAsia="Calibri" w:hAnsi="Arial" w:cs="Arial"/>
                <w:b/>
                <w:bCs/>
                <w:color w:val="000000"/>
                <w:sz w:val="22"/>
                <w:szCs w:val="22"/>
              </w:rPr>
              <w:t>1 282 406.79</w:t>
            </w:r>
          </w:p>
        </w:tc>
        <w:tc>
          <w:tcPr>
            <w:tcW w:w="2544" w:type="dxa"/>
            <w:shd w:val="clear" w:color="auto" w:fill="auto"/>
          </w:tcPr>
          <w:p w:rsidR="00CE2880" w:rsidRPr="002F1D31" w:rsidRDefault="00CE2880" w:rsidP="00405D4D">
            <w:pPr>
              <w:jc w:val="both"/>
              <w:rPr>
                <w:rFonts w:ascii="Arial" w:eastAsia="Calibri" w:hAnsi="Arial" w:cs="Arial"/>
                <w:b/>
                <w:bCs/>
                <w:color w:val="000000"/>
                <w:sz w:val="22"/>
                <w:szCs w:val="22"/>
              </w:rPr>
            </w:pPr>
          </w:p>
        </w:tc>
      </w:tr>
    </w:tbl>
    <w:p w:rsidR="00CE2880" w:rsidRDefault="00CE2880" w:rsidP="00CE2880">
      <w:pPr>
        <w:ind w:left="567"/>
        <w:jc w:val="both"/>
        <w:rPr>
          <w:rFonts w:ascii="Arial" w:eastAsia="Calibri" w:hAnsi="Arial" w:cs="Arial"/>
          <w:color w:val="000000"/>
          <w:sz w:val="22"/>
          <w:szCs w:val="22"/>
        </w:rPr>
      </w:pPr>
    </w:p>
    <w:p w:rsidR="00CE2880" w:rsidRDefault="00CE2880" w:rsidP="00CE2880">
      <w:pPr>
        <w:numPr>
          <w:ilvl w:val="0"/>
          <w:numId w:val="28"/>
        </w:numPr>
        <w:jc w:val="both"/>
        <w:rPr>
          <w:rFonts w:ascii="Arial" w:eastAsia="Calibri" w:hAnsi="Arial" w:cs="Arial"/>
          <w:color w:val="000000"/>
          <w:sz w:val="22"/>
          <w:szCs w:val="22"/>
        </w:rPr>
      </w:pPr>
      <w:r>
        <w:rPr>
          <w:rFonts w:ascii="Arial" w:eastAsia="Calibri" w:hAnsi="Arial" w:cs="Arial"/>
          <w:color w:val="000000"/>
          <w:sz w:val="22"/>
          <w:szCs w:val="22"/>
        </w:rPr>
        <w:t>The invoices will be paid immediately, once the vendor has supplied the correct banking details, as verified by the bank. SANRAL has a payment run twice a week.</w:t>
      </w:r>
    </w:p>
    <w:p w:rsidR="00CE2880" w:rsidRDefault="00CE2880" w:rsidP="00CE2880">
      <w:pPr>
        <w:ind w:left="360"/>
        <w:jc w:val="both"/>
        <w:rPr>
          <w:rFonts w:ascii="Arial" w:eastAsia="Calibri" w:hAnsi="Arial" w:cs="Arial"/>
          <w:color w:val="000000"/>
          <w:sz w:val="22"/>
          <w:szCs w:val="22"/>
        </w:rPr>
      </w:pPr>
    </w:p>
    <w:p w:rsidR="00CE2880" w:rsidRDefault="00CE2880" w:rsidP="00CE2880">
      <w:pPr>
        <w:ind w:left="360"/>
        <w:jc w:val="both"/>
        <w:rPr>
          <w:rFonts w:ascii="Arial" w:eastAsia="Calibri" w:hAnsi="Arial" w:cs="Arial"/>
          <w:color w:val="000000"/>
          <w:sz w:val="22"/>
          <w:szCs w:val="22"/>
        </w:rPr>
      </w:pPr>
    </w:p>
    <w:p w:rsidR="00CE2880" w:rsidRDefault="00CE2880" w:rsidP="00CE2880">
      <w:pPr>
        <w:ind w:left="360"/>
        <w:jc w:val="both"/>
        <w:rPr>
          <w:rFonts w:ascii="Arial" w:eastAsia="Calibri" w:hAnsi="Arial" w:cs="Arial"/>
          <w:b/>
          <w:color w:val="000000"/>
          <w:sz w:val="22"/>
          <w:szCs w:val="22"/>
        </w:rPr>
      </w:pPr>
    </w:p>
    <w:p w:rsidR="00CE2880" w:rsidRDefault="00CE2880" w:rsidP="00CE2880">
      <w:pPr>
        <w:ind w:left="360"/>
        <w:jc w:val="both"/>
        <w:rPr>
          <w:rFonts w:ascii="Arial" w:eastAsia="Calibri" w:hAnsi="Arial" w:cs="Arial"/>
          <w:b/>
          <w:color w:val="000000"/>
          <w:sz w:val="22"/>
          <w:szCs w:val="22"/>
        </w:rPr>
      </w:pPr>
    </w:p>
    <w:p w:rsidR="00CE2880" w:rsidRDefault="00CE2880" w:rsidP="00CE2880">
      <w:pPr>
        <w:ind w:left="360" w:hanging="360"/>
        <w:jc w:val="both"/>
        <w:rPr>
          <w:rFonts w:ascii="Arial" w:eastAsia="Calibri" w:hAnsi="Arial" w:cs="Arial"/>
          <w:b/>
          <w:color w:val="000000"/>
          <w:sz w:val="22"/>
          <w:szCs w:val="22"/>
        </w:rPr>
      </w:pPr>
      <w:r w:rsidRPr="009815E2">
        <w:rPr>
          <w:rFonts w:ascii="Arial" w:eastAsia="Calibri" w:hAnsi="Arial" w:cs="Arial"/>
          <w:b/>
          <w:color w:val="000000"/>
          <w:sz w:val="22"/>
          <w:szCs w:val="22"/>
        </w:rPr>
        <w:t>R</w:t>
      </w:r>
      <w:r>
        <w:rPr>
          <w:rFonts w:ascii="Arial" w:eastAsia="Calibri" w:hAnsi="Arial" w:cs="Arial"/>
          <w:b/>
          <w:color w:val="000000"/>
          <w:sz w:val="22"/>
          <w:szCs w:val="22"/>
        </w:rPr>
        <w:t xml:space="preserve">oad Accident Fund </w:t>
      </w:r>
      <w:r w:rsidR="00BE7303">
        <w:rPr>
          <w:rFonts w:ascii="Arial" w:eastAsia="Calibri" w:hAnsi="Arial" w:cs="Arial"/>
          <w:b/>
          <w:color w:val="000000"/>
          <w:sz w:val="22"/>
          <w:szCs w:val="22"/>
        </w:rPr>
        <w:t>(RAF)</w:t>
      </w:r>
    </w:p>
    <w:p w:rsidR="00CE2880" w:rsidRPr="00C57C78" w:rsidRDefault="00CE2880" w:rsidP="00CE2880">
      <w:pPr>
        <w:ind w:left="360" w:hanging="360"/>
        <w:jc w:val="both"/>
        <w:rPr>
          <w:rFonts w:ascii="Arial" w:eastAsia="Calibri"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43"/>
        <w:gridCol w:w="1843"/>
        <w:gridCol w:w="1843"/>
        <w:gridCol w:w="1782"/>
      </w:tblGrid>
      <w:tr w:rsidR="00CE2880" w:rsidTr="00405D4D">
        <w:tblPrEx>
          <w:tblCellMar>
            <w:top w:w="0" w:type="dxa"/>
            <w:bottom w:w="0" w:type="dxa"/>
          </w:tblCellMar>
        </w:tblPrEx>
        <w:tc>
          <w:tcPr>
            <w:tcW w:w="1908" w:type="dxa"/>
            <w:vMerge w:val="restart"/>
          </w:tcPr>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(a)(ii) The number</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of supplier</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invoices that</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currently remain</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unpaid by the</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Road Accident</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lastRenderedPageBreak/>
              <w:t>Fund for more</w:t>
            </w:r>
          </w:p>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than</w:t>
            </w:r>
          </w:p>
        </w:tc>
        <w:tc>
          <w:tcPr>
            <w:tcW w:w="1843" w:type="dxa"/>
          </w:tcPr>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lastRenderedPageBreak/>
              <w:t>(aa) 30 days,</w:t>
            </w:r>
          </w:p>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is</w:t>
            </w:r>
          </w:p>
        </w:tc>
        <w:tc>
          <w:tcPr>
            <w:tcW w:w="1843" w:type="dxa"/>
          </w:tcPr>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(bb) 60 days, is</w:t>
            </w:r>
          </w:p>
        </w:tc>
        <w:tc>
          <w:tcPr>
            <w:tcW w:w="1843" w:type="dxa"/>
          </w:tcPr>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(cc) 90 days,</w:t>
            </w:r>
          </w:p>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is</w:t>
            </w:r>
          </w:p>
        </w:tc>
        <w:tc>
          <w:tcPr>
            <w:tcW w:w="1782" w:type="dxa"/>
          </w:tcPr>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and (dd) 120</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days, is</w:t>
            </w:r>
          </w:p>
        </w:tc>
      </w:tr>
      <w:tr w:rsidR="00CE2880" w:rsidTr="00405D4D">
        <w:tblPrEx>
          <w:tblCellMar>
            <w:top w:w="0" w:type="dxa"/>
            <w:bottom w:w="0" w:type="dxa"/>
          </w:tblCellMar>
        </w:tblPrEx>
        <w:tc>
          <w:tcPr>
            <w:tcW w:w="1908" w:type="dxa"/>
            <w:vMerge/>
          </w:tcPr>
          <w:p w:rsidR="00CE2880" w:rsidRDefault="00CE2880" w:rsidP="00405D4D">
            <w:pPr>
              <w:jc w:val="both"/>
              <w:rPr>
                <w:rFonts w:ascii="Arial" w:eastAsia="Calibri" w:hAnsi="Arial" w:cs="Arial"/>
                <w:color w:val="000000"/>
                <w:sz w:val="22"/>
                <w:szCs w:val="22"/>
              </w:rPr>
            </w:pPr>
          </w:p>
        </w:tc>
        <w:tc>
          <w:tcPr>
            <w:tcW w:w="1843" w:type="dxa"/>
          </w:tcPr>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33</w:t>
            </w:r>
          </w:p>
        </w:tc>
        <w:tc>
          <w:tcPr>
            <w:tcW w:w="1843" w:type="dxa"/>
          </w:tcPr>
          <w:p w:rsidR="00CE2880" w:rsidRDefault="00CE2880" w:rsidP="00405D4D">
            <w:pPr>
              <w:jc w:val="both"/>
              <w:rPr>
                <w:rFonts w:ascii="Arial" w:eastAsia="Calibri" w:hAnsi="Arial" w:cs="Arial"/>
                <w:color w:val="000000"/>
                <w:sz w:val="22"/>
                <w:szCs w:val="22"/>
              </w:rPr>
            </w:pPr>
            <w:r>
              <w:rPr>
                <w:rFonts w:ascii="Arial" w:eastAsia="Calibri" w:hAnsi="Arial" w:cs="Arial"/>
                <w:color w:val="000000"/>
                <w:sz w:val="22"/>
                <w:szCs w:val="22"/>
              </w:rPr>
              <w:t>109</w:t>
            </w:r>
          </w:p>
        </w:tc>
        <w:tc>
          <w:tcPr>
            <w:tcW w:w="1843" w:type="dxa"/>
          </w:tcPr>
          <w:p w:rsidR="00CE2880" w:rsidRDefault="00CE2880" w:rsidP="00405D4D">
            <w:pPr>
              <w:jc w:val="both"/>
              <w:rPr>
                <w:rFonts w:ascii="Arial" w:eastAsia="Calibri" w:hAnsi="Arial" w:cs="Arial"/>
                <w:color w:val="000000"/>
                <w:sz w:val="22"/>
                <w:szCs w:val="22"/>
              </w:rPr>
            </w:pPr>
            <w:r>
              <w:rPr>
                <w:rFonts w:ascii="Arial" w:eastAsia="Calibri" w:hAnsi="Arial" w:cs="Arial"/>
                <w:color w:val="000000"/>
                <w:sz w:val="22"/>
                <w:szCs w:val="22"/>
              </w:rPr>
              <w:t>65</w:t>
            </w:r>
          </w:p>
        </w:tc>
        <w:tc>
          <w:tcPr>
            <w:tcW w:w="1782" w:type="dxa"/>
          </w:tcPr>
          <w:p w:rsidR="00CE2880" w:rsidRDefault="00CE2880" w:rsidP="00405D4D">
            <w:pPr>
              <w:jc w:val="both"/>
              <w:rPr>
                <w:rFonts w:ascii="Arial" w:eastAsia="Calibri" w:hAnsi="Arial" w:cs="Arial"/>
                <w:color w:val="000000"/>
                <w:sz w:val="22"/>
                <w:szCs w:val="22"/>
              </w:rPr>
            </w:pPr>
            <w:r>
              <w:rPr>
                <w:rFonts w:ascii="Arial" w:eastAsia="Calibri" w:hAnsi="Arial" w:cs="Arial"/>
                <w:color w:val="000000"/>
                <w:sz w:val="22"/>
                <w:szCs w:val="22"/>
              </w:rPr>
              <w:t>170</w:t>
            </w:r>
          </w:p>
        </w:tc>
      </w:tr>
      <w:tr w:rsidR="00CE2880" w:rsidTr="00405D4D">
        <w:tblPrEx>
          <w:tblCellMar>
            <w:top w:w="0" w:type="dxa"/>
            <w:bottom w:w="0" w:type="dxa"/>
          </w:tblCellMar>
        </w:tblPrEx>
        <w:tc>
          <w:tcPr>
            <w:tcW w:w="1908" w:type="dxa"/>
          </w:tcPr>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lastRenderedPageBreak/>
              <w:t>b) the total</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amount</w:t>
            </w:r>
          </w:p>
          <w:p w:rsidR="00CE2880" w:rsidRPr="0041341B"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outstanding in</w:t>
            </w:r>
          </w:p>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each case is</w:t>
            </w:r>
          </w:p>
        </w:tc>
        <w:tc>
          <w:tcPr>
            <w:tcW w:w="1843" w:type="dxa"/>
          </w:tcPr>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R2,196,378.25</w:t>
            </w:r>
          </w:p>
        </w:tc>
        <w:tc>
          <w:tcPr>
            <w:tcW w:w="1843" w:type="dxa"/>
          </w:tcPr>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R5,921,095.21</w:t>
            </w:r>
          </w:p>
        </w:tc>
        <w:tc>
          <w:tcPr>
            <w:tcW w:w="1843" w:type="dxa"/>
          </w:tcPr>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R2,647,942.17</w:t>
            </w:r>
          </w:p>
        </w:tc>
        <w:tc>
          <w:tcPr>
            <w:tcW w:w="1782" w:type="dxa"/>
          </w:tcPr>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R11,881,697.38</w:t>
            </w:r>
          </w:p>
        </w:tc>
      </w:tr>
      <w:tr w:rsidR="00CE2880" w:rsidTr="00405D4D">
        <w:tblPrEx>
          <w:tblCellMar>
            <w:top w:w="0" w:type="dxa"/>
            <w:bottom w:w="0" w:type="dxa"/>
          </w:tblCellMar>
        </w:tblPrEx>
        <w:tc>
          <w:tcPr>
            <w:tcW w:w="9219" w:type="dxa"/>
            <w:gridSpan w:val="5"/>
          </w:tcPr>
          <w:p w:rsidR="00CE2880" w:rsidRPr="0041341B" w:rsidRDefault="00CE2880" w:rsidP="00405D4D">
            <w:pPr>
              <w:rPr>
                <w:rFonts w:ascii="Arial" w:eastAsia="Calibri" w:hAnsi="Arial" w:cs="Arial"/>
                <w:color w:val="000000"/>
                <w:sz w:val="22"/>
                <w:szCs w:val="22"/>
              </w:rPr>
            </w:pPr>
            <w:r w:rsidRPr="0041341B">
              <w:rPr>
                <w:rFonts w:ascii="Arial" w:eastAsia="Calibri" w:hAnsi="Arial" w:cs="Arial"/>
                <w:color w:val="000000"/>
                <w:sz w:val="22"/>
                <w:szCs w:val="22"/>
              </w:rPr>
              <w:t>and (c) the processing for payment of the outstanding amounts is an ongoing process, which</w:t>
            </w:r>
          </w:p>
          <w:p w:rsidR="00CE2880" w:rsidRPr="0041341B" w:rsidRDefault="00CE2880" w:rsidP="00405D4D">
            <w:pPr>
              <w:rPr>
                <w:rFonts w:ascii="Arial" w:eastAsia="Calibri" w:hAnsi="Arial" w:cs="Arial"/>
                <w:color w:val="000000"/>
                <w:sz w:val="22"/>
                <w:szCs w:val="22"/>
              </w:rPr>
            </w:pPr>
            <w:r w:rsidRPr="0041341B">
              <w:rPr>
                <w:rFonts w:ascii="Arial" w:eastAsia="Calibri" w:hAnsi="Arial" w:cs="Arial"/>
                <w:color w:val="000000"/>
                <w:sz w:val="22"/>
                <w:szCs w:val="22"/>
              </w:rPr>
              <w:t>is subject to certain challenges, including, unresolved queries relating to suppliers’ invoice</w:t>
            </w:r>
          </w:p>
          <w:p w:rsidR="00CE2880" w:rsidRPr="0041341B" w:rsidRDefault="00CE2880" w:rsidP="00405D4D">
            <w:pPr>
              <w:rPr>
                <w:rFonts w:ascii="Arial" w:eastAsia="Calibri" w:hAnsi="Arial" w:cs="Arial"/>
                <w:color w:val="000000"/>
                <w:sz w:val="22"/>
                <w:szCs w:val="22"/>
              </w:rPr>
            </w:pPr>
            <w:r w:rsidRPr="0041341B">
              <w:rPr>
                <w:rFonts w:ascii="Arial" w:eastAsia="Calibri" w:hAnsi="Arial" w:cs="Arial"/>
                <w:color w:val="000000"/>
                <w:sz w:val="22"/>
                <w:szCs w:val="22"/>
              </w:rPr>
              <w:t>details; suppliers’ change of banking details; disputes with suppliers on services or goods</w:t>
            </w:r>
          </w:p>
          <w:p w:rsidR="00CE2880" w:rsidRPr="0041341B" w:rsidRDefault="00CE2880" w:rsidP="00405D4D">
            <w:pPr>
              <w:rPr>
                <w:rFonts w:ascii="Arial" w:eastAsia="Calibri" w:hAnsi="Arial" w:cs="Arial"/>
                <w:color w:val="000000"/>
                <w:sz w:val="22"/>
                <w:szCs w:val="22"/>
              </w:rPr>
            </w:pPr>
            <w:r w:rsidRPr="0041341B">
              <w:rPr>
                <w:rFonts w:ascii="Arial" w:eastAsia="Calibri" w:hAnsi="Arial" w:cs="Arial"/>
                <w:color w:val="000000"/>
                <w:sz w:val="22"/>
                <w:szCs w:val="22"/>
              </w:rPr>
              <w:t>provided; and a lengthy and labour-intensive process involved in perusing itemised legal</w:t>
            </w:r>
          </w:p>
          <w:p w:rsidR="00CE2880" w:rsidRDefault="00CE2880" w:rsidP="00405D4D">
            <w:pPr>
              <w:jc w:val="both"/>
              <w:rPr>
                <w:rFonts w:ascii="Arial" w:eastAsia="Calibri" w:hAnsi="Arial" w:cs="Arial"/>
                <w:color w:val="000000"/>
                <w:sz w:val="22"/>
                <w:szCs w:val="22"/>
              </w:rPr>
            </w:pPr>
            <w:r w:rsidRPr="0041341B">
              <w:rPr>
                <w:rFonts w:ascii="Arial" w:eastAsia="Calibri" w:hAnsi="Arial" w:cs="Arial"/>
                <w:color w:val="000000"/>
                <w:sz w:val="22"/>
                <w:szCs w:val="22"/>
              </w:rPr>
              <w:t>invoices, per item of cost incurred, having regard to different rates allowed per item.</w:t>
            </w:r>
          </w:p>
        </w:tc>
      </w:tr>
    </w:tbl>
    <w:p w:rsidR="00CE2880" w:rsidRPr="00984CED" w:rsidRDefault="00CE2880" w:rsidP="00CE2880">
      <w:pPr>
        <w:ind w:left="360"/>
        <w:jc w:val="both"/>
        <w:rPr>
          <w:rFonts w:ascii="Arial" w:eastAsia="Calibri" w:hAnsi="Arial" w:cs="Arial"/>
          <w:b/>
          <w:color w:val="000000"/>
          <w:sz w:val="22"/>
          <w:szCs w:val="22"/>
        </w:rPr>
      </w:pPr>
    </w:p>
    <w:p w:rsidR="00CE2880" w:rsidRDefault="00CE2880" w:rsidP="00CE2880">
      <w:pPr>
        <w:ind w:left="360"/>
        <w:jc w:val="both"/>
        <w:rPr>
          <w:rFonts w:ascii="Arial" w:eastAsia="Calibri" w:hAnsi="Arial" w:cs="Arial"/>
          <w:color w:val="000000"/>
          <w:sz w:val="22"/>
          <w:szCs w:val="22"/>
        </w:rPr>
      </w:pPr>
    </w:p>
    <w:p w:rsidR="00CE2880" w:rsidRDefault="00CE2880" w:rsidP="00CE2880">
      <w:pPr>
        <w:ind w:left="360"/>
        <w:jc w:val="both"/>
        <w:rPr>
          <w:rFonts w:ascii="Arial" w:eastAsia="Calibri" w:hAnsi="Arial" w:cs="Arial"/>
          <w:b/>
          <w:color w:val="000000"/>
          <w:sz w:val="22"/>
          <w:szCs w:val="22"/>
        </w:rPr>
      </w:pPr>
    </w:p>
    <w:p w:rsidR="00CE2880" w:rsidRPr="009815E2" w:rsidRDefault="00CE2880" w:rsidP="00CE2880">
      <w:pPr>
        <w:ind w:left="360" w:hanging="360"/>
        <w:jc w:val="both"/>
        <w:rPr>
          <w:rFonts w:ascii="Arial" w:eastAsia="Calibri" w:hAnsi="Arial" w:cs="Arial"/>
          <w:b/>
          <w:color w:val="000000"/>
          <w:sz w:val="22"/>
          <w:szCs w:val="22"/>
        </w:rPr>
      </w:pPr>
      <w:r>
        <w:rPr>
          <w:rFonts w:ascii="Arial" w:eastAsia="Calibri" w:hAnsi="Arial" w:cs="Arial"/>
          <w:b/>
          <w:color w:val="000000"/>
          <w:sz w:val="22"/>
          <w:szCs w:val="22"/>
        </w:rPr>
        <w:t>Road Traffic Management Corporation (RTMC)</w:t>
      </w:r>
    </w:p>
    <w:p w:rsidR="00CE2880" w:rsidRDefault="00CE2880" w:rsidP="00CE288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 xml:space="preserve">A) We have 8 invoices that are unpaid, please see table below: </w:t>
      </w:r>
    </w:p>
    <w:p w:rsidR="00CE2880" w:rsidRDefault="00A351C8" w:rsidP="00CE2880">
      <w:pPr>
        <w:spacing w:before="100" w:beforeAutospacing="1" w:after="100" w:afterAutospacing="1"/>
        <w:jc w:val="both"/>
        <w:rPr>
          <w:rFonts w:ascii="Arial" w:hAnsi="Arial" w:cs="Arial"/>
          <w:b/>
          <w:bCs/>
          <w:sz w:val="22"/>
          <w:szCs w:val="22"/>
          <w:lang w:val="en-US"/>
        </w:rPr>
      </w:pPr>
      <w:r>
        <w:rPr>
          <w:noProof/>
          <w:lang w:eastAsia="en-ZA"/>
        </w:rPr>
        <w:drawing>
          <wp:inline distT="0" distB="0" distL="0" distR="0">
            <wp:extent cx="5577840" cy="17830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77840" cy="1783080"/>
                    </a:xfrm>
                    <a:prstGeom prst="rect">
                      <a:avLst/>
                    </a:prstGeom>
                    <a:noFill/>
                    <a:ln w="9525">
                      <a:noFill/>
                      <a:miter lim="800000"/>
                      <a:headEnd/>
                      <a:tailEnd/>
                    </a:ln>
                  </pic:spPr>
                </pic:pic>
              </a:graphicData>
            </a:graphic>
          </wp:inline>
        </w:drawing>
      </w:r>
    </w:p>
    <w:p w:rsidR="00CE2880" w:rsidRDefault="00CE2880" w:rsidP="00CE288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Except for the one service provider, SAPO, all other invoices will be paid within 14 days and they are still within 30 day.</w:t>
      </w:r>
    </w:p>
    <w:p w:rsidR="00CE2880" w:rsidRDefault="00CE2880" w:rsidP="00CE288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There is currently a dispute that is being resolved with SAPO, invoice to be paid within 7 days.</w:t>
      </w:r>
    </w:p>
    <w:p w:rsidR="00CE2880" w:rsidRDefault="00CE2880" w:rsidP="00CE2880">
      <w:pPr>
        <w:jc w:val="both"/>
        <w:rPr>
          <w:rFonts w:ascii="Arial" w:eastAsia="Calibri" w:hAnsi="Arial" w:cs="Arial"/>
          <w:b/>
          <w:color w:val="000000"/>
          <w:sz w:val="22"/>
          <w:szCs w:val="22"/>
        </w:rPr>
      </w:pPr>
    </w:p>
    <w:p w:rsidR="00CE2880" w:rsidRDefault="00CE2880" w:rsidP="00CE2880">
      <w:pPr>
        <w:jc w:val="both"/>
        <w:rPr>
          <w:rFonts w:ascii="Arial" w:eastAsia="Calibri" w:hAnsi="Arial" w:cs="Arial"/>
          <w:b/>
          <w:color w:val="000000"/>
          <w:sz w:val="22"/>
          <w:szCs w:val="22"/>
        </w:rPr>
      </w:pPr>
    </w:p>
    <w:p w:rsidR="00CE2880" w:rsidRDefault="00CE2880" w:rsidP="00CE2880">
      <w:pPr>
        <w:jc w:val="both"/>
        <w:rPr>
          <w:rFonts w:ascii="Arial" w:eastAsia="Calibri" w:hAnsi="Arial" w:cs="Arial"/>
          <w:b/>
          <w:color w:val="000000"/>
          <w:sz w:val="22"/>
          <w:szCs w:val="22"/>
        </w:rPr>
      </w:pPr>
    </w:p>
    <w:p w:rsidR="00CE2880" w:rsidRPr="00984CED" w:rsidRDefault="00CE2880" w:rsidP="00CE2880">
      <w:pPr>
        <w:jc w:val="both"/>
        <w:rPr>
          <w:rFonts w:ascii="Arial" w:eastAsia="Calibri" w:hAnsi="Arial" w:cs="Arial"/>
          <w:b/>
          <w:color w:val="000000"/>
          <w:sz w:val="22"/>
          <w:szCs w:val="22"/>
        </w:rPr>
      </w:pPr>
      <w:r w:rsidRPr="00984CED">
        <w:rPr>
          <w:rFonts w:ascii="Arial" w:eastAsia="Calibri" w:hAnsi="Arial" w:cs="Arial"/>
          <w:b/>
          <w:color w:val="000000"/>
          <w:sz w:val="22"/>
          <w:szCs w:val="22"/>
        </w:rPr>
        <w:t>R</w:t>
      </w:r>
      <w:r w:rsidR="00AD5247">
        <w:rPr>
          <w:rFonts w:ascii="Arial" w:eastAsia="Calibri" w:hAnsi="Arial" w:cs="Arial"/>
          <w:b/>
          <w:color w:val="000000"/>
          <w:sz w:val="22"/>
          <w:szCs w:val="22"/>
        </w:rPr>
        <w:t>oad Traffic Infringement Agency (RTIA)</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a) What number of supplier invoices currently remain unpaid by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 (ii) each entity reporting to him for more than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(aa) 30 days =0,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(bb) 60 days = 2,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(cc) 90 days = 3 and </w:t>
      </w:r>
    </w:p>
    <w:p w:rsidR="00CE2880" w:rsidRDefault="00CE2880" w:rsidP="00CE2880">
      <w:pPr>
        <w:spacing w:before="100" w:beforeAutospacing="1" w:after="100" w:afterAutospacing="1"/>
        <w:ind w:left="567" w:firstLine="153"/>
        <w:jc w:val="both"/>
        <w:outlineLvl w:val="0"/>
        <w:rPr>
          <w:rFonts w:ascii="Arial" w:hAnsi="Arial" w:cs="Arial"/>
          <w:sz w:val="22"/>
          <w:szCs w:val="18"/>
        </w:rPr>
      </w:pPr>
      <w:r w:rsidRPr="00ED21D9">
        <w:rPr>
          <w:rFonts w:ascii="Arial" w:hAnsi="Arial" w:cs="Arial"/>
          <w:sz w:val="22"/>
          <w:szCs w:val="18"/>
        </w:rPr>
        <w:t>(dd</w:t>
      </w:r>
      <w:r>
        <w:rPr>
          <w:rFonts w:ascii="Arial" w:hAnsi="Arial" w:cs="Arial"/>
          <w:sz w:val="22"/>
          <w:szCs w:val="18"/>
        </w:rPr>
        <w:t xml:space="preserve">) </w:t>
      </w:r>
      <w:r w:rsidRPr="00BB32D6">
        <w:rPr>
          <w:rFonts w:ascii="Arial" w:hAnsi="Arial" w:cs="Arial"/>
          <w:sz w:val="22"/>
          <w:szCs w:val="18"/>
        </w:rPr>
        <w:t xml:space="preserve">120 days = 4,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(b) what is the total amount outstanding in each case and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(aa) 30 days =0,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(bb) 60 days = R121 034.52,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(cc) 90 days = R117 134.56 and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(dd) 120 days = R25 136.72</w:t>
      </w:r>
    </w:p>
    <w:p w:rsidR="00CE2880" w:rsidRDefault="00CE2880" w:rsidP="00CE2880">
      <w:pPr>
        <w:spacing w:before="100" w:beforeAutospacing="1" w:after="100" w:afterAutospacing="1"/>
        <w:ind w:left="567" w:firstLine="153"/>
        <w:jc w:val="both"/>
        <w:outlineLvl w:val="0"/>
        <w:rPr>
          <w:rFonts w:ascii="Arial" w:hAnsi="Arial" w:cs="Arial"/>
          <w:sz w:val="22"/>
          <w:szCs w:val="18"/>
        </w:rPr>
      </w:pP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(c) by what date is it envisaged that the outstanding amounts will be settled?</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(aa) 30 days =Not applicable,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(bb) 60 days = January 2022,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 xml:space="preserve">(cc) 90 days =  January 2022  and </w:t>
      </w:r>
    </w:p>
    <w:p w:rsidR="00CE2880" w:rsidRPr="00BB32D6" w:rsidRDefault="00CE2880" w:rsidP="00CE2880">
      <w:pPr>
        <w:spacing w:before="100" w:beforeAutospacing="1" w:after="100" w:afterAutospacing="1"/>
        <w:ind w:left="567" w:firstLine="153"/>
        <w:jc w:val="both"/>
        <w:outlineLvl w:val="0"/>
        <w:rPr>
          <w:rFonts w:ascii="Arial" w:hAnsi="Arial" w:cs="Arial"/>
          <w:sz w:val="22"/>
          <w:szCs w:val="18"/>
        </w:rPr>
      </w:pPr>
      <w:r w:rsidRPr="00BB32D6">
        <w:rPr>
          <w:rFonts w:ascii="Arial" w:hAnsi="Arial" w:cs="Arial"/>
          <w:sz w:val="22"/>
          <w:szCs w:val="18"/>
        </w:rPr>
        <w:t>(dd) 120 days =  under dispute</w:t>
      </w:r>
    </w:p>
    <w:p w:rsidR="00AD5247" w:rsidRDefault="00AD5247" w:rsidP="00AD5247">
      <w:pPr>
        <w:spacing w:before="100" w:beforeAutospacing="1" w:after="100" w:afterAutospacing="1"/>
        <w:jc w:val="both"/>
        <w:outlineLvl w:val="0"/>
        <w:rPr>
          <w:rFonts w:ascii="Arial" w:hAnsi="Arial" w:cs="Arial"/>
          <w:b/>
          <w:sz w:val="22"/>
          <w:szCs w:val="22"/>
        </w:rPr>
      </w:pPr>
    </w:p>
    <w:p w:rsidR="00AD5247" w:rsidRPr="00AD5247" w:rsidRDefault="00AD5247" w:rsidP="00AD5247">
      <w:pPr>
        <w:spacing w:before="100" w:beforeAutospacing="1" w:after="100" w:afterAutospacing="1"/>
        <w:jc w:val="both"/>
        <w:outlineLvl w:val="0"/>
        <w:rPr>
          <w:rFonts w:ascii="Arial" w:hAnsi="Arial" w:cs="Arial"/>
          <w:b/>
          <w:sz w:val="22"/>
          <w:szCs w:val="22"/>
        </w:rPr>
      </w:pPr>
      <w:r w:rsidRPr="00AD5247">
        <w:rPr>
          <w:rFonts w:ascii="Arial" w:hAnsi="Arial" w:cs="Arial"/>
          <w:b/>
          <w:sz w:val="22"/>
          <w:szCs w:val="22"/>
        </w:rPr>
        <w:t xml:space="preserve">Drivers Licence Card Agency </w:t>
      </w:r>
      <w:r>
        <w:rPr>
          <w:rFonts w:ascii="Arial" w:hAnsi="Arial" w:cs="Arial"/>
          <w:b/>
          <w:sz w:val="22"/>
          <w:szCs w:val="22"/>
        </w:rPr>
        <w:t>(DLCA)</w:t>
      </w:r>
    </w:p>
    <w:p w:rsidR="00AD5247" w:rsidRPr="00AD5247" w:rsidRDefault="00AD5247" w:rsidP="00AD5247">
      <w:pPr>
        <w:spacing w:before="100" w:beforeAutospacing="1" w:after="100" w:afterAutospacing="1"/>
        <w:ind w:left="720"/>
        <w:jc w:val="both"/>
        <w:outlineLvl w:val="0"/>
        <w:rPr>
          <w:rFonts w:ascii="Arial" w:hAnsi="Arial" w:cs="Arial"/>
          <w:sz w:val="22"/>
          <w:szCs w:val="22"/>
        </w:rPr>
      </w:pPr>
      <w:r w:rsidRPr="00AD5247">
        <w:rPr>
          <w:rFonts w:ascii="Arial" w:hAnsi="Arial" w:cs="Arial"/>
          <w:sz w:val="22"/>
          <w:szCs w:val="22"/>
        </w:rPr>
        <w:t>(aa) 0</w:t>
      </w:r>
    </w:p>
    <w:p w:rsidR="00AD5247" w:rsidRPr="00AD5247" w:rsidRDefault="00AD5247" w:rsidP="00AD5247">
      <w:pPr>
        <w:spacing w:before="100" w:beforeAutospacing="1" w:after="100" w:afterAutospacing="1"/>
        <w:ind w:left="720"/>
        <w:jc w:val="both"/>
        <w:outlineLvl w:val="0"/>
        <w:rPr>
          <w:rFonts w:ascii="Arial" w:hAnsi="Arial" w:cs="Arial"/>
          <w:sz w:val="22"/>
          <w:szCs w:val="22"/>
        </w:rPr>
      </w:pPr>
      <w:r w:rsidRPr="00AD5247">
        <w:rPr>
          <w:rFonts w:ascii="Arial" w:hAnsi="Arial" w:cs="Arial"/>
          <w:sz w:val="22"/>
          <w:szCs w:val="22"/>
        </w:rPr>
        <w:t>(bb) 0</w:t>
      </w:r>
    </w:p>
    <w:p w:rsidR="00AD5247" w:rsidRPr="00AD5247" w:rsidRDefault="00AD5247" w:rsidP="00AD5247">
      <w:pPr>
        <w:spacing w:before="100" w:beforeAutospacing="1" w:after="100" w:afterAutospacing="1"/>
        <w:ind w:left="720"/>
        <w:jc w:val="both"/>
        <w:outlineLvl w:val="0"/>
        <w:rPr>
          <w:rFonts w:ascii="Arial" w:hAnsi="Arial" w:cs="Arial"/>
          <w:sz w:val="22"/>
          <w:szCs w:val="22"/>
        </w:rPr>
      </w:pPr>
      <w:r w:rsidRPr="00AD5247">
        <w:rPr>
          <w:rFonts w:ascii="Arial" w:hAnsi="Arial" w:cs="Arial"/>
          <w:sz w:val="22"/>
          <w:szCs w:val="22"/>
        </w:rPr>
        <w:t>(cc) 0</w:t>
      </w:r>
    </w:p>
    <w:p w:rsidR="00AD5247" w:rsidRPr="00AD5247" w:rsidRDefault="00AD5247" w:rsidP="00AD5247">
      <w:pPr>
        <w:spacing w:before="100" w:beforeAutospacing="1" w:after="100" w:afterAutospacing="1"/>
        <w:ind w:left="720"/>
        <w:jc w:val="both"/>
        <w:outlineLvl w:val="0"/>
        <w:rPr>
          <w:rFonts w:ascii="Arial" w:hAnsi="Arial" w:cs="Arial"/>
          <w:color w:val="000000"/>
          <w:sz w:val="22"/>
          <w:szCs w:val="22"/>
          <w:lang w:eastAsia="en-GB"/>
        </w:rPr>
      </w:pPr>
      <w:r w:rsidRPr="00AD5247">
        <w:rPr>
          <w:rFonts w:ascii="Arial" w:hAnsi="Arial" w:cs="Arial"/>
          <w:sz w:val="22"/>
          <w:szCs w:val="22"/>
        </w:rPr>
        <w:t xml:space="preserve">(dd) </w:t>
      </w:r>
      <w:r w:rsidRPr="00AD5247">
        <w:rPr>
          <w:rFonts w:ascii="Arial" w:hAnsi="Arial" w:cs="Arial"/>
          <w:color w:val="000000"/>
          <w:sz w:val="22"/>
          <w:szCs w:val="22"/>
          <w:lang w:eastAsia="en-GB"/>
        </w:rPr>
        <w:t>As at 10 February 2022, the DLCA has one invoice that remains unpaid for longer than 120 days, the invoice was received in February 2021. However, the DLCA has paid the portion of the invoice that was not disputed. The other portion is still under dispute.</w:t>
      </w:r>
    </w:p>
    <w:p w:rsidR="00AD5247" w:rsidRDefault="00AD5247" w:rsidP="00AD5247">
      <w:pPr>
        <w:spacing w:before="100" w:beforeAutospacing="1" w:after="100" w:afterAutospacing="1"/>
        <w:ind w:left="720"/>
        <w:jc w:val="both"/>
        <w:outlineLvl w:val="0"/>
        <w:rPr>
          <w:rFonts w:ascii="Arial" w:hAnsi="Arial" w:cs="Arial"/>
          <w:color w:val="000000"/>
          <w:sz w:val="22"/>
          <w:szCs w:val="22"/>
          <w:lang w:eastAsia="en-GB"/>
        </w:rPr>
      </w:pPr>
      <w:r w:rsidRPr="00AD5247">
        <w:rPr>
          <w:rFonts w:ascii="Arial" w:hAnsi="Arial" w:cs="Arial"/>
          <w:color w:val="000000"/>
          <w:sz w:val="22"/>
          <w:szCs w:val="22"/>
          <w:lang w:eastAsia="en-GB"/>
        </w:rPr>
        <w:t>(c) By 31 March 2022 after the legal dispute is resolved.</w:t>
      </w:r>
    </w:p>
    <w:p w:rsidR="00AD5247" w:rsidRDefault="00AD5247" w:rsidP="00AD5247">
      <w:pPr>
        <w:spacing w:before="100" w:beforeAutospacing="1" w:after="100" w:afterAutospacing="1"/>
        <w:jc w:val="both"/>
        <w:outlineLvl w:val="0"/>
        <w:rPr>
          <w:rFonts w:ascii="Arial" w:hAnsi="Arial" w:cs="Arial"/>
          <w:b/>
          <w:color w:val="000000"/>
          <w:sz w:val="22"/>
          <w:szCs w:val="22"/>
          <w:lang w:eastAsia="en-GB"/>
        </w:rPr>
      </w:pPr>
    </w:p>
    <w:p w:rsidR="00AD5247" w:rsidRPr="00AD5247" w:rsidRDefault="00AD5247" w:rsidP="00AD5247">
      <w:pPr>
        <w:spacing w:before="100" w:beforeAutospacing="1" w:after="100" w:afterAutospacing="1"/>
        <w:jc w:val="both"/>
        <w:outlineLvl w:val="0"/>
        <w:rPr>
          <w:rFonts w:ascii="Arial" w:hAnsi="Arial" w:cs="Arial"/>
          <w:b/>
          <w:color w:val="000000"/>
          <w:sz w:val="22"/>
          <w:szCs w:val="22"/>
          <w:lang w:eastAsia="en-GB"/>
        </w:rPr>
      </w:pPr>
      <w:r w:rsidRPr="00AD5247">
        <w:rPr>
          <w:rFonts w:ascii="Arial" w:hAnsi="Arial" w:cs="Arial"/>
          <w:b/>
          <w:color w:val="000000"/>
          <w:sz w:val="22"/>
          <w:szCs w:val="22"/>
          <w:lang w:eastAsia="en-GB"/>
        </w:rPr>
        <w:t>South African Maritime Safety Authority (SAMSA)</w:t>
      </w:r>
    </w:p>
    <w:p w:rsidR="00AD5247" w:rsidRDefault="00AD5247" w:rsidP="00AD5247">
      <w:pPr>
        <w:numPr>
          <w:ilvl w:val="0"/>
          <w:numId w:val="30"/>
        </w:numPr>
        <w:jc w:val="both"/>
        <w:rPr>
          <w:rFonts w:ascii="Arial" w:eastAsia="Calibri" w:hAnsi="Arial" w:cs="Arial"/>
          <w:color w:val="000000"/>
          <w:sz w:val="22"/>
          <w:szCs w:val="22"/>
        </w:rPr>
      </w:pPr>
      <w:r>
        <w:rPr>
          <w:rFonts w:ascii="Arial" w:eastAsia="Calibri" w:hAnsi="Arial" w:cs="Arial"/>
          <w:color w:val="000000"/>
          <w:sz w:val="22"/>
          <w:szCs w:val="22"/>
        </w:rPr>
        <w:t>(i)</w:t>
      </w:r>
      <w:r>
        <w:rPr>
          <w:rFonts w:ascii="Arial" w:eastAsia="Calibri" w:hAnsi="Arial" w:cs="Arial"/>
          <w:color w:val="000000"/>
          <w:sz w:val="22"/>
          <w:szCs w:val="22"/>
        </w:rPr>
        <w:tab/>
        <w:t>Not applicable</w:t>
      </w:r>
    </w:p>
    <w:p w:rsidR="00AD5247" w:rsidRPr="001A4841" w:rsidRDefault="00AD5247" w:rsidP="00AD5247">
      <w:pPr>
        <w:ind w:left="720"/>
        <w:jc w:val="both"/>
        <w:rPr>
          <w:rFonts w:ascii="Arial" w:eastAsia="Calibri" w:hAnsi="Arial" w:cs="Arial"/>
          <w:color w:val="000000"/>
          <w:sz w:val="22"/>
          <w:szCs w:val="22"/>
        </w:rPr>
      </w:pPr>
      <w:r w:rsidRPr="001A4841">
        <w:rPr>
          <w:rFonts w:ascii="Arial" w:eastAsia="Calibri" w:hAnsi="Arial" w:cs="Arial"/>
          <w:color w:val="000000"/>
          <w:sz w:val="22"/>
          <w:szCs w:val="22"/>
        </w:rPr>
        <w:t xml:space="preserve">(ii) </w:t>
      </w:r>
      <w:r>
        <w:rPr>
          <w:rFonts w:ascii="Arial" w:eastAsia="Calibri" w:hAnsi="Arial" w:cs="Arial"/>
          <w:color w:val="000000"/>
          <w:sz w:val="22"/>
          <w:szCs w:val="22"/>
        </w:rPr>
        <w:tab/>
      </w:r>
      <w:r w:rsidRPr="001A4841">
        <w:rPr>
          <w:rFonts w:ascii="Arial" w:eastAsia="Calibri" w:hAnsi="Arial" w:cs="Arial"/>
          <w:color w:val="000000"/>
          <w:sz w:val="22"/>
          <w:szCs w:val="22"/>
        </w:rPr>
        <w:t>(aa)</w:t>
      </w:r>
      <w:r w:rsidRPr="001A4841">
        <w:rPr>
          <w:rFonts w:ascii="Arial" w:eastAsia="Calibri" w:hAnsi="Arial" w:cs="Arial"/>
          <w:color w:val="000000"/>
          <w:sz w:val="22"/>
          <w:szCs w:val="22"/>
        </w:rPr>
        <w:tab/>
        <w:t>48</w:t>
      </w:r>
    </w:p>
    <w:p w:rsidR="00AD5247" w:rsidRDefault="00AD5247" w:rsidP="00AD5247">
      <w:pPr>
        <w:ind w:left="927"/>
        <w:jc w:val="both"/>
        <w:rPr>
          <w:rFonts w:ascii="Arial" w:eastAsia="Calibri" w:hAnsi="Arial" w:cs="Arial"/>
          <w:color w:val="000000"/>
          <w:sz w:val="22"/>
          <w:szCs w:val="22"/>
        </w:rPr>
      </w:pPr>
      <w:r>
        <w:rPr>
          <w:rFonts w:ascii="Arial" w:eastAsia="Calibri" w:hAnsi="Arial" w:cs="Arial"/>
          <w:color w:val="000000"/>
          <w:sz w:val="22"/>
          <w:szCs w:val="22"/>
        </w:rPr>
        <w:t xml:space="preserve">     </w:t>
      </w:r>
      <w:r>
        <w:rPr>
          <w:rFonts w:ascii="Arial" w:eastAsia="Calibri" w:hAnsi="Arial" w:cs="Arial"/>
          <w:color w:val="000000"/>
          <w:sz w:val="22"/>
          <w:szCs w:val="22"/>
        </w:rPr>
        <w:tab/>
        <w:t>(bb)</w:t>
      </w:r>
      <w:r>
        <w:rPr>
          <w:rFonts w:ascii="Arial" w:eastAsia="Calibri" w:hAnsi="Arial" w:cs="Arial"/>
          <w:color w:val="000000"/>
          <w:sz w:val="22"/>
          <w:szCs w:val="22"/>
        </w:rPr>
        <w:tab/>
        <w:t>10</w:t>
      </w:r>
    </w:p>
    <w:p w:rsidR="00AD5247" w:rsidRDefault="00AD5247" w:rsidP="00AD5247">
      <w:pPr>
        <w:ind w:left="927"/>
        <w:jc w:val="both"/>
        <w:rPr>
          <w:rFonts w:ascii="Arial" w:eastAsia="Calibri" w:hAnsi="Arial" w:cs="Arial"/>
          <w:color w:val="000000"/>
          <w:sz w:val="22"/>
          <w:szCs w:val="22"/>
        </w:rPr>
      </w:pPr>
      <w:r>
        <w:rPr>
          <w:rFonts w:ascii="Arial" w:eastAsia="Calibri" w:hAnsi="Arial" w:cs="Arial"/>
          <w:color w:val="000000"/>
          <w:sz w:val="22"/>
          <w:szCs w:val="22"/>
        </w:rPr>
        <w:tab/>
        <w:t>(cc)</w:t>
      </w:r>
      <w:r>
        <w:rPr>
          <w:rFonts w:ascii="Arial" w:eastAsia="Calibri" w:hAnsi="Arial" w:cs="Arial"/>
          <w:color w:val="000000"/>
          <w:sz w:val="22"/>
          <w:szCs w:val="22"/>
        </w:rPr>
        <w:tab/>
        <w:t>16</w:t>
      </w:r>
    </w:p>
    <w:p w:rsidR="00AD5247" w:rsidRDefault="00AD5247" w:rsidP="00AD5247">
      <w:pPr>
        <w:ind w:left="927"/>
        <w:jc w:val="both"/>
        <w:rPr>
          <w:rFonts w:ascii="Arial" w:eastAsia="Calibri" w:hAnsi="Arial" w:cs="Arial"/>
          <w:color w:val="000000"/>
          <w:sz w:val="22"/>
          <w:szCs w:val="22"/>
        </w:rPr>
      </w:pPr>
      <w:r>
        <w:rPr>
          <w:rFonts w:ascii="Arial" w:eastAsia="Calibri" w:hAnsi="Arial" w:cs="Arial"/>
          <w:color w:val="000000"/>
          <w:sz w:val="22"/>
          <w:szCs w:val="22"/>
        </w:rPr>
        <w:tab/>
        <w:t>(dd)</w:t>
      </w:r>
      <w:r>
        <w:rPr>
          <w:rFonts w:ascii="Arial" w:eastAsia="Calibri" w:hAnsi="Arial" w:cs="Arial"/>
          <w:color w:val="000000"/>
          <w:sz w:val="22"/>
          <w:szCs w:val="22"/>
        </w:rPr>
        <w:tab/>
        <w:t xml:space="preserve">Included above, system ages up to 90+ days </w:t>
      </w:r>
    </w:p>
    <w:p w:rsidR="00AD5247" w:rsidRDefault="00AD5247" w:rsidP="00AD5247">
      <w:pPr>
        <w:jc w:val="both"/>
        <w:rPr>
          <w:rFonts w:ascii="Arial" w:eastAsia="Calibri" w:hAnsi="Arial" w:cs="Arial"/>
          <w:color w:val="000000"/>
          <w:sz w:val="22"/>
          <w:szCs w:val="22"/>
        </w:rPr>
      </w:pPr>
    </w:p>
    <w:p w:rsidR="00AD5247" w:rsidRDefault="00AD5247" w:rsidP="00AD5247">
      <w:pPr>
        <w:jc w:val="both"/>
        <w:rPr>
          <w:rFonts w:ascii="Arial" w:eastAsia="Calibri" w:hAnsi="Arial" w:cs="Arial"/>
          <w:color w:val="000000"/>
          <w:sz w:val="22"/>
          <w:szCs w:val="22"/>
        </w:rPr>
      </w:pPr>
    </w:p>
    <w:p w:rsidR="00AD5247" w:rsidRDefault="00AD5247" w:rsidP="00AD5247">
      <w:pPr>
        <w:numPr>
          <w:ilvl w:val="0"/>
          <w:numId w:val="30"/>
        </w:numPr>
        <w:jc w:val="both"/>
        <w:rPr>
          <w:rFonts w:ascii="Arial" w:eastAsia="Calibri" w:hAnsi="Arial" w:cs="Arial"/>
          <w:color w:val="000000"/>
          <w:sz w:val="22"/>
          <w:szCs w:val="22"/>
        </w:rPr>
      </w:pPr>
      <w:r>
        <w:rPr>
          <w:rFonts w:ascii="Arial" w:eastAsia="Calibri" w:hAnsi="Arial" w:cs="Arial"/>
          <w:color w:val="000000"/>
          <w:sz w:val="22"/>
          <w:szCs w:val="22"/>
        </w:rPr>
        <w:t>(i)</w:t>
      </w:r>
      <w:r>
        <w:rPr>
          <w:rFonts w:ascii="Arial" w:eastAsia="Calibri" w:hAnsi="Arial" w:cs="Arial"/>
          <w:color w:val="000000"/>
          <w:sz w:val="22"/>
          <w:szCs w:val="22"/>
        </w:rPr>
        <w:tab/>
        <w:t>Not applicable</w:t>
      </w:r>
    </w:p>
    <w:p w:rsidR="00AD5247" w:rsidRDefault="00AD5247" w:rsidP="00AD5247">
      <w:pPr>
        <w:ind w:left="720"/>
        <w:jc w:val="both"/>
        <w:rPr>
          <w:rFonts w:ascii="Arial" w:eastAsia="Calibri" w:hAnsi="Arial" w:cs="Arial"/>
          <w:color w:val="000000"/>
          <w:sz w:val="22"/>
          <w:szCs w:val="22"/>
        </w:rPr>
      </w:pPr>
      <w:r>
        <w:rPr>
          <w:rFonts w:ascii="Arial" w:eastAsia="Calibri" w:hAnsi="Arial" w:cs="Arial"/>
          <w:color w:val="000000"/>
          <w:sz w:val="22"/>
          <w:szCs w:val="22"/>
        </w:rPr>
        <w:t>(ii)</w:t>
      </w:r>
      <w:r>
        <w:rPr>
          <w:rFonts w:ascii="Arial" w:eastAsia="Calibri" w:hAnsi="Arial" w:cs="Arial"/>
          <w:color w:val="000000"/>
          <w:sz w:val="22"/>
          <w:szCs w:val="22"/>
        </w:rPr>
        <w:tab/>
        <w:t>(aa)</w:t>
      </w:r>
      <w:r>
        <w:rPr>
          <w:rFonts w:ascii="Arial" w:eastAsia="Calibri" w:hAnsi="Arial" w:cs="Arial"/>
          <w:color w:val="000000"/>
          <w:sz w:val="22"/>
          <w:szCs w:val="22"/>
        </w:rPr>
        <w:tab/>
        <w:t>R95 043.21</w:t>
      </w:r>
    </w:p>
    <w:p w:rsidR="00AD5247" w:rsidRDefault="00AD5247" w:rsidP="00AD5247">
      <w:pPr>
        <w:ind w:left="720"/>
        <w:jc w:val="both"/>
        <w:rPr>
          <w:rFonts w:ascii="Arial" w:eastAsia="Calibri" w:hAnsi="Arial" w:cs="Arial"/>
          <w:color w:val="000000"/>
          <w:sz w:val="22"/>
          <w:szCs w:val="22"/>
        </w:rPr>
      </w:pPr>
      <w:r>
        <w:rPr>
          <w:rFonts w:ascii="Arial" w:eastAsia="Calibri" w:hAnsi="Arial" w:cs="Arial"/>
          <w:color w:val="000000"/>
          <w:sz w:val="22"/>
          <w:szCs w:val="22"/>
        </w:rPr>
        <w:tab/>
        <w:t>(bb)</w:t>
      </w:r>
      <w:r>
        <w:rPr>
          <w:rFonts w:ascii="Arial" w:eastAsia="Calibri" w:hAnsi="Arial" w:cs="Arial"/>
          <w:color w:val="000000"/>
          <w:sz w:val="22"/>
          <w:szCs w:val="22"/>
        </w:rPr>
        <w:tab/>
        <w:t>R2 819.35</w:t>
      </w:r>
    </w:p>
    <w:p w:rsidR="00AD5247" w:rsidRDefault="00AD5247" w:rsidP="00AD5247">
      <w:pPr>
        <w:ind w:left="720"/>
        <w:jc w:val="both"/>
        <w:rPr>
          <w:rFonts w:ascii="Arial" w:eastAsia="Calibri" w:hAnsi="Arial" w:cs="Arial"/>
          <w:color w:val="000000"/>
          <w:sz w:val="22"/>
          <w:szCs w:val="22"/>
        </w:rPr>
      </w:pPr>
      <w:r>
        <w:rPr>
          <w:rFonts w:ascii="Arial" w:eastAsia="Calibri" w:hAnsi="Arial" w:cs="Arial"/>
          <w:color w:val="000000"/>
          <w:sz w:val="22"/>
          <w:szCs w:val="22"/>
        </w:rPr>
        <w:tab/>
        <w:t>(cc)</w:t>
      </w:r>
      <w:r>
        <w:rPr>
          <w:rFonts w:ascii="Arial" w:eastAsia="Calibri" w:hAnsi="Arial" w:cs="Arial"/>
          <w:color w:val="000000"/>
          <w:sz w:val="22"/>
          <w:szCs w:val="22"/>
        </w:rPr>
        <w:tab/>
        <w:t>R205 930.79</w:t>
      </w:r>
    </w:p>
    <w:p w:rsidR="00AD5247" w:rsidRDefault="00AD5247" w:rsidP="00AD5247">
      <w:pPr>
        <w:ind w:left="720"/>
        <w:jc w:val="both"/>
        <w:rPr>
          <w:rFonts w:ascii="Arial" w:eastAsia="Calibri" w:hAnsi="Arial" w:cs="Arial"/>
          <w:color w:val="000000"/>
          <w:sz w:val="22"/>
          <w:szCs w:val="22"/>
        </w:rPr>
      </w:pPr>
      <w:r>
        <w:rPr>
          <w:rFonts w:ascii="Arial" w:eastAsia="Calibri" w:hAnsi="Arial" w:cs="Arial"/>
          <w:color w:val="000000"/>
          <w:sz w:val="22"/>
          <w:szCs w:val="22"/>
        </w:rPr>
        <w:tab/>
        <w:t>(dd)</w:t>
      </w:r>
      <w:r>
        <w:rPr>
          <w:rFonts w:ascii="Arial" w:eastAsia="Calibri" w:hAnsi="Arial" w:cs="Arial"/>
          <w:color w:val="000000"/>
          <w:sz w:val="22"/>
          <w:szCs w:val="22"/>
        </w:rPr>
        <w:tab/>
        <w:t>Included above, system ages up to 90+ days</w:t>
      </w:r>
    </w:p>
    <w:p w:rsidR="00AD5247" w:rsidRDefault="00AD5247" w:rsidP="00AD5247">
      <w:pPr>
        <w:jc w:val="both"/>
        <w:rPr>
          <w:rFonts w:ascii="Arial" w:eastAsia="Calibri" w:hAnsi="Arial" w:cs="Arial"/>
          <w:color w:val="000000"/>
          <w:sz w:val="22"/>
          <w:szCs w:val="22"/>
        </w:rPr>
      </w:pPr>
    </w:p>
    <w:p w:rsidR="00AD5247" w:rsidRDefault="00AD5247" w:rsidP="00AD5247">
      <w:pPr>
        <w:numPr>
          <w:ilvl w:val="0"/>
          <w:numId w:val="30"/>
        </w:numPr>
        <w:jc w:val="both"/>
        <w:rPr>
          <w:rFonts w:ascii="Arial" w:eastAsia="Calibri" w:hAnsi="Arial" w:cs="Arial"/>
          <w:color w:val="000000"/>
          <w:sz w:val="22"/>
          <w:szCs w:val="22"/>
        </w:rPr>
      </w:pPr>
      <w:r>
        <w:rPr>
          <w:rFonts w:ascii="Arial" w:eastAsia="Calibri" w:hAnsi="Arial" w:cs="Arial"/>
          <w:color w:val="000000"/>
          <w:sz w:val="22"/>
          <w:szCs w:val="22"/>
        </w:rPr>
        <w:t>All outstanding invoices are planned to be settled in February 2022.</w:t>
      </w:r>
    </w:p>
    <w:p w:rsidR="00AD5247" w:rsidRDefault="00AD5247" w:rsidP="00AD5247">
      <w:pPr>
        <w:ind w:left="720"/>
        <w:jc w:val="both"/>
        <w:rPr>
          <w:rFonts w:ascii="Arial" w:eastAsia="Calibri" w:hAnsi="Arial" w:cs="Arial"/>
          <w:color w:val="000000"/>
          <w:sz w:val="22"/>
          <w:szCs w:val="22"/>
        </w:rPr>
      </w:pPr>
    </w:p>
    <w:p w:rsidR="00AD5247" w:rsidRDefault="00AD5247" w:rsidP="00AD5247">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Ports Regulator of South Africa (PRSA)</w:t>
      </w:r>
    </w:p>
    <w:p w:rsidR="00AD5247" w:rsidRDefault="00AD5247" w:rsidP="00AD5247">
      <w:pPr>
        <w:spacing w:before="100" w:beforeAutospacing="1" w:after="100" w:afterAutospacing="1"/>
        <w:jc w:val="both"/>
        <w:rPr>
          <w:rFonts w:ascii="Arial" w:hAnsi="Arial" w:cs="Arial"/>
          <w:bCs/>
          <w:sz w:val="22"/>
          <w:szCs w:val="22"/>
          <w:lang w:val="en-US"/>
        </w:rPr>
      </w:pPr>
      <w:r w:rsidRPr="003D77CA">
        <w:rPr>
          <w:rFonts w:ascii="Arial" w:hAnsi="Arial" w:cs="Arial"/>
          <w:bCs/>
          <w:sz w:val="22"/>
          <w:szCs w:val="22"/>
          <w:lang w:val="en-US"/>
        </w:rPr>
        <w:t xml:space="preserve">(a)(ii) The Ports Regulator </w:t>
      </w:r>
      <w:r>
        <w:rPr>
          <w:rFonts w:ascii="Arial" w:hAnsi="Arial" w:cs="Arial"/>
          <w:bCs/>
          <w:sz w:val="22"/>
          <w:szCs w:val="22"/>
          <w:lang w:val="en-US"/>
        </w:rPr>
        <w:t xml:space="preserve">does not have any invoices that are outstanding for more than (aa) 30, (bb) 60, (cc) 90 or (120) days. The Ports Regulator has systems and processes in place to ensure that all invoices are paid within average of 14 to 21 days after the receipt of the invoice from supplier with no required amendments. This was further confirmed by the Auditor General during the 2020/2021 financial year audit. </w:t>
      </w:r>
    </w:p>
    <w:p w:rsidR="00AD5247" w:rsidRDefault="00AD5247" w:rsidP="00AD5247">
      <w:pPr>
        <w:spacing w:before="100" w:beforeAutospacing="1" w:after="100" w:afterAutospacing="1"/>
        <w:jc w:val="both"/>
        <w:rPr>
          <w:rFonts w:ascii="Arial" w:hAnsi="Arial" w:cs="Arial"/>
          <w:bCs/>
          <w:sz w:val="22"/>
          <w:szCs w:val="22"/>
          <w:lang w:val="en-US"/>
        </w:rPr>
      </w:pPr>
      <w:r>
        <w:rPr>
          <w:rFonts w:ascii="Arial" w:hAnsi="Arial" w:cs="Arial"/>
          <w:bCs/>
          <w:sz w:val="22"/>
          <w:szCs w:val="22"/>
          <w:lang w:val="en-US"/>
        </w:rPr>
        <w:t>(b) N/A</w:t>
      </w:r>
    </w:p>
    <w:p w:rsidR="00AD5247" w:rsidRPr="003D77CA" w:rsidRDefault="00AD5247" w:rsidP="00AD5247">
      <w:pPr>
        <w:spacing w:before="100" w:beforeAutospacing="1" w:after="100" w:afterAutospacing="1"/>
        <w:jc w:val="both"/>
        <w:rPr>
          <w:rFonts w:ascii="Arial" w:hAnsi="Arial" w:cs="Arial"/>
          <w:sz w:val="22"/>
          <w:szCs w:val="22"/>
        </w:rPr>
      </w:pPr>
      <w:r>
        <w:rPr>
          <w:rFonts w:ascii="Arial" w:hAnsi="Arial" w:cs="Arial"/>
          <w:bCs/>
          <w:sz w:val="22"/>
          <w:szCs w:val="22"/>
          <w:lang w:val="en-US"/>
        </w:rPr>
        <w:t>(c ) N/A</w:t>
      </w:r>
    </w:p>
    <w:p w:rsidR="00AD5247" w:rsidRPr="00730AA4" w:rsidRDefault="00AD5247" w:rsidP="00730AA4">
      <w:pPr>
        <w:tabs>
          <w:tab w:val="left" w:pos="567"/>
          <w:tab w:val="left" w:pos="1134"/>
        </w:tabs>
        <w:spacing w:before="100" w:beforeAutospacing="1" w:after="100" w:afterAutospacing="1"/>
        <w:jc w:val="both"/>
        <w:rPr>
          <w:rFonts w:ascii="Arial" w:hAnsi="Arial" w:cs="Arial"/>
          <w:b/>
          <w:sz w:val="22"/>
          <w:szCs w:val="22"/>
        </w:rPr>
      </w:pPr>
      <w:r w:rsidRPr="00730AA4">
        <w:rPr>
          <w:rFonts w:ascii="Arial" w:hAnsi="Arial" w:cs="Arial"/>
          <w:b/>
          <w:sz w:val="22"/>
          <w:szCs w:val="22"/>
          <w:lang w:val="en-GB"/>
        </w:rPr>
        <w:t>Railway Safety Regulator</w:t>
      </w:r>
      <w:r w:rsidR="00730AA4">
        <w:rPr>
          <w:rFonts w:ascii="Arial" w:hAnsi="Arial" w:cs="Arial"/>
          <w:b/>
          <w:sz w:val="22"/>
          <w:szCs w:val="22"/>
          <w:lang w:val="en-GB"/>
        </w:rPr>
        <w:t xml:space="preserve"> (RSR)</w:t>
      </w:r>
    </w:p>
    <w:p w:rsidR="00AD5247" w:rsidRPr="006F103B" w:rsidRDefault="00AD5247" w:rsidP="00AD5247">
      <w:pPr>
        <w:pStyle w:val="ListParagraph"/>
        <w:tabs>
          <w:tab w:val="left" w:pos="567"/>
          <w:tab w:val="left" w:pos="1134"/>
        </w:tabs>
        <w:suppressAutoHyphens w:val="0"/>
        <w:spacing w:after="0"/>
        <w:ind w:left="567"/>
        <w:rPr>
          <w:rFonts w:ascii="Arial" w:hAnsi="Arial" w:cs="Arial"/>
          <w:sz w:val="22"/>
          <w:szCs w:val="22"/>
          <w:lang w:val="en-GB"/>
        </w:rPr>
      </w:pPr>
      <w:r>
        <w:rPr>
          <w:rFonts w:ascii="Arial" w:hAnsi="Arial" w:cs="Arial"/>
          <w:sz w:val="22"/>
          <w:szCs w:val="22"/>
          <w:lang w:val="en-GB"/>
        </w:rPr>
        <w:tab/>
        <w:t>Number of invoices outstanding</w:t>
      </w:r>
    </w:p>
    <w:p w:rsidR="00AD5247" w:rsidRDefault="00AD5247" w:rsidP="00AD5247">
      <w:pPr>
        <w:pStyle w:val="ListParagraph"/>
        <w:tabs>
          <w:tab w:val="left" w:pos="1134"/>
        </w:tabs>
        <w:spacing w:after="0"/>
        <w:ind w:left="567"/>
        <w:rPr>
          <w:rFonts w:ascii="Arial" w:hAnsi="Arial" w:cs="Arial"/>
          <w:sz w:val="22"/>
          <w:szCs w:val="22"/>
          <w:lang w:val="en-GB"/>
        </w:rPr>
      </w:pPr>
    </w:p>
    <w:tbl>
      <w:tblPr>
        <w:tblpPr w:leftFromText="180" w:rightFromText="180" w:vertAnchor="text" w:horzAnchor="page" w:tblpX="249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18"/>
        <w:gridCol w:w="1559"/>
        <w:gridCol w:w="1276"/>
      </w:tblGrid>
      <w:tr w:rsidR="00AD5247" w:rsidRPr="009C6C02" w:rsidTr="00405D4D">
        <w:tc>
          <w:tcPr>
            <w:tcW w:w="5529" w:type="dxa"/>
            <w:gridSpan w:val="4"/>
            <w:shd w:val="clear" w:color="auto" w:fill="auto"/>
          </w:tcPr>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Number of invoice outstanding</w:t>
            </w:r>
          </w:p>
        </w:tc>
      </w:tr>
      <w:tr w:rsidR="00AD5247" w:rsidRPr="009C6C02" w:rsidTr="00405D4D">
        <w:tc>
          <w:tcPr>
            <w:tcW w:w="1276"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(aa)</w:t>
            </w:r>
          </w:p>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30 days</w:t>
            </w:r>
          </w:p>
        </w:tc>
        <w:tc>
          <w:tcPr>
            <w:tcW w:w="1418"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(bb)</w:t>
            </w:r>
          </w:p>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60 days</w:t>
            </w:r>
          </w:p>
        </w:tc>
        <w:tc>
          <w:tcPr>
            <w:tcW w:w="1559"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(cc)</w:t>
            </w:r>
          </w:p>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90 days</w:t>
            </w:r>
          </w:p>
        </w:tc>
        <w:tc>
          <w:tcPr>
            <w:tcW w:w="1276"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(dd)</w:t>
            </w:r>
          </w:p>
          <w:p w:rsidR="00AD5247" w:rsidRPr="009C6C02" w:rsidRDefault="00AD5247" w:rsidP="00405D4D">
            <w:pPr>
              <w:pStyle w:val="ListParagraph"/>
              <w:tabs>
                <w:tab w:val="left" w:pos="1134"/>
              </w:tabs>
              <w:spacing w:after="0"/>
              <w:ind w:left="0"/>
              <w:jc w:val="center"/>
              <w:rPr>
                <w:rFonts w:ascii="Arial" w:hAnsi="Arial" w:cs="Arial"/>
                <w:b/>
                <w:sz w:val="22"/>
                <w:szCs w:val="22"/>
                <w:lang w:val="en-GB"/>
              </w:rPr>
            </w:pPr>
            <w:r w:rsidRPr="009C6C02">
              <w:rPr>
                <w:rFonts w:ascii="Arial" w:hAnsi="Arial" w:cs="Arial"/>
                <w:b/>
                <w:sz w:val="22"/>
                <w:szCs w:val="22"/>
                <w:lang w:val="en-GB"/>
              </w:rPr>
              <w:t>120 days</w:t>
            </w:r>
          </w:p>
        </w:tc>
      </w:tr>
      <w:tr w:rsidR="00AD5247" w:rsidRPr="009C6C02" w:rsidTr="00405D4D">
        <w:tc>
          <w:tcPr>
            <w:tcW w:w="1276"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sz w:val="22"/>
                <w:szCs w:val="22"/>
                <w:lang w:val="en-GB"/>
              </w:rPr>
            </w:pPr>
            <w:r w:rsidRPr="009C6C02">
              <w:rPr>
                <w:rFonts w:ascii="Arial" w:hAnsi="Arial" w:cs="Arial"/>
                <w:sz w:val="22"/>
                <w:szCs w:val="22"/>
                <w:lang w:val="en-GB"/>
              </w:rPr>
              <w:t>3</w:t>
            </w:r>
          </w:p>
        </w:tc>
        <w:tc>
          <w:tcPr>
            <w:tcW w:w="1418"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sz w:val="22"/>
                <w:szCs w:val="22"/>
                <w:lang w:val="en-GB"/>
              </w:rPr>
            </w:pPr>
            <w:r w:rsidRPr="009C6C02">
              <w:rPr>
                <w:rFonts w:ascii="Arial" w:hAnsi="Arial" w:cs="Arial"/>
                <w:sz w:val="22"/>
                <w:szCs w:val="22"/>
                <w:lang w:val="en-GB"/>
              </w:rPr>
              <w:t>0</w:t>
            </w:r>
          </w:p>
        </w:tc>
        <w:tc>
          <w:tcPr>
            <w:tcW w:w="1559"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sz w:val="22"/>
                <w:szCs w:val="22"/>
                <w:lang w:val="en-GB"/>
              </w:rPr>
            </w:pPr>
            <w:r w:rsidRPr="009C6C02">
              <w:rPr>
                <w:rFonts w:ascii="Arial" w:hAnsi="Arial" w:cs="Arial"/>
                <w:sz w:val="22"/>
                <w:szCs w:val="22"/>
                <w:lang w:val="en-GB"/>
              </w:rPr>
              <w:t>0</w:t>
            </w:r>
          </w:p>
        </w:tc>
        <w:tc>
          <w:tcPr>
            <w:tcW w:w="1276" w:type="dxa"/>
            <w:shd w:val="clear" w:color="auto" w:fill="auto"/>
          </w:tcPr>
          <w:p w:rsidR="00AD5247" w:rsidRPr="009C6C02" w:rsidRDefault="00AD5247" w:rsidP="00405D4D">
            <w:pPr>
              <w:pStyle w:val="ListParagraph"/>
              <w:tabs>
                <w:tab w:val="left" w:pos="1134"/>
              </w:tabs>
              <w:spacing w:after="0"/>
              <w:ind w:left="0"/>
              <w:jc w:val="center"/>
              <w:rPr>
                <w:rFonts w:ascii="Arial" w:hAnsi="Arial" w:cs="Arial"/>
                <w:sz w:val="22"/>
                <w:szCs w:val="22"/>
                <w:lang w:val="en-GB"/>
              </w:rPr>
            </w:pPr>
            <w:r w:rsidRPr="009C6C02">
              <w:rPr>
                <w:rFonts w:ascii="Arial" w:hAnsi="Arial" w:cs="Arial"/>
                <w:sz w:val="22"/>
                <w:szCs w:val="22"/>
                <w:lang w:val="en-GB"/>
              </w:rPr>
              <w:t>6</w:t>
            </w:r>
          </w:p>
        </w:tc>
      </w:tr>
    </w:tbl>
    <w:p w:rsidR="00AD5247" w:rsidRDefault="00AD5247" w:rsidP="00AD5247">
      <w:pPr>
        <w:pStyle w:val="ListParagraph"/>
        <w:tabs>
          <w:tab w:val="left" w:pos="1134"/>
        </w:tabs>
        <w:spacing w:after="0"/>
        <w:ind w:left="567"/>
        <w:rPr>
          <w:rFonts w:ascii="Arial" w:hAnsi="Arial" w:cs="Arial"/>
          <w:sz w:val="22"/>
          <w:szCs w:val="22"/>
          <w:lang w:val="en-GB"/>
        </w:rPr>
      </w:pPr>
    </w:p>
    <w:p w:rsidR="00AD5247" w:rsidRPr="006F103B" w:rsidRDefault="00AD5247" w:rsidP="00AD5247">
      <w:pPr>
        <w:pStyle w:val="ListParagraph"/>
        <w:spacing w:after="0"/>
        <w:ind w:left="567"/>
        <w:rPr>
          <w:rFonts w:ascii="Arial" w:hAnsi="Arial" w:cs="Arial"/>
          <w:sz w:val="22"/>
          <w:szCs w:val="22"/>
          <w:lang w:val="en-GB"/>
        </w:rPr>
      </w:pPr>
    </w:p>
    <w:p w:rsidR="00AD5247" w:rsidRPr="006F103B" w:rsidRDefault="00AD5247" w:rsidP="00AD5247">
      <w:pPr>
        <w:pStyle w:val="ListParagraph"/>
        <w:tabs>
          <w:tab w:val="left" w:pos="1134"/>
        </w:tabs>
        <w:spacing w:after="0"/>
        <w:ind w:left="567"/>
        <w:rPr>
          <w:rFonts w:ascii="Arial" w:hAnsi="Arial" w:cs="Arial"/>
          <w:sz w:val="22"/>
          <w:szCs w:val="22"/>
          <w:lang w:val="en-GB"/>
        </w:rPr>
      </w:pPr>
    </w:p>
    <w:p w:rsidR="00AD5247" w:rsidRPr="006F103B" w:rsidRDefault="00AD5247" w:rsidP="00AD5247">
      <w:pPr>
        <w:pStyle w:val="ListParagraph"/>
        <w:tabs>
          <w:tab w:val="left" w:pos="1134"/>
        </w:tabs>
        <w:spacing w:after="0"/>
        <w:ind w:left="567"/>
        <w:rPr>
          <w:rFonts w:ascii="Arial" w:hAnsi="Arial" w:cs="Arial"/>
          <w:sz w:val="22"/>
          <w:szCs w:val="22"/>
          <w:lang w:val="en-GB"/>
        </w:rPr>
      </w:pPr>
    </w:p>
    <w:p w:rsidR="00AD5247" w:rsidRPr="006F103B" w:rsidRDefault="00AD5247" w:rsidP="00AD5247">
      <w:pPr>
        <w:pStyle w:val="ListParagraph"/>
        <w:tabs>
          <w:tab w:val="left" w:pos="1134"/>
        </w:tabs>
        <w:spacing w:after="0"/>
        <w:ind w:left="567"/>
        <w:rPr>
          <w:rFonts w:ascii="Arial" w:hAnsi="Arial" w:cs="Arial"/>
          <w:sz w:val="22"/>
          <w:szCs w:val="22"/>
          <w:lang w:val="en-GB"/>
        </w:rPr>
      </w:pPr>
    </w:p>
    <w:p w:rsidR="00AD5247" w:rsidRPr="006F103B" w:rsidRDefault="00AD5247" w:rsidP="00AD5247">
      <w:pPr>
        <w:tabs>
          <w:tab w:val="left" w:pos="1134"/>
        </w:tabs>
        <w:spacing w:line="276" w:lineRule="auto"/>
        <w:rPr>
          <w:rFonts w:ascii="Arial" w:hAnsi="Arial" w:cs="Arial"/>
          <w:sz w:val="22"/>
          <w:szCs w:val="22"/>
          <w:lang w:val="en-GB"/>
        </w:rPr>
      </w:pPr>
    </w:p>
    <w:p w:rsidR="00AD5247" w:rsidRPr="006F103B" w:rsidRDefault="00AD5247" w:rsidP="00AD5247">
      <w:pPr>
        <w:pStyle w:val="ListParagraph"/>
        <w:numPr>
          <w:ilvl w:val="0"/>
          <w:numId w:val="31"/>
        </w:numPr>
        <w:suppressAutoHyphens w:val="0"/>
        <w:spacing w:after="0"/>
        <w:ind w:left="567" w:hanging="567"/>
        <w:rPr>
          <w:rFonts w:ascii="Arial" w:hAnsi="Arial" w:cs="Arial"/>
          <w:sz w:val="22"/>
          <w:szCs w:val="22"/>
          <w:lang w:val="en-GB"/>
        </w:rPr>
      </w:pPr>
      <w:r w:rsidRPr="006F103B">
        <w:rPr>
          <w:rFonts w:ascii="Arial" w:hAnsi="Arial" w:cs="Arial"/>
          <w:sz w:val="22"/>
          <w:szCs w:val="22"/>
          <w:lang w:val="en-GB"/>
        </w:rPr>
        <w:t>The total amount outstanding in each case is:</w:t>
      </w:r>
    </w:p>
    <w:p w:rsidR="00AD5247" w:rsidRPr="006F103B" w:rsidRDefault="00AD5247" w:rsidP="00AD5247">
      <w:pPr>
        <w:pStyle w:val="ListParagraph"/>
        <w:tabs>
          <w:tab w:val="left" w:pos="1134"/>
        </w:tabs>
        <w:spacing w:after="0"/>
        <w:ind w:left="567"/>
        <w:rPr>
          <w:rFonts w:ascii="Arial" w:hAnsi="Arial" w:cs="Arial"/>
          <w:sz w:val="22"/>
          <w:szCs w:val="22"/>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954"/>
      </w:tblGrid>
      <w:tr w:rsidR="00AD5247" w:rsidRPr="009C6C02" w:rsidTr="00405D4D">
        <w:tc>
          <w:tcPr>
            <w:tcW w:w="2581" w:type="dxa"/>
            <w:shd w:val="clear" w:color="auto" w:fill="auto"/>
          </w:tcPr>
          <w:p w:rsidR="00AD5247" w:rsidRPr="009C6C02" w:rsidRDefault="00AD5247" w:rsidP="00405D4D">
            <w:pPr>
              <w:pStyle w:val="ListParagraph"/>
              <w:tabs>
                <w:tab w:val="left" w:pos="1134"/>
              </w:tabs>
              <w:ind w:left="0"/>
              <w:jc w:val="center"/>
              <w:rPr>
                <w:rFonts w:ascii="Arial" w:hAnsi="Arial" w:cs="Arial"/>
                <w:b/>
                <w:sz w:val="22"/>
                <w:szCs w:val="22"/>
                <w:lang w:val="en-GB"/>
              </w:rPr>
            </w:pPr>
            <w:r w:rsidRPr="009C6C02">
              <w:rPr>
                <w:rFonts w:ascii="Arial" w:hAnsi="Arial" w:cs="Arial"/>
                <w:b/>
                <w:sz w:val="22"/>
                <w:szCs w:val="22"/>
                <w:lang w:val="en-GB"/>
              </w:rPr>
              <w:t>Period outstanding</w:t>
            </w:r>
          </w:p>
        </w:tc>
        <w:tc>
          <w:tcPr>
            <w:tcW w:w="2954" w:type="dxa"/>
            <w:shd w:val="clear" w:color="auto" w:fill="auto"/>
          </w:tcPr>
          <w:p w:rsidR="00AD5247" w:rsidRPr="009C6C02" w:rsidRDefault="00AD5247" w:rsidP="00405D4D">
            <w:pPr>
              <w:pStyle w:val="ListParagraph"/>
              <w:tabs>
                <w:tab w:val="left" w:pos="1134"/>
              </w:tabs>
              <w:ind w:left="0"/>
              <w:jc w:val="center"/>
              <w:rPr>
                <w:rFonts w:ascii="Arial" w:hAnsi="Arial" w:cs="Arial"/>
                <w:b/>
                <w:sz w:val="22"/>
                <w:szCs w:val="22"/>
                <w:lang w:val="en-GB"/>
              </w:rPr>
            </w:pPr>
            <w:r w:rsidRPr="009C6C02">
              <w:rPr>
                <w:rFonts w:ascii="Arial" w:hAnsi="Arial" w:cs="Arial"/>
                <w:b/>
                <w:sz w:val="22"/>
                <w:szCs w:val="22"/>
                <w:lang w:val="en-GB"/>
              </w:rPr>
              <w:t>Amount</w:t>
            </w:r>
          </w:p>
        </w:tc>
      </w:tr>
      <w:tr w:rsidR="00AD5247" w:rsidRPr="009C6C02" w:rsidTr="00405D4D">
        <w:tc>
          <w:tcPr>
            <w:tcW w:w="2581"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30 days</w:t>
            </w:r>
          </w:p>
        </w:tc>
        <w:tc>
          <w:tcPr>
            <w:tcW w:w="2954"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R179,591-23 </w:t>
            </w:r>
          </w:p>
        </w:tc>
      </w:tr>
      <w:tr w:rsidR="00AD5247" w:rsidRPr="009C6C02" w:rsidTr="00405D4D">
        <w:tc>
          <w:tcPr>
            <w:tcW w:w="2581"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60 days</w:t>
            </w:r>
          </w:p>
        </w:tc>
        <w:tc>
          <w:tcPr>
            <w:tcW w:w="2954"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R0 </w:t>
            </w:r>
          </w:p>
        </w:tc>
      </w:tr>
      <w:tr w:rsidR="00AD5247" w:rsidRPr="009C6C02" w:rsidTr="00405D4D">
        <w:tc>
          <w:tcPr>
            <w:tcW w:w="2581"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90 days</w:t>
            </w:r>
          </w:p>
        </w:tc>
        <w:tc>
          <w:tcPr>
            <w:tcW w:w="2954"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R0 </w:t>
            </w:r>
          </w:p>
        </w:tc>
      </w:tr>
      <w:tr w:rsidR="00AD5247" w:rsidRPr="009C6C02" w:rsidTr="00405D4D">
        <w:tc>
          <w:tcPr>
            <w:tcW w:w="2581"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120 days</w:t>
            </w:r>
          </w:p>
        </w:tc>
        <w:tc>
          <w:tcPr>
            <w:tcW w:w="2954"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R19,923,304-65 </w:t>
            </w:r>
          </w:p>
        </w:tc>
      </w:tr>
    </w:tbl>
    <w:p w:rsidR="00AD5247" w:rsidRPr="006F103B" w:rsidRDefault="00AD5247" w:rsidP="00AD5247">
      <w:pPr>
        <w:pStyle w:val="ListParagraph"/>
        <w:tabs>
          <w:tab w:val="left" w:pos="1134"/>
        </w:tabs>
        <w:spacing w:after="0"/>
        <w:ind w:left="567"/>
        <w:rPr>
          <w:rFonts w:ascii="Arial" w:hAnsi="Arial" w:cs="Arial"/>
          <w:sz w:val="22"/>
          <w:szCs w:val="22"/>
          <w:lang w:val="en-GB"/>
        </w:rPr>
      </w:pPr>
    </w:p>
    <w:p w:rsidR="00AD5247" w:rsidRPr="006F103B" w:rsidRDefault="00AD5247" w:rsidP="00AD5247">
      <w:pPr>
        <w:pStyle w:val="ListParagraph"/>
        <w:tabs>
          <w:tab w:val="left" w:pos="1134"/>
        </w:tabs>
        <w:spacing w:after="0"/>
        <w:ind w:left="567"/>
        <w:rPr>
          <w:rFonts w:ascii="Arial" w:hAnsi="Arial" w:cs="Arial"/>
          <w:sz w:val="22"/>
          <w:szCs w:val="22"/>
          <w:lang w:val="en-GB"/>
        </w:rPr>
      </w:pPr>
    </w:p>
    <w:p w:rsidR="00AD5247" w:rsidRPr="006F103B" w:rsidRDefault="00AD5247" w:rsidP="00AD5247">
      <w:pPr>
        <w:pStyle w:val="ListParagraph"/>
        <w:numPr>
          <w:ilvl w:val="0"/>
          <w:numId w:val="31"/>
        </w:numPr>
        <w:suppressAutoHyphens w:val="0"/>
        <w:spacing w:after="0"/>
        <w:ind w:left="567" w:hanging="567"/>
        <w:rPr>
          <w:rFonts w:ascii="Arial" w:hAnsi="Arial" w:cs="Arial"/>
          <w:sz w:val="22"/>
          <w:szCs w:val="22"/>
          <w:lang w:val="en-GB"/>
        </w:rPr>
      </w:pPr>
      <w:r w:rsidRPr="006F103B">
        <w:rPr>
          <w:rFonts w:ascii="Arial" w:hAnsi="Arial" w:cs="Arial"/>
          <w:sz w:val="22"/>
          <w:szCs w:val="22"/>
          <w:lang w:val="en-GB"/>
        </w:rPr>
        <w:t>The date envisaged for the outstanding amounts to be settled is:</w:t>
      </w:r>
    </w:p>
    <w:p w:rsidR="00AD5247" w:rsidRPr="006F103B" w:rsidRDefault="00AD5247" w:rsidP="00AD5247">
      <w:pPr>
        <w:pStyle w:val="ListParagraph"/>
        <w:tabs>
          <w:tab w:val="left" w:pos="1134"/>
        </w:tabs>
        <w:spacing w:after="0"/>
        <w:ind w:left="567"/>
        <w:rPr>
          <w:rFonts w:ascii="Arial" w:hAnsi="Arial" w:cs="Arial"/>
          <w:sz w:val="22"/>
          <w:szCs w:val="22"/>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985"/>
        <w:gridCol w:w="1984"/>
        <w:gridCol w:w="2784"/>
      </w:tblGrid>
      <w:tr w:rsidR="00AD5247" w:rsidRPr="009C6C02" w:rsidTr="00405D4D">
        <w:tc>
          <w:tcPr>
            <w:tcW w:w="1696" w:type="dxa"/>
            <w:shd w:val="clear" w:color="auto" w:fill="auto"/>
          </w:tcPr>
          <w:p w:rsidR="00AD5247" w:rsidRPr="009C6C02" w:rsidRDefault="00AD5247" w:rsidP="00405D4D">
            <w:pPr>
              <w:pStyle w:val="ListParagraph"/>
              <w:tabs>
                <w:tab w:val="left" w:pos="1134"/>
              </w:tabs>
              <w:ind w:left="0"/>
              <w:jc w:val="center"/>
              <w:rPr>
                <w:rFonts w:ascii="Arial" w:hAnsi="Arial" w:cs="Arial"/>
                <w:b/>
                <w:sz w:val="22"/>
                <w:szCs w:val="22"/>
                <w:lang w:val="en-GB"/>
              </w:rPr>
            </w:pPr>
            <w:r w:rsidRPr="009C6C02">
              <w:rPr>
                <w:rFonts w:ascii="Arial" w:hAnsi="Arial" w:cs="Arial"/>
                <w:b/>
                <w:sz w:val="22"/>
                <w:szCs w:val="22"/>
                <w:lang w:val="en-GB"/>
              </w:rPr>
              <w:t>Period outstanding</w:t>
            </w:r>
          </w:p>
        </w:tc>
        <w:tc>
          <w:tcPr>
            <w:tcW w:w="1985" w:type="dxa"/>
            <w:shd w:val="clear" w:color="auto" w:fill="auto"/>
          </w:tcPr>
          <w:p w:rsidR="00AD5247" w:rsidRPr="009C6C02" w:rsidRDefault="00AD5247" w:rsidP="00405D4D">
            <w:pPr>
              <w:pStyle w:val="ListParagraph"/>
              <w:tabs>
                <w:tab w:val="left" w:pos="1134"/>
              </w:tabs>
              <w:ind w:left="0"/>
              <w:jc w:val="center"/>
              <w:rPr>
                <w:rFonts w:ascii="Arial" w:hAnsi="Arial" w:cs="Arial"/>
                <w:b/>
                <w:sz w:val="22"/>
                <w:szCs w:val="22"/>
                <w:lang w:val="en-GB"/>
              </w:rPr>
            </w:pPr>
            <w:r w:rsidRPr="009C6C02">
              <w:rPr>
                <w:rFonts w:ascii="Arial" w:hAnsi="Arial" w:cs="Arial"/>
                <w:b/>
                <w:sz w:val="22"/>
                <w:szCs w:val="22"/>
                <w:lang w:val="en-GB"/>
              </w:rPr>
              <w:t>Amount</w:t>
            </w:r>
          </w:p>
        </w:tc>
        <w:tc>
          <w:tcPr>
            <w:tcW w:w="1984" w:type="dxa"/>
            <w:shd w:val="clear" w:color="auto" w:fill="auto"/>
          </w:tcPr>
          <w:p w:rsidR="00AD5247" w:rsidRPr="009C6C02" w:rsidRDefault="00AD5247" w:rsidP="00405D4D">
            <w:pPr>
              <w:pStyle w:val="ListParagraph"/>
              <w:tabs>
                <w:tab w:val="left" w:pos="1134"/>
              </w:tabs>
              <w:ind w:left="0"/>
              <w:jc w:val="center"/>
              <w:rPr>
                <w:rFonts w:ascii="Arial" w:hAnsi="Arial" w:cs="Arial"/>
                <w:b/>
                <w:sz w:val="22"/>
                <w:szCs w:val="22"/>
                <w:lang w:val="en-GB"/>
              </w:rPr>
            </w:pPr>
            <w:r w:rsidRPr="009C6C02">
              <w:rPr>
                <w:rFonts w:ascii="Arial" w:hAnsi="Arial" w:cs="Arial"/>
                <w:b/>
                <w:sz w:val="22"/>
                <w:szCs w:val="22"/>
                <w:lang w:val="en-GB"/>
              </w:rPr>
              <w:t>Envisaged date of payment</w:t>
            </w:r>
          </w:p>
        </w:tc>
        <w:tc>
          <w:tcPr>
            <w:tcW w:w="2784" w:type="dxa"/>
            <w:shd w:val="clear" w:color="auto" w:fill="auto"/>
          </w:tcPr>
          <w:p w:rsidR="00AD5247" w:rsidRPr="009C6C02" w:rsidRDefault="00AD5247" w:rsidP="00405D4D">
            <w:pPr>
              <w:pStyle w:val="ListParagraph"/>
              <w:tabs>
                <w:tab w:val="left" w:pos="1134"/>
              </w:tabs>
              <w:ind w:left="0"/>
              <w:jc w:val="center"/>
              <w:rPr>
                <w:rFonts w:ascii="Arial" w:hAnsi="Arial" w:cs="Arial"/>
                <w:b/>
                <w:sz w:val="22"/>
                <w:szCs w:val="22"/>
                <w:lang w:val="en-GB"/>
              </w:rPr>
            </w:pPr>
            <w:r>
              <w:rPr>
                <w:rFonts w:ascii="Arial" w:hAnsi="Arial" w:cs="Arial"/>
                <w:b/>
                <w:sz w:val="22"/>
                <w:szCs w:val="22"/>
                <w:lang w:val="en-GB"/>
              </w:rPr>
              <w:t>Notes</w:t>
            </w:r>
          </w:p>
        </w:tc>
      </w:tr>
      <w:tr w:rsidR="00AD5247" w:rsidRPr="009C6C02" w:rsidTr="00405D4D">
        <w:tc>
          <w:tcPr>
            <w:tcW w:w="1696"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lastRenderedPageBreak/>
              <w:t>30 days</w:t>
            </w: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R179,591-23 </w:t>
            </w:r>
          </w:p>
        </w:tc>
        <w:tc>
          <w:tcPr>
            <w:tcW w:w="19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28 February 2022</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Pr>
                <w:rFonts w:ascii="Arial" w:hAnsi="Arial" w:cs="Arial"/>
                <w:sz w:val="22"/>
                <w:szCs w:val="22"/>
                <w:lang w:val="en-GB"/>
              </w:rPr>
              <w:t>-</w:t>
            </w:r>
          </w:p>
        </w:tc>
      </w:tr>
      <w:tr w:rsidR="00AD5247" w:rsidRPr="009C6C02" w:rsidTr="00405D4D">
        <w:tc>
          <w:tcPr>
            <w:tcW w:w="1696"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60 days</w:t>
            </w: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R0 </w:t>
            </w:r>
          </w:p>
        </w:tc>
        <w:tc>
          <w:tcPr>
            <w:tcW w:w="19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Not applicable</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Pr>
                <w:rFonts w:ascii="Arial" w:hAnsi="Arial" w:cs="Arial"/>
                <w:sz w:val="22"/>
                <w:szCs w:val="22"/>
                <w:lang w:val="en-GB"/>
              </w:rPr>
              <w:t>-</w:t>
            </w:r>
          </w:p>
        </w:tc>
      </w:tr>
      <w:tr w:rsidR="00AD5247" w:rsidRPr="009C6C02" w:rsidTr="00405D4D">
        <w:tc>
          <w:tcPr>
            <w:tcW w:w="1696"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90 days</w:t>
            </w: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 xml:space="preserve">R0 </w:t>
            </w:r>
          </w:p>
        </w:tc>
        <w:tc>
          <w:tcPr>
            <w:tcW w:w="19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Not applicable</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Pr>
                <w:rFonts w:ascii="Arial" w:hAnsi="Arial" w:cs="Arial"/>
                <w:sz w:val="22"/>
                <w:szCs w:val="22"/>
                <w:lang w:val="en-GB"/>
              </w:rPr>
              <w:t>-</w:t>
            </w:r>
          </w:p>
        </w:tc>
      </w:tr>
      <w:tr w:rsidR="00AD5247" w:rsidRPr="009C6C02" w:rsidTr="00405D4D">
        <w:tc>
          <w:tcPr>
            <w:tcW w:w="1696" w:type="dxa"/>
            <w:vMerge w:val="restart"/>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120 days</w:t>
            </w: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R1,855,767-89</w:t>
            </w:r>
          </w:p>
        </w:tc>
        <w:tc>
          <w:tcPr>
            <w:tcW w:w="19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31 March 2022</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w:t>
            </w:r>
          </w:p>
        </w:tc>
      </w:tr>
      <w:tr w:rsidR="00AD5247" w:rsidRPr="009C6C02" w:rsidTr="00405D4D">
        <w:tc>
          <w:tcPr>
            <w:tcW w:w="1696" w:type="dxa"/>
            <w:vMerge/>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R16,264,306-26</w:t>
            </w:r>
          </w:p>
        </w:tc>
        <w:tc>
          <w:tcPr>
            <w:tcW w:w="19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Unknown</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The amount is being disputed and payment date is therefore unknown.</w:t>
            </w:r>
          </w:p>
        </w:tc>
      </w:tr>
      <w:tr w:rsidR="00AD5247" w:rsidRPr="009C6C02" w:rsidTr="00405D4D">
        <w:tc>
          <w:tcPr>
            <w:tcW w:w="1696" w:type="dxa"/>
            <w:vMerge/>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R1,696,738-74</w:t>
            </w:r>
          </w:p>
        </w:tc>
        <w:tc>
          <w:tcPr>
            <w:tcW w:w="19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Unknown</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The amount is being disputed and payment date is therefore unknown.</w:t>
            </w:r>
          </w:p>
        </w:tc>
      </w:tr>
      <w:tr w:rsidR="00AD5247" w:rsidRPr="009C6C02" w:rsidTr="00405D4D">
        <w:tc>
          <w:tcPr>
            <w:tcW w:w="1696" w:type="dxa"/>
            <w:vMerge/>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p>
        </w:tc>
        <w:tc>
          <w:tcPr>
            <w:tcW w:w="1985" w:type="dxa"/>
            <w:shd w:val="clear" w:color="auto" w:fill="auto"/>
          </w:tcPr>
          <w:p w:rsidR="00AD5247" w:rsidRPr="009C6C02" w:rsidRDefault="00AD5247" w:rsidP="00405D4D">
            <w:pPr>
              <w:pStyle w:val="ListParagraph"/>
              <w:tabs>
                <w:tab w:val="left" w:pos="1134"/>
              </w:tabs>
              <w:ind w:left="0"/>
              <w:jc w:val="right"/>
              <w:rPr>
                <w:rFonts w:ascii="Arial" w:hAnsi="Arial" w:cs="Arial"/>
                <w:sz w:val="22"/>
                <w:szCs w:val="22"/>
                <w:lang w:val="en-GB"/>
              </w:rPr>
            </w:pPr>
            <w:r w:rsidRPr="009C6C02">
              <w:rPr>
                <w:rFonts w:ascii="Arial" w:hAnsi="Arial" w:cs="Arial"/>
                <w:sz w:val="22"/>
                <w:szCs w:val="22"/>
                <w:lang w:val="en-GB"/>
              </w:rPr>
              <w:t>R106,491-76</w:t>
            </w:r>
          </w:p>
        </w:tc>
        <w:tc>
          <w:tcPr>
            <w:tcW w:w="1984" w:type="dxa"/>
            <w:shd w:val="clear" w:color="auto" w:fill="auto"/>
          </w:tcPr>
          <w:p w:rsidR="00AD5247" w:rsidRPr="009C6C02" w:rsidRDefault="00AD5247" w:rsidP="00405D4D">
            <w:pPr>
              <w:pStyle w:val="ListParagraph"/>
              <w:suppressAutoHyphens w:val="0"/>
              <w:spacing w:after="0"/>
              <w:ind w:left="0"/>
              <w:rPr>
                <w:rFonts w:ascii="Arial" w:hAnsi="Arial" w:cs="Arial"/>
                <w:sz w:val="22"/>
                <w:szCs w:val="22"/>
                <w:lang w:val="en-GB"/>
              </w:rPr>
            </w:pPr>
            <w:r w:rsidRPr="009C6C02">
              <w:rPr>
                <w:rFonts w:ascii="Arial" w:hAnsi="Arial" w:cs="Arial"/>
                <w:sz w:val="22"/>
                <w:szCs w:val="22"/>
                <w:lang w:val="en-GB"/>
              </w:rPr>
              <w:t>31 March 2022</w:t>
            </w:r>
          </w:p>
        </w:tc>
        <w:tc>
          <w:tcPr>
            <w:tcW w:w="2784" w:type="dxa"/>
            <w:shd w:val="clear" w:color="auto" w:fill="auto"/>
          </w:tcPr>
          <w:p w:rsidR="00AD5247" w:rsidRPr="009C6C02" w:rsidRDefault="00AD5247" w:rsidP="00405D4D">
            <w:pPr>
              <w:pStyle w:val="ListParagraph"/>
              <w:tabs>
                <w:tab w:val="left" w:pos="1134"/>
              </w:tabs>
              <w:ind w:left="0"/>
              <w:rPr>
                <w:rFonts w:ascii="Arial" w:hAnsi="Arial" w:cs="Arial"/>
                <w:sz w:val="22"/>
                <w:szCs w:val="22"/>
                <w:lang w:val="en-GB"/>
              </w:rPr>
            </w:pPr>
            <w:r w:rsidRPr="009C6C02">
              <w:rPr>
                <w:rFonts w:ascii="Arial" w:hAnsi="Arial" w:cs="Arial"/>
                <w:sz w:val="22"/>
                <w:szCs w:val="22"/>
                <w:lang w:val="en-GB"/>
              </w:rPr>
              <w:t>-</w:t>
            </w:r>
          </w:p>
        </w:tc>
      </w:tr>
    </w:tbl>
    <w:p w:rsidR="00CE2880" w:rsidRDefault="00CE2880" w:rsidP="00CE2880">
      <w:pPr>
        <w:pStyle w:val="Heading1"/>
        <w:tabs>
          <w:tab w:val="left" w:pos="540"/>
          <w:tab w:val="left" w:pos="1080"/>
          <w:tab w:val="left" w:pos="1620"/>
          <w:tab w:val="left" w:pos="2340"/>
        </w:tabs>
        <w:spacing w:line="360" w:lineRule="auto"/>
        <w:rPr>
          <w:rFonts w:ascii="Arial" w:hAnsi="Arial" w:cs="Arial"/>
          <w:sz w:val="22"/>
          <w:szCs w:val="22"/>
        </w:rPr>
      </w:pPr>
    </w:p>
    <w:p w:rsidR="00CE2880" w:rsidRDefault="00CE2880" w:rsidP="00713973">
      <w:pPr>
        <w:jc w:val="both"/>
        <w:rPr>
          <w:rFonts w:ascii="Arial" w:eastAsia="Calibri" w:hAnsi="Arial" w:cs="Arial"/>
          <w:sz w:val="22"/>
          <w:szCs w:val="22"/>
        </w:rPr>
      </w:pPr>
    </w:p>
    <w:p w:rsidR="00730AA4" w:rsidRDefault="00730AA4" w:rsidP="00713973">
      <w:pPr>
        <w:jc w:val="both"/>
        <w:rPr>
          <w:rFonts w:ascii="Arial" w:eastAsia="Calibri" w:hAnsi="Arial" w:cs="Arial"/>
          <w:sz w:val="22"/>
          <w:szCs w:val="22"/>
        </w:rPr>
      </w:pPr>
    </w:p>
    <w:p w:rsidR="00730AA4" w:rsidRPr="00730AA4" w:rsidRDefault="00730AA4" w:rsidP="00713973">
      <w:pPr>
        <w:jc w:val="both"/>
        <w:rPr>
          <w:rFonts w:ascii="Arial" w:eastAsia="Calibri" w:hAnsi="Arial" w:cs="Arial"/>
          <w:b/>
          <w:sz w:val="22"/>
          <w:szCs w:val="22"/>
        </w:rPr>
      </w:pPr>
      <w:r w:rsidRPr="00730AA4">
        <w:rPr>
          <w:rFonts w:ascii="Arial" w:eastAsia="Calibri" w:hAnsi="Arial" w:cs="Arial"/>
          <w:b/>
          <w:sz w:val="22"/>
          <w:szCs w:val="22"/>
        </w:rPr>
        <w:t>South African Civil Aviation Authority (SACAA)</w:t>
      </w:r>
    </w:p>
    <w:p w:rsidR="00730AA4" w:rsidRPr="00B7472B" w:rsidRDefault="00730AA4" w:rsidP="00730AA4">
      <w:pPr>
        <w:spacing w:before="100" w:beforeAutospacing="1" w:after="100" w:afterAutospacing="1"/>
        <w:jc w:val="both"/>
        <w:rPr>
          <w:rFonts w:ascii="Arial" w:hAnsi="Arial" w:cs="Arial"/>
          <w:sz w:val="22"/>
          <w:szCs w:val="22"/>
        </w:rPr>
      </w:pPr>
      <w:r w:rsidRPr="00B7472B">
        <w:rPr>
          <w:rFonts w:ascii="Arial" w:hAnsi="Arial" w:cs="Arial"/>
          <w:sz w:val="22"/>
          <w:szCs w:val="22"/>
          <w:lang w:val="en-US"/>
        </w:rPr>
        <w:t xml:space="preserve">(ii) The SACAA currently has (aa) zero </w:t>
      </w:r>
      <w:r>
        <w:rPr>
          <w:rFonts w:ascii="Arial" w:hAnsi="Arial" w:cs="Arial"/>
          <w:sz w:val="22"/>
          <w:szCs w:val="22"/>
          <w:lang w:val="en-US"/>
        </w:rPr>
        <w:t xml:space="preserve">30 days </w:t>
      </w:r>
      <w:r w:rsidRPr="00B7472B">
        <w:rPr>
          <w:rFonts w:ascii="Arial" w:hAnsi="Arial" w:cs="Arial"/>
          <w:sz w:val="22"/>
          <w:szCs w:val="22"/>
          <w:lang w:val="en-US"/>
        </w:rPr>
        <w:t xml:space="preserve">outstanding invoices </w:t>
      </w:r>
      <w:r>
        <w:rPr>
          <w:rFonts w:ascii="Arial" w:hAnsi="Arial" w:cs="Arial"/>
          <w:sz w:val="22"/>
          <w:szCs w:val="22"/>
          <w:lang w:val="en-US"/>
        </w:rPr>
        <w:t xml:space="preserve">(bb) zero 60 days outstanding invoices and </w:t>
      </w:r>
      <w:r w:rsidRPr="00B7472B">
        <w:rPr>
          <w:rFonts w:ascii="Arial" w:hAnsi="Arial" w:cs="Arial"/>
          <w:sz w:val="22"/>
          <w:szCs w:val="22"/>
          <w:lang w:val="en-US"/>
        </w:rPr>
        <w:t xml:space="preserve">(dd) only has one invoice outstanding as per the creditors age analysis that is in 120 days </w:t>
      </w:r>
      <w:r>
        <w:rPr>
          <w:rFonts w:ascii="Arial" w:hAnsi="Arial" w:cs="Arial"/>
          <w:sz w:val="22"/>
          <w:szCs w:val="22"/>
          <w:lang w:val="en-US"/>
        </w:rPr>
        <w:t xml:space="preserve">(b) </w:t>
      </w:r>
      <w:r w:rsidRPr="00B7472B">
        <w:rPr>
          <w:rFonts w:ascii="Arial" w:hAnsi="Arial" w:cs="Arial"/>
          <w:sz w:val="22"/>
          <w:szCs w:val="22"/>
          <w:lang w:val="en-US"/>
        </w:rPr>
        <w:t>amounting to R33 741.</w:t>
      </w:r>
      <w:r>
        <w:rPr>
          <w:rFonts w:ascii="Arial" w:hAnsi="Arial" w:cs="Arial"/>
          <w:sz w:val="22"/>
          <w:szCs w:val="22"/>
          <w:lang w:val="en-US"/>
        </w:rPr>
        <w:t xml:space="preserve"> (c) </w:t>
      </w:r>
      <w:r w:rsidRPr="00B7472B">
        <w:rPr>
          <w:rFonts w:ascii="Arial" w:hAnsi="Arial" w:cs="Arial"/>
          <w:sz w:val="22"/>
          <w:szCs w:val="22"/>
          <w:lang w:val="en-US"/>
        </w:rPr>
        <w:t>The invoice is currently in dispute and will be paid once the dispute is resolved</w:t>
      </w:r>
      <w:r>
        <w:rPr>
          <w:rFonts w:ascii="Arial" w:hAnsi="Arial" w:cs="Arial"/>
          <w:sz w:val="22"/>
          <w:szCs w:val="22"/>
          <w:lang w:val="en-US"/>
        </w:rPr>
        <w:t>.</w:t>
      </w:r>
    </w:p>
    <w:bookmarkEnd w:id="0"/>
    <w:p w:rsidR="00BE7303" w:rsidRDefault="00BE7303" w:rsidP="00BE7303">
      <w:pPr>
        <w:tabs>
          <w:tab w:val="left" w:pos="567"/>
          <w:tab w:val="left" w:pos="1134"/>
        </w:tabs>
        <w:spacing w:before="100" w:beforeAutospacing="1" w:after="100" w:afterAutospacing="1"/>
        <w:jc w:val="both"/>
        <w:rPr>
          <w:rFonts w:ascii="Arial" w:eastAsia="Calibri" w:hAnsi="Arial" w:cs="Arial"/>
          <w:sz w:val="22"/>
          <w:szCs w:val="22"/>
        </w:rPr>
      </w:pPr>
    </w:p>
    <w:p w:rsidR="00BE7303" w:rsidRPr="00ED14B0" w:rsidRDefault="00BE7303" w:rsidP="00BE7303">
      <w:pPr>
        <w:tabs>
          <w:tab w:val="left" w:pos="567"/>
          <w:tab w:val="left" w:pos="1134"/>
        </w:tabs>
        <w:spacing w:before="100" w:beforeAutospacing="1" w:after="100" w:afterAutospacing="1"/>
        <w:jc w:val="both"/>
        <w:rPr>
          <w:rFonts w:ascii="Arial" w:hAnsi="Arial" w:cs="Arial"/>
          <w:sz w:val="22"/>
          <w:szCs w:val="22"/>
        </w:rPr>
      </w:pPr>
      <w:r w:rsidRPr="00BE7303">
        <w:rPr>
          <w:rFonts w:ascii="Arial" w:hAnsi="Arial" w:cs="Arial"/>
          <w:b/>
          <w:sz w:val="22"/>
          <w:szCs w:val="22"/>
          <w:lang w:val="en-GB"/>
        </w:rPr>
        <w:t>Passenger Rail Agency of South Africa</w:t>
      </w:r>
      <w:r>
        <w:rPr>
          <w:rFonts w:ascii="Arial" w:hAnsi="Arial" w:cs="Arial"/>
          <w:sz w:val="22"/>
          <w:szCs w:val="22"/>
          <w:lang w:val="en-GB"/>
        </w:rPr>
        <w:t xml:space="preserve"> </w:t>
      </w:r>
      <w:r w:rsidRPr="00BE7303">
        <w:rPr>
          <w:rFonts w:ascii="Arial" w:hAnsi="Arial" w:cs="Arial"/>
          <w:b/>
          <w:sz w:val="22"/>
          <w:szCs w:val="22"/>
          <w:lang w:val="en-GB"/>
        </w:rPr>
        <w:t>(PRASA)</w:t>
      </w:r>
    </w:p>
    <w:p w:rsidR="00BE7303" w:rsidRPr="006F103B" w:rsidRDefault="00BE7303" w:rsidP="00BE7303">
      <w:pPr>
        <w:pStyle w:val="ListParagraph"/>
        <w:tabs>
          <w:tab w:val="left" w:pos="567"/>
          <w:tab w:val="left" w:pos="1134"/>
        </w:tabs>
        <w:suppressAutoHyphens w:val="0"/>
        <w:spacing w:after="0"/>
        <w:ind w:left="567"/>
        <w:rPr>
          <w:rFonts w:ascii="Arial" w:hAnsi="Arial" w:cs="Arial"/>
          <w:sz w:val="22"/>
          <w:szCs w:val="22"/>
          <w:lang w:val="en-GB"/>
        </w:rPr>
      </w:pPr>
      <w:r>
        <w:rPr>
          <w:rFonts w:ascii="Arial" w:hAnsi="Arial" w:cs="Arial"/>
          <w:sz w:val="22"/>
          <w:szCs w:val="22"/>
          <w:lang w:val="en-GB"/>
        </w:rPr>
        <w:tab/>
        <w:t>Number of invoices outstanding</w:t>
      </w:r>
    </w:p>
    <w:p w:rsidR="00BE7303" w:rsidRDefault="00A351C8" w:rsidP="00BE7303">
      <w:pPr>
        <w:pStyle w:val="ListParagraph"/>
        <w:tabs>
          <w:tab w:val="left" w:pos="1134"/>
        </w:tabs>
        <w:spacing w:after="0"/>
        <w:ind w:left="567" w:hanging="1843"/>
        <w:rPr>
          <w:rFonts w:ascii="Arial" w:hAnsi="Arial" w:cs="Arial"/>
          <w:sz w:val="22"/>
          <w:szCs w:val="22"/>
          <w:lang w:val="en-GB"/>
        </w:rPr>
      </w:pPr>
      <w:r>
        <w:rPr>
          <w:noProof/>
        </w:rPr>
        <w:drawing>
          <wp:inline distT="0" distB="0" distL="0" distR="0">
            <wp:extent cx="7278370" cy="2432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278370" cy="2432050"/>
                    </a:xfrm>
                    <a:prstGeom prst="rect">
                      <a:avLst/>
                    </a:prstGeom>
                    <a:noFill/>
                    <a:ln w="9525">
                      <a:noFill/>
                      <a:miter lim="800000"/>
                      <a:headEnd/>
                      <a:tailEnd/>
                    </a:ln>
                  </pic:spPr>
                </pic:pic>
              </a:graphicData>
            </a:graphic>
          </wp:inline>
        </w:drawing>
      </w:r>
    </w:p>
    <w:p w:rsidR="00BE7303" w:rsidRDefault="00BE7303" w:rsidP="00BE7303">
      <w:pPr>
        <w:pStyle w:val="ListParagraph"/>
        <w:tabs>
          <w:tab w:val="left" w:pos="1134"/>
        </w:tabs>
        <w:spacing w:after="0"/>
        <w:ind w:left="567"/>
        <w:rPr>
          <w:rFonts w:ascii="Arial" w:hAnsi="Arial" w:cs="Arial"/>
          <w:sz w:val="22"/>
          <w:szCs w:val="22"/>
          <w:lang w:val="en-GB"/>
        </w:rPr>
      </w:pPr>
    </w:p>
    <w:p w:rsidR="00BE7303" w:rsidRDefault="00BE7303" w:rsidP="00BE7303">
      <w:pPr>
        <w:pStyle w:val="ListParagraph"/>
        <w:tabs>
          <w:tab w:val="left" w:pos="1134"/>
        </w:tabs>
        <w:spacing w:after="0"/>
        <w:ind w:left="567"/>
        <w:rPr>
          <w:rFonts w:ascii="Arial" w:hAnsi="Arial" w:cs="Arial"/>
          <w:sz w:val="22"/>
          <w:szCs w:val="22"/>
          <w:lang w:val="en-GB"/>
        </w:rPr>
      </w:pPr>
    </w:p>
    <w:p w:rsidR="00BE7303" w:rsidRPr="00045F46" w:rsidRDefault="00BE7303" w:rsidP="00BE7303">
      <w:pPr>
        <w:pStyle w:val="ListParagraph"/>
        <w:numPr>
          <w:ilvl w:val="0"/>
          <w:numId w:val="31"/>
        </w:numPr>
        <w:suppressAutoHyphens w:val="0"/>
        <w:spacing w:after="0"/>
        <w:ind w:left="567" w:hanging="567"/>
        <w:rPr>
          <w:rFonts w:ascii="Arial" w:hAnsi="Arial" w:cs="Arial"/>
          <w:sz w:val="22"/>
          <w:szCs w:val="22"/>
          <w:lang w:val="en-GB"/>
        </w:rPr>
      </w:pPr>
      <w:r w:rsidRPr="00045F46">
        <w:rPr>
          <w:rFonts w:ascii="Arial" w:hAnsi="Arial" w:cs="Arial"/>
          <w:sz w:val="22"/>
          <w:szCs w:val="22"/>
          <w:lang w:val="en-GB"/>
        </w:rPr>
        <w:t>The total amount outstanding in each case is:</w:t>
      </w:r>
    </w:p>
    <w:p w:rsidR="00BE7303" w:rsidRDefault="00BE7303" w:rsidP="00BE7303">
      <w:pPr>
        <w:pStyle w:val="ListParagraph"/>
        <w:tabs>
          <w:tab w:val="left" w:pos="1134"/>
        </w:tabs>
        <w:spacing w:after="0"/>
        <w:ind w:left="567"/>
        <w:rPr>
          <w:rFonts w:ascii="Arial" w:hAnsi="Arial" w:cs="Arial"/>
          <w:sz w:val="22"/>
          <w:szCs w:val="22"/>
          <w:lang w:val="en-GB"/>
        </w:rPr>
      </w:pPr>
    </w:p>
    <w:p w:rsidR="00BE7303" w:rsidRDefault="00BE7303" w:rsidP="00BE7303">
      <w:pPr>
        <w:pStyle w:val="ListParagraph"/>
        <w:tabs>
          <w:tab w:val="left" w:pos="1134"/>
        </w:tabs>
        <w:spacing w:after="0"/>
        <w:ind w:left="567"/>
        <w:rPr>
          <w:rFonts w:ascii="Arial" w:hAnsi="Arial" w:cs="Arial"/>
          <w:sz w:val="22"/>
          <w:szCs w:val="22"/>
          <w:lang w:val="en-GB"/>
        </w:rPr>
      </w:pPr>
      <w:r>
        <w:rPr>
          <w:rFonts w:ascii="Arial" w:hAnsi="Arial" w:cs="Arial"/>
          <w:sz w:val="22"/>
          <w:szCs w:val="22"/>
          <w:lang w:val="en-GB"/>
        </w:rPr>
        <w:t>Please refer to table above in (a).</w:t>
      </w:r>
    </w:p>
    <w:p w:rsidR="00BE7303" w:rsidRDefault="00BE7303" w:rsidP="00BE7303">
      <w:pPr>
        <w:pStyle w:val="ListParagraph"/>
        <w:tabs>
          <w:tab w:val="left" w:pos="1134"/>
        </w:tabs>
        <w:spacing w:after="0"/>
        <w:ind w:left="567"/>
        <w:rPr>
          <w:rFonts w:ascii="Arial" w:hAnsi="Arial" w:cs="Arial"/>
          <w:sz w:val="22"/>
          <w:szCs w:val="22"/>
          <w:lang w:val="en-GB"/>
        </w:rPr>
      </w:pPr>
    </w:p>
    <w:p w:rsidR="00BE7303" w:rsidRPr="006F103B" w:rsidRDefault="00BE7303" w:rsidP="00BE7303">
      <w:pPr>
        <w:pStyle w:val="ListParagraph"/>
        <w:tabs>
          <w:tab w:val="left" w:pos="1134"/>
        </w:tabs>
        <w:spacing w:after="0"/>
        <w:ind w:left="567"/>
        <w:rPr>
          <w:rFonts w:ascii="Arial" w:hAnsi="Arial" w:cs="Arial"/>
          <w:sz w:val="22"/>
          <w:szCs w:val="22"/>
          <w:lang w:val="en-GB"/>
        </w:rPr>
      </w:pPr>
    </w:p>
    <w:p w:rsidR="00BE7303" w:rsidRPr="00591395" w:rsidRDefault="00BE7303" w:rsidP="00BE7303">
      <w:pPr>
        <w:pStyle w:val="ListParagraph"/>
        <w:numPr>
          <w:ilvl w:val="0"/>
          <w:numId w:val="31"/>
        </w:numPr>
        <w:suppressAutoHyphens w:val="0"/>
        <w:spacing w:after="0"/>
        <w:ind w:left="567" w:hanging="567"/>
        <w:rPr>
          <w:rFonts w:ascii="Arial" w:hAnsi="Arial" w:cs="Arial"/>
          <w:sz w:val="22"/>
          <w:szCs w:val="22"/>
          <w:lang w:val="en-GB"/>
        </w:rPr>
      </w:pPr>
      <w:r w:rsidRPr="00591395">
        <w:rPr>
          <w:rFonts w:ascii="Arial" w:hAnsi="Arial" w:cs="Arial"/>
          <w:sz w:val="22"/>
          <w:szCs w:val="22"/>
          <w:lang w:val="en-GB"/>
        </w:rPr>
        <w:t>It is impossible to specify the date on which the outstanding amounts will be settled given the current situation that PRASA finds itself in, especially with the OPEX.</w:t>
      </w:r>
    </w:p>
    <w:p w:rsidR="00BE7303" w:rsidRDefault="00BE7303" w:rsidP="00BE7303">
      <w:pPr>
        <w:pStyle w:val="ListParagraph"/>
        <w:tabs>
          <w:tab w:val="left" w:pos="1134"/>
        </w:tabs>
        <w:spacing w:after="0"/>
        <w:ind w:left="567"/>
        <w:rPr>
          <w:rFonts w:ascii="Arial" w:hAnsi="Arial" w:cs="Arial"/>
          <w:sz w:val="22"/>
          <w:szCs w:val="22"/>
          <w:lang w:val="en-GB"/>
        </w:rPr>
      </w:pPr>
    </w:p>
    <w:p w:rsidR="00BE7303" w:rsidRDefault="00BE7303" w:rsidP="00BE7303">
      <w:pPr>
        <w:pStyle w:val="ListParagraph"/>
        <w:numPr>
          <w:ilvl w:val="0"/>
          <w:numId w:val="33"/>
        </w:numPr>
        <w:tabs>
          <w:tab w:val="left" w:pos="1134"/>
        </w:tabs>
        <w:spacing w:after="0"/>
        <w:ind w:left="1134" w:hanging="567"/>
        <w:rPr>
          <w:rFonts w:ascii="Arial" w:hAnsi="Arial" w:cs="Arial"/>
          <w:sz w:val="22"/>
          <w:szCs w:val="22"/>
          <w:lang w:val="en-GB"/>
        </w:rPr>
      </w:pPr>
      <w:r>
        <w:rPr>
          <w:rFonts w:ascii="Arial" w:hAnsi="Arial" w:cs="Arial"/>
          <w:sz w:val="22"/>
          <w:szCs w:val="22"/>
          <w:lang w:val="en-GB"/>
        </w:rPr>
        <w:t>The total group debt amounts to R4,8 billion, with OPEX accounting for 92% of this debt.</w:t>
      </w:r>
    </w:p>
    <w:p w:rsidR="00BE7303" w:rsidRDefault="00BE7303" w:rsidP="00BE7303">
      <w:pPr>
        <w:pStyle w:val="ListParagraph"/>
        <w:numPr>
          <w:ilvl w:val="0"/>
          <w:numId w:val="33"/>
        </w:numPr>
        <w:tabs>
          <w:tab w:val="left" w:pos="1134"/>
        </w:tabs>
        <w:spacing w:after="0"/>
        <w:ind w:left="1134" w:hanging="567"/>
        <w:rPr>
          <w:rFonts w:ascii="Arial" w:hAnsi="Arial" w:cs="Arial"/>
          <w:sz w:val="22"/>
          <w:szCs w:val="22"/>
          <w:lang w:val="en-GB"/>
        </w:rPr>
      </w:pPr>
      <w:r>
        <w:rPr>
          <w:rFonts w:ascii="Arial" w:hAnsi="Arial" w:cs="Arial"/>
          <w:sz w:val="22"/>
          <w:szCs w:val="22"/>
          <w:lang w:val="en-GB"/>
        </w:rPr>
        <w:t>Most of the debt, 53%, is owed to Transnet, with other suppliers constituting 39% and municipalities a further 8%.</w:t>
      </w:r>
    </w:p>
    <w:p w:rsidR="00BE7303" w:rsidRDefault="00BE7303" w:rsidP="00BE7303">
      <w:pPr>
        <w:pStyle w:val="ListParagraph"/>
        <w:numPr>
          <w:ilvl w:val="0"/>
          <w:numId w:val="33"/>
        </w:numPr>
        <w:tabs>
          <w:tab w:val="left" w:pos="1134"/>
        </w:tabs>
        <w:spacing w:after="0"/>
        <w:ind w:left="1134" w:hanging="567"/>
        <w:rPr>
          <w:rFonts w:ascii="Arial" w:hAnsi="Arial" w:cs="Arial"/>
          <w:sz w:val="22"/>
          <w:szCs w:val="22"/>
          <w:lang w:val="en-GB"/>
        </w:rPr>
      </w:pPr>
      <w:r>
        <w:rPr>
          <w:rFonts w:ascii="Arial" w:hAnsi="Arial" w:cs="Arial"/>
          <w:sz w:val="22"/>
          <w:szCs w:val="22"/>
          <w:lang w:val="en-GB"/>
        </w:rPr>
        <w:t>PRASA is currently not able to pay its debt as they become due with most of its debt being in excess of 180 days.</w:t>
      </w:r>
    </w:p>
    <w:p w:rsidR="00BE7303" w:rsidRPr="006F103B" w:rsidRDefault="00BE7303" w:rsidP="00BE7303">
      <w:pPr>
        <w:pStyle w:val="ListParagraph"/>
        <w:numPr>
          <w:ilvl w:val="0"/>
          <w:numId w:val="33"/>
        </w:numPr>
        <w:tabs>
          <w:tab w:val="left" w:pos="1134"/>
        </w:tabs>
        <w:spacing w:after="0"/>
        <w:ind w:left="1134" w:hanging="567"/>
        <w:rPr>
          <w:rFonts w:ascii="Arial" w:hAnsi="Arial" w:cs="Arial"/>
          <w:sz w:val="22"/>
          <w:szCs w:val="22"/>
          <w:lang w:val="en-GB"/>
        </w:rPr>
      </w:pPr>
      <w:r>
        <w:rPr>
          <w:rFonts w:ascii="Arial" w:hAnsi="Arial" w:cs="Arial"/>
          <w:sz w:val="22"/>
          <w:szCs w:val="22"/>
          <w:lang w:val="en-GB"/>
        </w:rPr>
        <w:t>Only invoices over 180 days will be settled monthly except for payroll, critical suppliers (i.e. ICT, security, municipal rates, etc.), statutory items, insurance related claims, legal disbursements and court orders.</w:t>
      </w:r>
    </w:p>
    <w:sectPr w:rsidR="00BE7303" w:rsidRPr="006F103B"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5A" w:rsidRDefault="0097755A">
      <w:r>
        <w:separator/>
      </w:r>
    </w:p>
  </w:endnote>
  <w:endnote w:type="continuationSeparator" w:id="0">
    <w:p w:rsidR="0097755A" w:rsidRDefault="0097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5A" w:rsidRDefault="0097755A">
      <w:r>
        <w:separator/>
      </w:r>
    </w:p>
  </w:footnote>
  <w:footnote w:type="continuationSeparator" w:id="0">
    <w:p w:rsidR="0097755A" w:rsidRDefault="00977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8356B"/>
    <w:multiLevelType w:val="hybridMultilevel"/>
    <w:tmpl w:val="1ABE4E88"/>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4">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75B054D"/>
    <w:multiLevelType w:val="hybridMultilevel"/>
    <w:tmpl w:val="B6927270"/>
    <w:lvl w:ilvl="0" w:tplc="1E3C6AF8">
      <w:start w:val="27"/>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650B7"/>
    <w:multiLevelType w:val="hybridMultilevel"/>
    <w:tmpl w:val="594AD182"/>
    <w:lvl w:ilvl="0" w:tplc="943A0E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5572A30"/>
    <w:multiLevelType w:val="hybridMultilevel"/>
    <w:tmpl w:val="6504C3FA"/>
    <w:lvl w:ilvl="0" w:tplc="0C7074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8B497F"/>
    <w:multiLevelType w:val="hybridMultilevel"/>
    <w:tmpl w:val="B3E0383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5">
    <w:nsid w:val="57CD0B6E"/>
    <w:multiLevelType w:val="hybridMultilevel"/>
    <w:tmpl w:val="E9228216"/>
    <w:lvl w:ilvl="0" w:tplc="5C5CA2C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8615428"/>
    <w:multiLevelType w:val="hybridMultilevel"/>
    <w:tmpl w:val="45066DA4"/>
    <w:lvl w:ilvl="0" w:tplc="15E204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6"/>
  </w:num>
  <w:num w:numId="3">
    <w:abstractNumId w:val="29"/>
  </w:num>
  <w:num w:numId="4">
    <w:abstractNumId w:val="31"/>
  </w:num>
  <w:num w:numId="5">
    <w:abstractNumId w:val="22"/>
  </w:num>
  <w:num w:numId="6">
    <w:abstractNumId w:val="19"/>
  </w:num>
  <w:num w:numId="7">
    <w:abstractNumId w:val="15"/>
  </w:num>
  <w:num w:numId="8">
    <w:abstractNumId w:val="7"/>
  </w:num>
  <w:num w:numId="9">
    <w:abstractNumId w:val="27"/>
  </w:num>
  <w:num w:numId="10">
    <w:abstractNumId w:val="12"/>
  </w:num>
  <w:num w:numId="11">
    <w:abstractNumId w:val="9"/>
  </w:num>
  <w:num w:numId="12">
    <w:abstractNumId w:val="17"/>
  </w:num>
  <w:num w:numId="13">
    <w:abstractNumId w:val="5"/>
  </w:num>
  <w:num w:numId="14">
    <w:abstractNumId w:val="30"/>
  </w:num>
  <w:num w:numId="15">
    <w:abstractNumId w:val="21"/>
  </w:num>
  <w:num w:numId="16">
    <w:abstractNumId w:val="28"/>
  </w:num>
  <w:num w:numId="17">
    <w:abstractNumId w:val="0"/>
  </w:num>
  <w:num w:numId="18">
    <w:abstractNumId w:val="20"/>
  </w:num>
  <w:num w:numId="19">
    <w:abstractNumId w:val="18"/>
  </w:num>
  <w:num w:numId="20">
    <w:abstractNumId w:val="13"/>
  </w:num>
  <w:num w:numId="21">
    <w:abstractNumId w:val="2"/>
  </w:num>
  <w:num w:numId="22">
    <w:abstractNumId w:val="3"/>
  </w:num>
  <w:num w:numId="23">
    <w:abstractNumId w:val="8"/>
  </w:num>
  <w:num w:numId="24">
    <w:abstractNumId w:val="4"/>
  </w:num>
  <w:num w:numId="25">
    <w:abstractNumId w:val="32"/>
  </w:num>
  <w:num w:numId="26">
    <w:abstractNumId w:val="6"/>
  </w:num>
  <w:num w:numId="27">
    <w:abstractNumId w:val="26"/>
  </w:num>
  <w:num w:numId="28">
    <w:abstractNumId w:val="25"/>
  </w:num>
  <w:num w:numId="29">
    <w:abstractNumId w:val="10"/>
  </w:num>
  <w:num w:numId="30">
    <w:abstractNumId w:val="14"/>
  </w:num>
  <w:num w:numId="31">
    <w:abstractNumId w:val="23"/>
  </w:num>
  <w:num w:numId="32">
    <w:abstractNumId w:val="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46C54"/>
    <w:rsid w:val="0005055A"/>
    <w:rsid w:val="00052E60"/>
    <w:rsid w:val="00064000"/>
    <w:rsid w:val="00082ADE"/>
    <w:rsid w:val="000B33E6"/>
    <w:rsid w:val="000D2FCC"/>
    <w:rsid w:val="000E46E0"/>
    <w:rsid w:val="00107B84"/>
    <w:rsid w:val="00124B06"/>
    <w:rsid w:val="00130913"/>
    <w:rsid w:val="00136739"/>
    <w:rsid w:val="001465BA"/>
    <w:rsid w:val="00152742"/>
    <w:rsid w:val="001A6EB5"/>
    <w:rsid w:val="001B30FC"/>
    <w:rsid w:val="001B3A9C"/>
    <w:rsid w:val="001B5F04"/>
    <w:rsid w:val="001C0016"/>
    <w:rsid w:val="001D7FF3"/>
    <w:rsid w:val="001E56FC"/>
    <w:rsid w:val="001F04AB"/>
    <w:rsid w:val="00212B83"/>
    <w:rsid w:val="00225A2A"/>
    <w:rsid w:val="00226862"/>
    <w:rsid w:val="00235D7B"/>
    <w:rsid w:val="00237995"/>
    <w:rsid w:val="00237C59"/>
    <w:rsid w:val="002425A4"/>
    <w:rsid w:val="00242966"/>
    <w:rsid w:val="002456E4"/>
    <w:rsid w:val="00252FE4"/>
    <w:rsid w:val="0026496F"/>
    <w:rsid w:val="002765E6"/>
    <w:rsid w:val="00287706"/>
    <w:rsid w:val="0029079E"/>
    <w:rsid w:val="002A5A36"/>
    <w:rsid w:val="002A6B98"/>
    <w:rsid w:val="002B33E9"/>
    <w:rsid w:val="002B3521"/>
    <w:rsid w:val="002B4CC3"/>
    <w:rsid w:val="002D4ABF"/>
    <w:rsid w:val="002F3330"/>
    <w:rsid w:val="003148C1"/>
    <w:rsid w:val="00326688"/>
    <w:rsid w:val="00337C35"/>
    <w:rsid w:val="00345018"/>
    <w:rsid w:val="00353C6A"/>
    <w:rsid w:val="0036410E"/>
    <w:rsid w:val="0037735D"/>
    <w:rsid w:val="0038074E"/>
    <w:rsid w:val="0038097C"/>
    <w:rsid w:val="00381F6D"/>
    <w:rsid w:val="00385180"/>
    <w:rsid w:val="00387FEF"/>
    <w:rsid w:val="00392721"/>
    <w:rsid w:val="0039544E"/>
    <w:rsid w:val="00395FAB"/>
    <w:rsid w:val="003A7D7C"/>
    <w:rsid w:val="003C2BBA"/>
    <w:rsid w:val="003D2356"/>
    <w:rsid w:val="003E6EEB"/>
    <w:rsid w:val="003E7A1C"/>
    <w:rsid w:val="003F2B1C"/>
    <w:rsid w:val="0040324C"/>
    <w:rsid w:val="00405D4D"/>
    <w:rsid w:val="00411BD1"/>
    <w:rsid w:val="00411F12"/>
    <w:rsid w:val="00431FFB"/>
    <w:rsid w:val="0043348C"/>
    <w:rsid w:val="00437E91"/>
    <w:rsid w:val="004413E4"/>
    <w:rsid w:val="00441BD7"/>
    <w:rsid w:val="00457030"/>
    <w:rsid w:val="00471AD3"/>
    <w:rsid w:val="00480A14"/>
    <w:rsid w:val="00485272"/>
    <w:rsid w:val="004C1EEB"/>
    <w:rsid w:val="004C47A9"/>
    <w:rsid w:val="004E7C50"/>
    <w:rsid w:val="004F1197"/>
    <w:rsid w:val="00510ACC"/>
    <w:rsid w:val="00510B97"/>
    <w:rsid w:val="0051301F"/>
    <w:rsid w:val="00517714"/>
    <w:rsid w:val="0053543F"/>
    <w:rsid w:val="005A7D3A"/>
    <w:rsid w:val="005B41E4"/>
    <w:rsid w:val="005B5053"/>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565E"/>
    <w:rsid w:val="00677616"/>
    <w:rsid w:val="006A7311"/>
    <w:rsid w:val="006B2B5E"/>
    <w:rsid w:val="006C0D88"/>
    <w:rsid w:val="006C5D5A"/>
    <w:rsid w:val="006E2005"/>
    <w:rsid w:val="006F71AF"/>
    <w:rsid w:val="00700C01"/>
    <w:rsid w:val="007027F7"/>
    <w:rsid w:val="00704C1A"/>
    <w:rsid w:val="007058EE"/>
    <w:rsid w:val="00713973"/>
    <w:rsid w:val="00721E32"/>
    <w:rsid w:val="007269C6"/>
    <w:rsid w:val="0072729E"/>
    <w:rsid w:val="007277EA"/>
    <w:rsid w:val="00730AA4"/>
    <w:rsid w:val="007341C8"/>
    <w:rsid w:val="0074175C"/>
    <w:rsid w:val="00743EB1"/>
    <w:rsid w:val="00760318"/>
    <w:rsid w:val="00765CB9"/>
    <w:rsid w:val="00774F52"/>
    <w:rsid w:val="00793DB2"/>
    <w:rsid w:val="007A1E4C"/>
    <w:rsid w:val="007B4C0B"/>
    <w:rsid w:val="007B5587"/>
    <w:rsid w:val="007C3628"/>
    <w:rsid w:val="007C49D3"/>
    <w:rsid w:val="007D1DB5"/>
    <w:rsid w:val="007E5609"/>
    <w:rsid w:val="007F4FB6"/>
    <w:rsid w:val="00806B90"/>
    <w:rsid w:val="0082465F"/>
    <w:rsid w:val="008415E3"/>
    <w:rsid w:val="00854EEA"/>
    <w:rsid w:val="00857E66"/>
    <w:rsid w:val="0088592E"/>
    <w:rsid w:val="00890C38"/>
    <w:rsid w:val="00891BA4"/>
    <w:rsid w:val="008C423C"/>
    <w:rsid w:val="008D1184"/>
    <w:rsid w:val="008D2789"/>
    <w:rsid w:val="009007BA"/>
    <w:rsid w:val="00920373"/>
    <w:rsid w:val="00925679"/>
    <w:rsid w:val="00932BE1"/>
    <w:rsid w:val="009529CB"/>
    <w:rsid w:val="00952AA2"/>
    <w:rsid w:val="00970C1F"/>
    <w:rsid w:val="0097109E"/>
    <w:rsid w:val="00974C3B"/>
    <w:rsid w:val="0097755A"/>
    <w:rsid w:val="00977C0A"/>
    <w:rsid w:val="00980549"/>
    <w:rsid w:val="009837A4"/>
    <w:rsid w:val="009A00BC"/>
    <w:rsid w:val="009A75BD"/>
    <w:rsid w:val="009B23A9"/>
    <w:rsid w:val="009B47B9"/>
    <w:rsid w:val="009B59CD"/>
    <w:rsid w:val="009C2DDB"/>
    <w:rsid w:val="009F40C5"/>
    <w:rsid w:val="009F6B92"/>
    <w:rsid w:val="00A0518F"/>
    <w:rsid w:val="00A054A7"/>
    <w:rsid w:val="00A0566C"/>
    <w:rsid w:val="00A14605"/>
    <w:rsid w:val="00A24093"/>
    <w:rsid w:val="00A351C8"/>
    <w:rsid w:val="00A52B6B"/>
    <w:rsid w:val="00A54A49"/>
    <w:rsid w:val="00A568DE"/>
    <w:rsid w:val="00A7149E"/>
    <w:rsid w:val="00A72D34"/>
    <w:rsid w:val="00A74B01"/>
    <w:rsid w:val="00A764FB"/>
    <w:rsid w:val="00A80870"/>
    <w:rsid w:val="00A92055"/>
    <w:rsid w:val="00AB0485"/>
    <w:rsid w:val="00AB6D56"/>
    <w:rsid w:val="00AD5247"/>
    <w:rsid w:val="00AD7A5B"/>
    <w:rsid w:val="00B065F1"/>
    <w:rsid w:val="00B10447"/>
    <w:rsid w:val="00B12630"/>
    <w:rsid w:val="00B17801"/>
    <w:rsid w:val="00B70328"/>
    <w:rsid w:val="00B83217"/>
    <w:rsid w:val="00B860FF"/>
    <w:rsid w:val="00B8678D"/>
    <w:rsid w:val="00B91728"/>
    <w:rsid w:val="00BA0A9C"/>
    <w:rsid w:val="00BA1837"/>
    <w:rsid w:val="00BC22EA"/>
    <w:rsid w:val="00BC3BED"/>
    <w:rsid w:val="00BC73D2"/>
    <w:rsid w:val="00BD5BCD"/>
    <w:rsid w:val="00BE7303"/>
    <w:rsid w:val="00C006D6"/>
    <w:rsid w:val="00C250FE"/>
    <w:rsid w:val="00C26DCC"/>
    <w:rsid w:val="00C466AE"/>
    <w:rsid w:val="00C56433"/>
    <w:rsid w:val="00C7054F"/>
    <w:rsid w:val="00C73282"/>
    <w:rsid w:val="00C815E6"/>
    <w:rsid w:val="00C85650"/>
    <w:rsid w:val="00C9190C"/>
    <w:rsid w:val="00CA30B4"/>
    <w:rsid w:val="00CB0BF4"/>
    <w:rsid w:val="00CB2AB7"/>
    <w:rsid w:val="00CB2B14"/>
    <w:rsid w:val="00CB2DF3"/>
    <w:rsid w:val="00CB6795"/>
    <w:rsid w:val="00CC12C9"/>
    <w:rsid w:val="00CC4303"/>
    <w:rsid w:val="00CD56BE"/>
    <w:rsid w:val="00CE11EF"/>
    <w:rsid w:val="00CE2880"/>
    <w:rsid w:val="00CE4231"/>
    <w:rsid w:val="00CF46F2"/>
    <w:rsid w:val="00D11D88"/>
    <w:rsid w:val="00D15269"/>
    <w:rsid w:val="00D15831"/>
    <w:rsid w:val="00D253F8"/>
    <w:rsid w:val="00D34CBF"/>
    <w:rsid w:val="00D5334D"/>
    <w:rsid w:val="00D7172E"/>
    <w:rsid w:val="00D76D32"/>
    <w:rsid w:val="00D91DFB"/>
    <w:rsid w:val="00D956F8"/>
    <w:rsid w:val="00DA3181"/>
    <w:rsid w:val="00DA3F5F"/>
    <w:rsid w:val="00DB5ED9"/>
    <w:rsid w:val="00DB699C"/>
    <w:rsid w:val="00DB7340"/>
    <w:rsid w:val="00DD1C18"/>
    <w:rsid w:val="00DE22D8"/>
    <w:rsid w:val="00DF3929"/>
    <w:rsid w:val="00E22B78"/>
    <w:rsid w:val="00E30026"/>
    <w:rsid w:val="00E31A36"/>
    <w:rsid w:val="00E3479A"/>
    <w:rsid w:val="00E42C01"/>
    <w:rsid w:val="00E51CF2"/>
    <w:rsid w:val="00E5486F"/>
    <w:rsid w:val="00E70DB4"/>
    <w:rsid w:val="00E9309F"/>
    <w:rsid w:val="00E977F7"/>
    <w:rsid w:val="00EA306B"/>
    <w:rsid w:val="00EB4F6D"/>
    <w:rsid w:val="00EC3A80"/>
    <w:rsid w:val="00ED30FE"/>
    <w:rsid w:val="00EE2B5D"/>
    <w:rsid w:val="00EE651B"/>
    <w:rsid w:val="00EF4F84"/>
    <w:rsid w:val="00EF64CA"/>
    <w:rsid w:val="00F10440"/>
    <w:rsid w:val="00F13895"/>
    <w:rsid w:val="00F2002D"/>
    <w:rsid w:val="00F208C8"/>
    <w:rsid w:val="00F274D2"/>
    <w:rsid w:val="00F34081"/>
    <w:rsid w:val="00F47916"/>
    <w:rsid w:val="00F71816"/>
    <w:rsid w:val="00F72FDD"/>
    <w:rsid w:val="00F76E39"/>
    <w:rsid w:val="00F81A73"/>
    <w:rsid w:val="00F924CF"/>
    <w:rsid w:val="00F95566"/>
    <w:rsid w:val="00FA54F7"/>
    <w:rsid w:val="00FB5CBC"/>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 w:id="1844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AE1A6062-DE3C-4FC3-9F47-0D4159C3E237}">
  <ds:schemaRefs>
    <ds:schemaRef ds:uri="http://schemas.microsoft.com/office/2006/metadata/properties"/>
  </ds:schemaRefs>
</ds:datastoreItem>
</file>

<file path=customXml/itemProps4.xml><?xml version="1.0" encoding="utf-8"?>
<ds:datastoreItem xmlns:ds="http://schemas.openxmlformats.org/officeDocument/2006/customXml" ds:itemID="{5BEB031A-9BAC-46A0-8C36-A25A1CB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2022-02-23T08:03:00Z</cp:lastPrinted>
  <dcterms:created xsi:type="dcterms:W3CDTF">2022-03-16T07:33:00Z</dcterms:created>
  <dcterms:modified xsi:type="dcterms:W3CDTF">2022-03-16T07:33:00Z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