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AC" w:rsidRPr="000F01F5" w:rsidRDefault="006F57AC" w:rsidP="006F57AC">
      <w:pPr>
        <w:tabs>
          <w:tab w:val="left" w:pos="576"/>
          <w:tab w:val="left" w:pos="1296"/>
          <w:tab w:val="left" w:pos="6336"/>
        </w:tabs>
        <w:spacing w:line="360" w:lineRule="auto"/>
        <w:jc w:val="center"/>
        <w:rPr>
          <w:rFonts w:ascii="Arial" w:hAnsi="Arial" w:cs="Arial"/>
          <w:b/>
          <w:bCs/>
          <w:sz w:val="32"/>
          <w:szCs w:val="32"/>
        </w:rPr>
      </w:pPr>
      <w:r w:rsidRPr="000F01F5">
        <w:rPr>
          <w:rFonts w:ascii="Arial" w:hAnsi="Arial" w:cs="Arial"/>
          <w:b/>
          <w:bCs/>
          <w:sz w:val="32"/>
          <w:szCs w:val="32"/>
        </w:rPr>
        <w:t>NATIONAL ASSEMBLY</w:t>
      </w:r>
    </w:p>
    <w:p w:rsidR="006F57AC" w:rsidRDefault="006F57AC" w:rsidP="006F57AC">
      <w:pPr>
        <w:jc w:val="both"/>
        <w:rPr>
          <w:rFonts w:ascii="Arial" w:hAnsi="Arial" w:cs="Arial"/>
          <w:b/>
          <w:bCs/>
          <w:color w:val="FF0000"/>
          <w:sz w:val="32"/>
          <w:szCs w:val="32"/>
          <w:u w:val="single"/>
        </w:rPr>
      </w:pPr>
    </w:p>
    <w:p w:rsidR="006F57AC" w:rsidRPr="000F01F5" w:rsidRDefault="006F57AC" w:rsidP="006F57AC">
      <w:pPr>
        <w:jc w:val="both"/>
        <w:rPr>
          <w:rFonts w:ascii="Arial" w:hAnsi="Arial" w:cs="Arial"/>
          <w:b/>
          <w:bCs/>
          <w:sz w:val="32"/>
          <w:szCs w:val="32"/>
          <w:u w:val="single"/>
        </w:rPr>
      </w:pPr>
      <w:bookmarkStart w:id="0" w:name="_GoBack"/>
      <w:bookmarkEnd w:id="0"/>
      <w:r w:rsidRPr="000F01F5">
        <w:rPr>
          <w:rFonts w:ascii="Arial" w:hAnsi="Arial" w:cs="Arial"/>
          <w:b/>
          <w:bCs/>
          <w:sz w:val="32"/>
          <w:szCs w:val="32"/>
          <w:u w:val="single"/>
        </w:rPr>
        <w:t>QUESTION NO</w:t>
      </w:r>
      <w:r w:rsidRPr="000F01F5">
        <w:rPr>
          <w:rFonts w:ascii="Arial" w:hAnsi="Arial" w:cs="Arial"/>
          <w:b/>
          <w:bCs/>
          <w:color w:val="000000" w:themeColor="text1"/>
          <w:sz w:val="32"/>
          <w:szCs w:val="32"/>
          <w:u w:val="single"/>
        </w:rPr>
        <w:t xml:space="preserve">. 2010- </w:t>
      </w:r>
      <w:r w:rsidRPr="000F01F5">
        <w:rPr>
          <w:rFonts w:ascii="Arial" w:hAnsi="Arial" w:cs="Arial"/>
          <w:b/>
          <w:bCs/>
          <w:sz w:val="32"/>
          <w:szCs w:val="32"/>
          <w:u w:val="single"/>
        </w:rPr>
        <w:t>2022</w:t>
      </w:r>
    </w:p>
    <w:p w:rsidR="006F57AC" w:rsidRPr="000F01F5" w:rsidRDefault="006F57AC" w:rsidP="006F57AC">
      <w:pPr>
        <w:pStyle w:val="DACBODYTEXT"/>
        <w:spacing w:after="0" w:line="240" w:lineRule="auto"/>
        <w:ind w:left="0"/>
        <w:rPr>
          <w:rFonts w:cs="Arial"/>
          <w:b/>
          <w:sz w:val="32"/>
          <w:szCs w:val="32"/>
          <w:u w:val="single"/>
        </w:rPr>
      </w:pPr>
      <w:r w:rsidRPr="000F01F5">
        <w:rPr>
          <w:rFonts w:cs="Arial"/>
          <w:b/>
          <w:sz w:val="32"/>
          <w:szCs w:val="32"/>
          <w:u w:val="single"/>
        </w:rPr>
        <w:t>WRITTEN REPLY</w:t>
      </w:r>
    </w:p>
    <w:p w:rsidR="006F57AC" w:rsidRPr="000F01F5" w:rsidRDefault="006F57AC" w:rsidP="006F57AC">
      <w:pPr>
        <w:pStyle w:val="DACBODYTEXT"/>
        <w:spacing w:after="0" w:line="240" w:lineRule="auto"/>
        <w:ind w:left="0"/>
        <w:rPr>
          <w:rFonts w:cs="Arial"/>
          <w:b/>
          <w:sz w:val="32"/>
          <w:szCs w:val="32"/>
        </w:rPr>
      </w:pPr>
      <w:r w:rsidRPr="000F01F5">
        <w:rPr>
          <w:rFonts w:cs="Arial"/>
          <w:b/>
          <w:bCs/>
          <w:sz w:val="32"/>
          <w:szCs w:val="32"/>
        </w:rPr>
        <w:t>INTERNAL QUESTION PAPER NO.18–</w:t>
      </w:r>
      <w:r w:rsidRPr="000F01F5">
        <w:rPr>
          <w:rFonts w:cs="Arial"/>
          <w:b/>
          <w:sz w:val="32"/>
          <w:szCs w:val="32"/>
        </w:rPr>
        <w:t xml:space="preserve">2022, DATE OF PUBLICATION 20 MAY 2022 </w:t>
      </w:r>
    </w:p>
    <w:p w:rsidR="006F57AC" w:rsidRPr="00C176C2" w:rsidRDefault="006F57AC" w:rsidP="006F57AC">
      <w:pPr>
        <w:spacing w:before="100" w:beforeAutospacing="1"/>
        <w:ind w:left="720" w:hanging="720"/>
        <w:jc w:val="both"/>
        <w:outlineLvl w:val="0"/>
        <w:rPr>
          <w:rFonts w:ascii="Arial" w:eastAsia="Calibri" w:hAnsi="Arial" w:cs="Arial"/>
          <w:sz w:val="32"/>
          <w:szCs w:val="32"/>
          <w:lang w:val="en-GB"/>
        </w:rPr>
      </w:pPr>
      <w:r w:rsidRPr="000F01F5">
        <w:rPr>
          <w:rFonts w:ascii="Arial" w:hAnsi="Arial" w:cs="Arial"/>
          <w:b/>
          <w:bCs/>
          <w:sz w:val="32"/>
          <w:szCs w:val="32"/>
        </w:rPr>
        <w:t>“</w:t>
      </w:r>
      <w:r w:rsidRPr="000F01F5">
        <w:rPr>
          <w:rFonts w:ascii="Arial" w:eastAsia="Times New Roman" w:hAnsi="Arial" w:cs="Arial"/>
          <w:b/>
          <w:bCs/>
          <w:sz w:val="32"/>
          <w:szCs w:val="32"/>
          <w:lang w:eastAsia="en-GB"/>
        </w:rPr>
        <w:t xml:space="preserve">Mr. P G </w:t>
      </w:r>
      <w:proofErr w:type="spellStart"/>
      <w:r w:rsidRPr="000F01F5">
        <w:rPr>
          <w:rFonts w:ascii="Arial" w:eastAsia="Times New Roman" w:hAnsi="Arial" w:cs="Arial"/>
          <w:b/>
          <w:bCs/>
          <w:sz w:val="32"/>
          <w:szCs w:val="32"/>
          <w:lang w:eastAsia="en-GB"/>
        </w:rPr>
        <w:t>Moteka</w:t>
      </w:r>
      <w:proofErr w:type="spellEnd"/>
      <w:r w:rsidRPr="000F01F5">
        <w:rPr>
          <w:rFonts w:ascii="Arial" w:eastAsia="Times New Roman" w:hAnsi="Arial" w:cs="Arial"/>
          <w:b/>
          <w:bCs/>
          <w:sz w:val="32"/>
          <w:szCs w:val="32"/>
          <w:lang w:eastAsia="en-GB"/>
        </w:rPr>
        <w:t xml:space="preserve"> (</w:t>
      </w:r>
      <w:r w:rsidRPr="000F01F5">
        <w:rPr>
          <w:rFonts w:ascii="Arial" w:hAnsi="Arial" w:cs="Arial"/>
          <w:b/>
          <w:bCs/>
          <w:sz w:val="32"/>
          <w:szCs w:val="32"/>
        </w:rPr>
        <w:t>EFF</w:t>
      </w:r>
      <w:r w:rsidRPr="000F01F5">
        <w:rPr>
          <w:rFonts w:ascii="Arial" w:eastAsia="Times New Roman" w:hAnsi="Arial" w:cs="Arial"/>
          <w:b/>
          <w:bCs/>
          <w:sz w:val="32"/>
          <w:szCs w:val="32"/>
          <w:lang w:eastAsia="en-GB"/>
        </w:rPr>
        <w:t>) to ask the Minister of Sport, Arts and Culture</w:t>
      </w:r>
      <w:r w:rsidR="006B5569" w:rsidRPr="000F01F5">
        <w:rPr>
          <w:rFonts w:ascii="Arial" w:eastAsia="Times New Roman" w:hAnsi="Arial" w:cs="Arial"/>
          <w:b/>
          <w:bCs/>
          <w:sz w:val="32"/>
          <w:szCs w:val="32"/>
          <w:lang w:eastAsia="en-GB"/>
        </w:rPr>
        <w:fldChar w:fldCharType="begin"/>
      </w:r>
      <w:r w:rsidRPr="000F01F5">
        <w:rPr>
          <w:rFonts w:ascii="Arial" w:hAnsi="Arial" w:cs="Arial"/>
          <w:sz w:val="32"/>
          <w:szCs w:val="32"/>
        </w:rPr>
        <w:instrText xml:space="preserve"> XE "</w:instrText>
      </w:r>
      <w:r w:rsidRPr="000F01F5">
        <w:rPr>
          <w:rFonts w:ascii="Arial" w:hAnsi="Arial" w:cs="Arial"/>
          <w:b/>
          <w:sz w:val="32"/>
          <w:szCs w:val="32"/>
        </w:rPr>
        <w:instrText>Sport, Arts and Culture</w:instrText>
      </w:r>
      <w:r w:rsidRPr="000F01F5">
        <w:rPr>
          <w:rFonts w:ascii="Arial" w:hAnsi="Arial" w:cs="Arial"/>
          <w:sz w:val="32"/>
          <w:szCs w:val="32"/>
        </w:rPr>
        <w:instrText xml:space="preserve">" </w:instrText>
      </w:r>
      <w:r w:rsidR="006B5569" w:rsidRPr="000F01F5">
        <w:rPr>
          <w:rFonts w:ascii="Arial" w:eastAsia="Times New Roman" w:hAnsi="Arial" w:cs="Arial"/>
          <w:b/>
          <w:bCs/>
          <w:sz w:val="32"/>
          <w:szCs w:val="32"/>
          <w:lang w:eastAsia="en-GB"/>
        </w:rPr>
        <w:fldChar w:fldCharType="end"/>
      </w:r>
      <w:r w:rsidRPr="000F01F5">
        <w:rPr>
          <w:rFonts w:ascii="Arial" w:eastAsia="Calibri" w:hAnsi="Arial" w:cs="Arial"/>
          <w:sz w:val="32"/>
          <w:szCs w:val="32"/>
          <w:lang w:val="en-GB"/>
        </w:rPr>
        <w:t>:</w:t>
      </w:r>
    </w:p>
    <w:p w:rsidR="006F57AC" w:rsidRPr="000F01F5" w:rsidRDefault="006F57AC" w:rsidP="006F57AC">
      <w:pPr>
        <w:spacing w:before="100" w:beforeAutospacing="1" w:after="100" w:afterAutospacing="1" w:line="276" w:lineRule="auto"/>
        <w:jc w:val="both"/>
        <w:outlineLvl w:val="0"/>
        <w:rPr>
          <w:rFonts w:ascii="Arial" w:eastAsia="Calibri" w:hAnsi="Arial" w:cs="Arial"/>
          <w:sz w:val="32"/>
          <w:szCs w:val="32"/>
          <w:lang w:val="en-GB" w:eastAsia="en-GB"/>
        </w:rPr>
      </w:pPr>
      <w:r w:rsidRPr="000F01F5">
        <w:rPr>
          <w:rFonts w:ascii="Arial" w:eastAsia="Calibri" w:hAnsi="Arial" w:cs="Arial"/>
          <w:sz w:val="32"/>
          <w:szCs w:val="32"/>
          <w:lang w:val="en-GB" w:eastAsia="en-GB"/>
        </w:rPr>
        <w:t xml:space="preserve">Whether his department has any plans to honour King Sekhukhune and have a place and/or a monument in his honour; if not, </w:t>
      </w:r>
      <w:r w:rsidRPr="000F01F5">
        <w:rPr>
          <w:rFonts w:ascii="Arial" w:eastAsia="Times New Roman" w:hAnsi="Arial" w:cs="Arial"/>
          <w:sz w:val="32"/>
          <w:szCs w:val="32"/>
        </w:rPr>
        <w:t>why</w:t>
      </w:r>
      <w:r w:rsidRPr="000F01F5">
        <w:rPr>
          <w:rFonts w:ascii="Arial" w:eastAsia="Calibri" w:hAnsi="Arial" w:cs="Arial"/>
          <w:sz w:val="32"/>
          <w:szCs w:val="32"/>
          <w:lang w:val="en-GB" w:eastAsia="en-GB"/>
        </w:rPr>
        <w:t xml:space="preserve"> not; if so, what are the relevant details?</w:t>
      </w:r>
      <w:r w:rsidRPr="000F01F5">
        <w:rPr>
          <w:rFonts w:ascii="Arial" w:eastAsia="Calibri" w:hAnsi="Arial" w:cs="Arial"/>
          <w:b/>
          <w:sz w:val="32"/>
          <w:szCs w:val="32"/>
          <w:lang w:val="en-GB" w:eastAsia="en-GB"/>
        </w:rPr>
        <w:tab/>
      </w:r>
    </w:p>
    <w:p w:rsidR="006F57AC" w:rsidRPr="000F01F5" w:rsidRDefault="006F57AC" w:rsidP="006F57AC">
      <w:pPr>
        <w:spacing w:before="100" w:beforeAutospacing="1" w:after="100" w:afterAutospacing="1"/>
        <w:ind w:left="720" w:hanging="720"/>
        <w:jc w:val="both"/>
        <w:outlineLvl w:val="0"/>
        <w:rPr>
          <w:rFonts w:ascii="Arial" w:hAnsi="Arial" w:cs="Arial"/>
          <w:b/>
          <w:sz w:val="32"/>
          <w:szCs w:val="32"/>
        </w:rPr>
      </w:pPr>
      <w:r w:rsidRPr="000F01F5">
        <w:rPr>
          <w:rFonts w:ascii="Arial" w:hAnsi="Arial" w:cs="Arial"/>
          <w:b/>
          <w:sz w:val="32"/>
          <w:szCs w:val="32"/>
        </w:rPr>
        <w:t>Reply</w:t>
      </w:r>
    </w:p>
    <w:p w:rsidR="006F57AC" w:rsidRPr="000F01F5" w:rsidRDefault="006F57AC" w:rsidP="006F57AC">
      <w:pPr>
        <w:pStyle w:val="DACBODYTEXT"/>
        <w:spacing w:after="0"/>
        <w:ind w:left="0"/>
        <w:jc w:val="both"/>
        <w:rPr>
          <w:rFonts w:eastAsia="Calibri" w:cs="Arial"/>
          <w:sz w:val="32"/>
          <w:szCs w:val="32"/>
          <w:lang w:val="en-US"/>
        </w:rPr>
      </w:pPr>
      <w:r w:rsidRPr="000F01F5">
        <w:rPr>
          <w:rFonts w:cs="Arial"/>
          <w:bCs/>
          <w:sz w:val="32"/>
          <w:szCs w:val="32"/>
          <w:lang w:val="en-GB"/>
        </w:rPr>
        <w:t xml:space="preserve">The Department of Sport, Arts and Culture is the lead Department in the implementation of the Cabinet approved Resistance and Liberation Heritage Route (RLHR) Project. Each province submitted three (3) sites for development under the RLHR. One of Limpopo’s three (3) RLHR sites submitted in this regard is the </w:t>
      </w:r>
      <w:proofErr w:type="spellStart"/>
      <w:r w:rsidRPr="000F01F5">
        <w:rPr>
          <w:rFonts w:cs="Arial"/>
          <w:bCs/>
          <w:sz w:val="32"/>
          <w:szCs w:val="32"/>
          <w:lang w:val="en-GB"/>
        </w:rPr>
        <w:t>Tjate</w:t>
      </w:r>
      <w:proofErr w:type="spellEnd"/>
      <w:r w:rsidRPr="000F01F5">
        <w:rPr>
          <w:rFonts w:cs="Arial"/>
          <w:bCs/>
          <w:sz w:val="32"/>
          <w:szCs w:val="32"/>
          <w:lang w:val="en-GB"/>
        </w:rPr>
        <w:t xml:space="preserve"> Heritage Site. The </w:t>
      </w:r>
      <w:r w:rsidRPr="000F01F5">
        <w:rPr>
          <w:rFonts w:eastAsia="Calibri" w:cs="Arial"/>
          <w:sz w:val="32"/>
          <w:szCs w:val="32"/>
          <w:lang w:val="en-US"/>
        </w:rPr>
        <w:t xml:space="preserve">significance of the </w:t>
      </w:r>
      <w:proofErr w:type="spellStart"/>
      <w:r w:rsidRPr="000F01F5">
        <w:rPr>
          <w:rFonts w:cs="Arial"/>
          <w:bCs/>
          <w:sz w:val="32"/>
          <w:szCs w:val="32"/>
          <w:lang w:val="en-GB"/>
        </w:rPr>
        <w:t>Tjate</w:t>
      </w:r>
      <w:proofErr w:type="spellEnd"/>
      <w:r w:rsidRPr="000F01F5">
        <w:rPr>
          <w:rFonts w:cs="Arial"/>
          <w:bCs/>
          <w:sz w:val="32"/>
          <w:szCs w:val="32"/>
          <w:lang w:val="en-GB"/>
        </w:rPr>
        <w:t xml:space="preserve"> Heritage Site is</w:t>
      </w:r>
      <w:r w:rsidRPr="000F01F5">
        <w:rPr>
          <w:rFonts w:eastAsia="Calibri" w:cs="Arial"/>
          <w:sz w:val="32"/>
          <w:szCs w:val="32"/>
          <w:lang w:val="en-US"/>
        </w:rPr>
        <w:t xml:space="preserve"> the battlefield site representing the victory and unity of the </w:t>
      </w:r>
      <w:proofErr w:type="spellStart"/>
      <w:r w:rsidRPr="000F01F5">
        <w:rPr>
          <w:rFonts w:eastAsia="Calibri" w:cs="Arial"/>
          <w:sz w:val="32"/>
          <w:szCs w:val="32"/>
          <w:lang w:val="en-US"/>
        </w:rPr>
        <w:t>Bapedi</w:t>
      </w:r>
      <w:proofErr w:type="spellEnd"/>
      <w:r w:rsidRPr="000F01F5">
        <w:rPr>
          <w:rFonts w:eastAsia="Calibri" w:cs="Arial"/>
          <w:sz w:val="32"/>
          <w:szCs w:val="32"/>
          <w:lang w:val="en-US"/>
        </w:rPr>
        <w:t xml:space="preserve"> people under the leadership of the King Sekhukhune, against the imperialistic and colonial forces of both the Boers and the British in the nineteenth century.</w:t>
      </w:r>
    </w:p>
    <w:p w:rsidR="006F57AC" w:rsidRPr="000F01F5" w:rsidRDefault="006F57AC" w:rsidP="006F57AC">
      <w:pPr>
        <w:pStyle w:val="DACBODYTEXT"/>
        <w:spacing w:after="0"/>
        <w:ind w:left="0"/>
        <w:jc w:val="both"/>
        <w:rPr>
          <w:rFonts w:eastAsia="Calibri" w:cs="Arial"/>
          <w:sz w:val="32"/>
          <w:szCs w:val="32"/>
          <w:lang w:val="en-US"/>
        </w:rPr>
      </w:pPr>
    </w:p>
    <w:p w:rsidR="006F57AC" w:rsidRPr="000F01F5" w:rsidRDefault="006F57AC" w:rsidP="006F57AC">
      <w:pPr>
        <w:pStyle w:val="DACBODYTEXT"/>
        <w:spacing w:after="0"/>
        <w:ind w:left="0"/>
        <w:jc w:val="both"/>
        <w:rPr>
          <w:rFonts w:eastAsia="Calibri" w:cs="Arial"/>
          <w:sz w:val="32"/>
          <w:szCs w:val="32"/>
          <w:lang w:val="en-US"/>
        </w:rPr>
      </w:pPr>
      <w:r w:rsidRPr="000F01F5">
        <w:rPr>
          <w:rFonts w:eastAsia="Calibri" w:cs="Arial"/>
          <w:sz w:val="32"/>
          <w:szCs w:val="32"/>
          <w:lang w:val="en-US"/>
        </w:rPr>
        <w:t xml:space="preserve">As part of the RLHR, the </w:t>
      </w:r>
      <w:proofErr w:type="spellStart"/>
      <w:r w:rsidRPr="000F01F5">
        <w:rPr>
          <w:rFonts w:eastAsia="Calibri" w:cs="Arial"/>
          <w:sz w:val="32"/>
          <w:szCs w:val="32"/>
          <w:lang w:val="en-US"/>
        </w:rPr>
        <w:t>Tjate</w:t>
      </w:r>
      <w:proofErr w:type="spellEnd"/>
      <w:r w:rsidRPr="000F01F5">
        <w:rPr>
          <w:rFonts w:eastAsia="Calibri" w:cs="Arial"/>
          <w:sz w:val="32"/>
          <w:szCs w:val="32"/>
          <w:lang w:val="en-US"/>
        </w:rPr>
        <w:t xml:space="preserve"> Heritage Site is one of the many sites currently being subjected to a Feasibility Studies to investigate how to commemorate the legacy of the site in a befitting manner. It is to be noted that already the Provincial </w:t>
      </w:r>
      <w:r w:rsidRPr="000F01F5">
        <w:rPr>
          <w:rFonts w:eastAsia="Calibri" w:cs="Arial"/>
          <w:sz w:val="32"/>
          <w:szCs w:val="32"/>
          <w:lang w:val="en-US"/>
        </w:rPr>
        <w:lastRenderedPageBreak/>
        <w:t xml:space="preserve">Government has installed a statue of King Sekhukhune at </w:t>
      </w:r>
      <w:proofErr w:type="spellStart"/>
      <w:r w:rsidRPr="000F01F5">
        <w:rPr>
          <w:rFonts w:eastAsia="Calibri" w:cs="Arial"/>
          <w:sz w:val="32"/>
          <w:szCs w:val="32"/>
          <w:lang w:val="en-US"/>
        </w:rPr>
        <w:t>Tjate</w:t>
      </w:r>
      <w:proofErr w:type="spellEnd"/>
      <w:r w:rsidRPr="000F01F5">
        <w:rPr>
          <w:rFonts w:eastAsia="Calibri" w:cs="Arial"/>
          <w:sz w:val="32"/>
          <w:szCs w:val="32"/>
          <w:lang w:val="en-US"/>
        </w:rPr>
        <w:t xml:space="preserve"> as well of other four (4) kings in other areas in Limpopo province.</w:t>
      </w:r>
    </w:p>
    <w:p w:rsidR="006F57AC" w:rsidRPr="000F01F5" w:rsidRDefault="006F57AC" w:rsidP="006F57AC">
      <w:pPr>
        <w:pStyle w:val="DACBODYTEXT"/>
        <w:spacing w:after="0"/>
        <w:ind w:left="0"/>
        <w:jc w:val="both"/>
        <w:rPr>
          <w:rFonts w:eastAsia="Calibri" w:cs="Arial"/>
          <w:sz w:val="32"/>
          <w:szCs w:val="32"/>
          <w:lang w:val="en-US"/>
        </w:rPr>
      </w:pPr>
    </w:p>
    <w:p w:rsidR="006F57AC" w:rsidRPr="000F01F5" w:rsidRDefault="006F57AC" w:rsidP="006F57AC">
      <w:pPr>
        <w:pStyle w:val="DACBODYTEXT"/>
        <w:spacing w:after="0"/>
        <w:ind w:left="0"/>
        <w:jc w:val="both"/>
        <w:rPr>
          <w:rFonts w:cs="Arial"/>
          <w:bCs/>
          <w:sz w:val="32"/>
          <w:szCs w:val="32"/>
          <w:lang w:val="en-GB"/>
        </w:rPr>
      </w:pPr>
      <w:r w:rsidRPr="000F01F5">
        <w:rPr>
          <w:rFonts w:eastAsia="Calibri" w:cs="Arial"/>
          <w:sz w:val="32"/>
          <w:szCs w:val="32"/>
          <w:lang w:val="en-US"/>
        </w:rPr>
        <w:t xml:space="preserve">The Feasibility Study for the </w:t>
      </w:r>
      <w:proofErr w:type="spellStart"/>
      <w:r w:rsidRPr="000F01F5">
        <w:rPr>
          <w:rFonts w:eastAsia="Calibri" w:cs="Arial"/>
          <w:sz w:val="32"/>
          <w:szCs w:val="32"/>
          <w:lang w:val="en-US"/>
        </w:rPr>
        <w:t>Tjate</w:t>
      </w:r>
      <w:proofErr w:type="spellEnd"/>
      <w:r w:rsidRPr="000F01F5">
        <w:rPr>
          <w:rFonts w:eastAsia="Calibri" w:cs="Arial"/>
          <w:sz w:val="32"/>
          <w:szCs w:val="32"/>
          <w:lang w:val="en-US"/>
        </w:rPr>
        <w:t xml:space="preserve"> Heritage Site, which is scheduled for conclusion in </w:t>
      </w:r>
      <w:proofErr w:type="gramStart"/>
      <w:r w:rsidRPr="000F01F5">
        <w:rPr>
          <w:rFonts w:eastAsia="Calibri" w:cs="Arial"/>
          <w:sz w:val="32"/>
          <w:szCs w:val="32"/>
          <w:lang w:val="en-US"/>
        </w:rPr>
        <w:t>2022/ 2023</w:t>
      </w:r>
      <w:proofErr w:type="gramEnd"/>
      <w:r w:rsidRPr="000F01F5">
        <w:rPr>
          <w:rFonts w:eastAsia="Calibri" w:cs="Arial"/>
          <w:sz w:val="32"/>
          <w:szCs w:val="32"/>
          <w:lang w:val="en-US"/>
        </w:rPr>
        <w:t xml:space="preserve"> will recommend befitting projects in honor of King Sekhukhune. Furthermore, the Department is engaging with its entity, South African Heritage Resources Agency (SAHRA) to conduct an audit of all the Great Palaces and commence on the process of grading and declaring these Places as National Heritage Sites, which will include King Sekhukhune’s Great Place. </w:t>
      </w:r>
    </w:p>
    <w:p w:rsidR="006A33F5" w:rsidRDefault="009620CB"/>
    <w:sectPr w:rsidR="006A33F5" w:rsidSect="006B5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F57AC"/>
    <w:rsid w:val="006B5569"/>
    <w:rsid w:val="006F57AC"/>
    <w:rsid w:val="009620CB"/>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AC"/>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F57AC"/>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2022-06-17T09:59:00Z</dcterms:created>
  <dcterms:modified xsi:type="dcterms:W3CDTF">2022-06-17T09:59:00Z</dcterms:modified>
</cp:coreProperties>
</file>