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07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072AA2" w:rsidRDefault="00B275E8" w:rsidP="004100F2">
      <w:pPr>
        <w:spacing w:after="0" w:line="360" w:lineRule="auto"/>
        <w:jc w:val="center"/>
        <w:rPr>
          <w:rFonts w:ascii="Arial" w:hAnsi="Arial" w:cs="Arial"/>
          <w:b/>
        </w:rPr>
      </w:pPr>
      <w:r w:rsidRPr="00072AA2">
        <w:rPr>
          <w:rFonts w:ascii="Arial" w:hAnsi="Arial" w:cs="Arial"/>
          <w:b/>
        </w:rPr>
        <w:t>NATIONAL</w:t>
      </w:r>
      <w:r w:rsidR="0074150D" w:rsidRPr="00072AA2">
        <w:rPr>
          <w:rFonts w:ascii="Arial" w:hAnsi="Arial" w:cs="Arial"/>
          <w:b/>
        </w:rPr>
        <w:t xml:space="preserve"> ASSEMBLY</w:t>
      </w:r>
    </w:p>
    <w:p w:rsidR="002A7105" w:rsidRDefault="0099546F" w:rsidP="004100F2">
      <w:pPr>
        <w:spacing w:after="0" w:line="360" w:lineRule="auto"/>
        <w:jc w:val="center"/>
        <w:rPr>
          <w:rFonts w:ascii="Arial" w:hAnsi="Arial" w:cs="Arial"/>
          <w:b/>
        </w:rPr>
      </w:pPr>
      <w:r w:rsidRPr="00072AA2">
        <w:rPr>
          <w:rFonts w:ascii="Arial" w:hAnsi="Arial" w:cs="Arial"/>
          <w:b/>
        </w:rPr>
        <w:t>QUESTION</w:t>
      </w:r>
      <w:r w:rsidR="003D2FE9" w:rsidRPr="00072AA2">
        <w:rPr>
          <w:rFonts w:ascii="Arial" w:hAnsi="Arial" w:cs="Arial"/>
          <w:b/>
        </w:rPr>
        <w:t xml:space="preserve"> </w:t>
      </w:r>
      <w:r w:rsidRPr="00072AA2">
        <w:rPr>
          <w:rFonts w:ascii="Arial" w:hAnsi="Arial" w:cs="Arial"/>
          <w:b/>
        </w:rPr>
        <w:t xml:space="preserve">FOR </w:t>
      </w:r>
      <w:r w:rsidR="0074150D" w:rsidRPr="00072AA2">
        <w:rPr>
          <w:rFonts w:ascii="Arial" w:hAnsi="Arial" w:cs="Arial"/>
          <w:b/>
        </w:rPr>
        <w:t>WRITTEN</w:t>
      </w:r>
      <w:r w:rsidR="002F2186" w:rsidRPr="00072AA2">
        <w:rPr>
          <w:rFonts w:ascii="Arial" w:hAnsi="Arial" w:cs="Arial"/>
          <w:b/>
        </w:rPr>
        <w:t xml:space="preserve"> </w:t>
      </w:r>
      <w:r w:rsidRPr="00072AA2">
        <w:rPr>
          <w:rFonts w:ascii="Arial" w:hAnsi="Arial" w:cs="Arial"/>
          <w:b/>
        </w:rPr>
        <w:t>REPLY</w:t>
      </w:r>
    </w:p>
    <w:p w:rsidR="00A02991" w:rsidRDefault="00A02991" w:rsidP="00A029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PARLIAMENT: FRIDAY, 9 JUNE 2023</w:t>
      </w:r>
    </w:p>
    <w:p w:rsidR="004100F2" w:rsidRPr="00072AA2" w:rsidRDefault="004100F2" w:rsidP="004100F2">
      <w:pPr>
        <w:spacing w:after="0" w:line="360" w:lineRule="auto"/>
        <w:jc w:val="center"/>
        <w:rPr>
          <w:rFonts w:ascii="Arial" w:hAnsi="Arial" w:cs="Arial"/>
          <w:b/>
        </w:rPr>
      </w:pPr>
    </w:p>
    <w:p w:rsidR="002200B8" w:rsidRPr="00072AA2" w:rsidRDefault="002200B8" w:rsidP="004100F2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color w:val="000000"/>
          <w:lang w:val="en-GB"/>
        </w:rPr>
      </w:pPr>
      <w:r w:rsidRPr="00072AA2">
        <w:rPr>
          <w:rFonts w:ascii="Arial" w:eastAsia="Calibri" w:hAnsi="Arial" w:cs="Arial"/>
          <w:b/>
          <w:color w:val="000000"/>
          <w:lang w:val="en-GB"/>
        </w:rPr>
        <w:t>“2009.</w:t>
      </w:r>
      <w:r w:rsidRPr="00072AA2">
        <w:rPr>
          <w:rFonts w:ascii="Arial" w:eastAsia="Calibri" w:hAnsi="Arial" w:cs="Arial"/>
          <w:b/>
          <w:color w:val="000000"/>
          <w:lang w:val="en-GB"/>
        </w:rPr>
        <w:tab/>
        <w:t>Mr D F Mthenjane</w:t>
      </w:r>
      <w:r w:rsidRPr="00072AA2">
        <w:rPr>
          <w:rFonts w:ascii="Arial" w:eastAsia="Calibri" w:hAnsi="Arial" w:cs="Arial"/>
          <w:b/>
          <w:color w:val="000000"/>
          <w:lang w:val="en-US"/>
        </w:rPr>
        <w:t xml:space="preserve"> </w:t>
      </w:r>
      <w:r w:rsidRPr="00072AA2">
        <w:rPr>
          <w:rFonts w:ascii="Arial" w:eastAsia="Calibri" w:hAnsi="Arial" w:cs="Arial"/>
          <w:b/>
          <w:color w:val="000000"/>
          <w:lang w:val="en-GB"/>
        </w:rPr>
        <w:t xml:space="preserve">(EFF) to </w:t>
      </w:r>
      <w:r w:rsidRPr="00072AA2">
        <w:rPr>
          <w:rFonts w:ascii="Arial" w:eastAsia="Calibri" w:hAnsi="Arial" w:cs="Arial"/>
          <w:b/>
        </w:rPr>
        <w:t>ask</w:t>
      </w:r>
      <w:r w:rsidRPr="00072AA2">
        <w:rPr>
          <w:rFonts w:ascii="Arial" w:eastAsia="Calibri" w:hAnsi="Arial" w:cs="Arial"/>
          <w:b/>
          <w:color w:val="000000"/>
          <w:lang w:val="en-GB"/>
        </w:rPr>
        <w:t xml:space="preserve"> the Minister of </w:t>
      </w:r>
      <w:r w:rsidRPr="00072AA2">
        <w:rPr>
          <w:rFonts w:ascii="Arial" w:eastAsia="Calibri" w:hAnsi="Arial" w:cs="Arial"/>
          <w:b/>
          <w:color w:val="000000"/>
          <w:lang w:val="en-US"/>
        </w:rPr>
        <w:t>Small Business Development:</w:t>
      </w:r>
    </w:p>
    <w:p w:rsidR="002200B8" w:rsidRPr="00072AA2" w:rsidRDefault="002200B8" w:rsidP="004100F2">
      <w:pPr>
        <w:spacing w:after="0" w:line="360" w:lineRule="auto"/>
        <w:ind w:left="720"/>
        <w:jc w:val="both"/>
        <w:rPr>
          <w:rFonts w:ascii="Arial" w:eastAsia="Calibri" w:hAnsi="Arial" w:cs="Arial"/>
          <w:b/>
          <w:lang w:val="en-GB"/>
        </w:rPr>
      </w:pPr>
      <w:r w:rsidRPr="00072AA2">
        <w:rPr>
          <w:rFonts w:ascii="Arial" w:eastAsia="Calibri" w:hAnsi="Arial" w:cs="Arial"/>
          <w:b/>
          <w:color w:val="000000"/>
          <w:lang w:val="en-GB"/>
        </w:rPr>
        <w:t>What total number of (a) spaza shops in the Republic were affected by the failure</w:t>
      </w:r>
      <w:r w:rsidRPr="00072AA2">
        <w:rPr>
          <w:rFonts w:ascii="Arial" w:eastAsia="Calibri" w:hAnsi="Arial" w:cs="Arial"/>
          <w:b/>
          <w:color w:val="000000"/>
        </w:rPr>
        <w:t xml:space="preserve"> of the Small Enterprise Finance Agency</w:t>
      </w:r>
      <w:r w:rsidRPr="00072AA2">
        <w:rPr>
          <w:rFonts w:ascii="Arial" w:eastAsia="Calibri" w:hAnsi="Arial" w:cs="Arial"/>
          <w:b/>
          <w:color w:val="000000"/>
          <w:lang w:val="en-GB"/>
        </w:rPr>
        <w:t xml:space="preserve"> to disburse the full R10 500 to its intended beneficiaries and (b) beneficiaries have received their payments to date in each province?”</w:t>
      </w:r>
      <w:r w:rsidRPr="00072AA2">
        <w:rPr>
          <w:rFonts w:ascii="Arial" w:eastAsia="Calibri" w:hAnsi="Arial" w:cs="Arial"/>
          <w:b/>
          <w:color w:val="000000"/>
          <w:lang w:val="en-US"/>
        </w:rPr>
        <w:t>NW2271E</w:t>
      </w:r>
    </w:p>
    <w:p w:rsidR="00556047" w:rsidRPr="00072AA2" w:rsidRDefault="00556047" w:rsidP="004100F2">
      <w:pPr>
        <w:spacing w:after="0" w:line="360" w:lineRule="auto"/>
        <w:ind w:left="720" w:hanging="720"/>
        <w:jc w:val="both"/>
        <w:rPr>
          <w:rFonts w:ascii="Arial" w:hAnsi="Arial" w:cs="Arial"/>
          <w:b/>
          <w:lang/>
        </w:rPr>
      </w:pPr>
    </w:p>
    <w:p w:rsidR="00A66D92" w:rsidRDefault="00A66D92" w:rsidP="003F4114">
      <w:pPr>
        <w:tabs>
          <w:tab w:val="left" w:pos="5704"/>
        </w:tabs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3F4114">
        <w:rPr>
          <w:rFonts w:ascii="Arial" w:hAnsi="Arial" w:cs="Arial"/>
          <w:b/>
          <w:bCs/>
          <w:lang/>
        </w:rPr>
        <w:tab/>
      </w:r>
    </w:p>
    <w:p w:rsidR="003F4114" w:rsidRDefault="003F4114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I have been advised as follows: </w:t>
      </w:r>
    </w:p>
    <w:p w:rsidR="003F4114" w:rsidRDefault="003F4114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072AA2" w:rsidRPr="009D3AB9" w:rsidRDefault="00072AA2" w:rsidP="00F51B6F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9D3AB9">
        <w:rPr>
          <w:rFonts w:ascii="Arial" w:hAnsi="Arial" w:cs="Arial"/>
        </w:rPr>
        <w:t>As at 30 April 2023, the total outstanding Spaza Shops Support Programme (SSSP) beneficiaries who had not yet received the additional R7</w:t>
      </w:r>
      <w:r w:rsidR="00A02991">
        <w:rPr>
          <w:rFonts w:ascii="Arial" w:hAnsi="Arial" w:cs="Arial"/>
        </w:rPr>
        <w:t xml:space="preserve"> </w:t>
      </w:r>
      <w:r w:rsidRPr="009D3AB9">
        <w:rPr>
          <w:rFonts w:ascii="Arial" w:hAnsi="Arial" w:cs="Arial"/>
        </w:rPr>
        <w:t xml:space="preserve">000 grant </w:t>
      </w:r>
      <w:r w:rsidR="00A02991">
        <w:rPr>
          <w:rFonts w:ascii="Arial" w:hAnsi="Arial" w:cs="Arial"/>
        </w:rPr>
        <w:t>were</w:t>
      </w:r>
      <w:r w:rsidRPr="009D3AB9">
        <w:rPr>
          <w:rFonts w:ascii="Arial" w:hAnsi="Arial" w:cs="Arial"/>
        </w:rPr>
        <w:t xml:space="preserve"> 504 nationally.  During the month of May 2023, 426 beneficiaries of SSSP received their additional R7</w:t>
      </w:r>
      <w:r w:rsidR="00A02991">
        <w:rPr>
          <w:rFonts w:ascii="Arial" w:hAnsi="Arial" w:cs="Arial"/>
        </w:rPr>
        <w:t xml:space="preserve"> </w:t>
      </w:r>
      <w:r w:rsidRPr="009D3AB9">
        <w:rPr>
          <w:rFonts w:ascii="Arial" w:hAnsi="Arial" w:cs="Arial"/>
        </w:rPr>
        <w:t>000, and this has been confirmed with Nedbank. This means that</w:t>
      </w:r>
      <w:r w:rsidR="00046F54">
        <w:rPr>
          <w:rFonts w:ascii="Arial" w:hAnsi="Arial" w:cs="Arial"/>
        </w:rPr>
        <w:t xml:space="preserve"> to</w:t>
      </w:r>
      <w:r w:rsidRPr="009D3AB9">
        <w:rPr>
          <w:rFonts w:ascii="Arial" w:hAnsi="Arial" w:cs="Arial"/>
        </w:rPr>
        <w:t xml:space="preserve"> </w:t>
      </w:r>
      <w:r w:rsidR="00A02991">
        <w:rPr>
          <w:rFonts w:ascii="Arial" w:hAnsi="Arial" w:cs="Arial"/>
        </w:rPr>
        <w:t xml:space="preserve">date </w:t>
      </w:r>
      <w:r w:rsidRPr="009D3AB9">
        <w:rPr>
          <w:rFonts w:ascii="Arial" w:hAnsi="Arial" w:cs="Arial"/>
        </w:rPr>
        <w:t>only 78 beneficiaries are yet to receive their additional R7000 grant</w:t>
      </w:r>
      <w:r w:rsidR="00A02991">
        <w:rPr>
          <w:rFonts w:ascii="Arial" w:hAnsi="Arial" w:cs="Arial"/>
        </w:rPr>
        <w:t xml:space="preserve"> and the process to disburse these funds is underway</w:t>
      </w:r>
      <w:r w:rsidRPr="009D3AB9">
        <w:rPr>
          <w:rFonts w:ascii="Arial" w:hAnsi="Arial" w:cs="Arial"/>
        </w:rPr>
        <w:t xml:space="preserve">. </w:t>
      </w:r>
    </w:p>
    <w:p w:rsidR="00072AA2" w:rsidRPr="00072AA2" w:rsidRDefault="00072AA2" w:rsidP="00072AA2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p w:rsidR="00072AA2" w:rsidRPr="00B17B24" w:rsidRDefault="00072AA2" w:rsidP="00B17B2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17B24">
        <w:rPr>
          <w:rFonts w:ascii="Arial" w:hAnsi="Arial" w:cs="Arial"/>
        </w:rPr>
        <w:t>Provincial breakdown of SSSP performance</w:t>
      </w:r>
    </w:p>
    <w:tbl>
      <w:tblPr>
        <w:tblW w:w="5000" w:type="pct"/>
        <w:tblLook w:val="04A0"/>
      </w:tblPr>
      <w:tblGrid>
        <w:gridCol w:w="1270"/>
        <w:gridCol w:w="1334"/>
        <w:gridCol w:w="1282"/>
        <w:gridCol w:w="1109"/>
        <w:gridCol w:w="1109"/>
        <w:gridCol w:w="1109"/>
        <w:gridCol w:w="1517"/>
        <w:gridCol w:w="1409"/>
      </w:tblGrid>
      <w:tr w:rsidR="0046579B" w:rsidRPr="0046579B" w:rsidTr="0046579B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Spaza Shop Support Programme Provincial budget allocation </w:t>
            </w:r>
          </w:p>
        </w:tc>
      </w:tr>
      <w:tr w:rsidR="00087B80" w:rsidRPr="0046579B" w:rsidTr="00087B80">
        <w:trPr>
          <w:trHeight w:val="93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46579B" w:rsidRPr="0046579B" w:rsidRDefault="0046579B" w:rsidP="0046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Province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46579B" w:rsidRPr="0046579B" w:rsidRDefault="0046579B" w:rsidP="0046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SPAZAS &amp; General Dealers Per Province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46579B" w:rsidRPr="0046579B" w:rsidRDefault="0046579B" w:rsidP="0046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Budget                Rands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46579B" w:rsidRPr="0046579B" w:rsidRDefault="0046579B" w:rsidP="0046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. of approvals R3500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46579B" w:rsidRPr="0046579B" w:rsidRDefault="0046579B" w:rsidP="0046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. of approvals R10500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46579B" w:rsidRPr="0046579B" w:rsidRDefault="0046579B" w:rsidP="0046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No. of top ups R7000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46579B" w:rsidRPr="0046579B" w:rsidRDefault="0046579B" w:rsidP="0046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Amount committed to Spazas (R)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46579B" w:rsidRPr="0046579B" w:rsidRDefault="0046579B" w:rsidP="0046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Budget balance      (R)</w:t>
            </w:r>
          </w:p>
        </w:tc>
      </w:tr>
      <w:tr w:rsidR="00087B80" w:rsidRPr="0046579B" w:rsidTr="00087B80">
        <w:trPr>
          <w:trHeight w:val="29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 EC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3 200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11 222 445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716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662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7 602 000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3 620 445 </w:t>
            </w:r>
          </w:p>
        </w:tc>
      </w:tr>
      <w:tr w:rsidR="00087B80" w:rsidRPr="0046579B" w:rsidTr="00087B80">
        <w:trPr>
          <w:trHeight w:val="29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 FS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1 430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5 015 030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205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3 370 500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1 644 530 </w:t>
            </w:r>
          </w:p>
        </w:tc>
      </w:tr>
      <w:tr w:rsidR="00087B80" w:rsidRPr="0046579B" w:rsidTr="00087B80">
        <w:trPr>
          <w:trHeight w:val="29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 GP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5 370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18 832 665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7 157 500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11 675 165 </w:t>
            </w:r>
          </w:p>
        </w:tc>
      </w:tr>
      <w:tr w:rsidR="00087B80" w:rsidRPr="0046579B" w:rsidTr="00087B80">
        <w:trPr>
          <w:trHeight w:val="29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 KZN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5 000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17 535 070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2473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269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2256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27 272 000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- 9 736 930 </w:t>
            </w:r>
          </w:p>
        </w:tc>
      </w:tr>
      <w:tr w:rsidR="00087B80" w:rsidRPr="0046579B" w:rsidTr="00087B80">
        <w:trPr>
          <w:trHeight w:val="29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 LP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2 690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9 433 868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1125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13 429 500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- 3 995 632 </w:t>
            </w:r>
          </w:p>
        </w:tc>
      </w:tr>
      <w:tr w:rsidR="00087B80" w:rsidRPr="0046579B" w:rsidTr="00087B80">
        <w:trPr>
          <w:trHeight w:val="29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 MP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2 110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7 399 800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157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2 534 000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4 865 800 </w:t>
            </w:r>
          </w:p>
        </w:tc>
      </w:tr>
      <w:tr w:rsidR="00087B80" w:rsidRPr="0046579B" w:rsidTr="00087B80">
        <w:trPr>
          <w:trHeight w:val="29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 NC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840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2 945 892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1 246 000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1 699 892 </w:t>
            </w:r>
          </w:p>
        </w:tc>
      </w:tr>
      <w:tr w:rsidR="00087B80" w:rsidRPr="0046579B" w:rsidTr="00087B80">
        <w:trPr>
          <w:trHeight w:val="29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 NW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1 840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6 452 906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1 298 500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5 154 406 </w:t>
            </w:r>
          </w:p>
        </w:tc>
      </w:tr>
      <w:tr w:rsidR="00087B80" w:rsidRPr="0046579B" w:rsidTr="00087B80">
        <w:trPr>
          <w:trHeight w:val="29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 WC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2 470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8 662 325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1 442 000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6579B" w:rsidRPr="0046579B" w:rsidRDefault="0046579B" w:rsidP="00996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7 220 325 </w:t>
            </w:r>
          </w:p>
        </w:tc>
      </w:tr>
      <w:tr w:rsidR="00087B80" w:rsidRPr="0046579B" w:rsidTr="00087B80">
        <w:trPr>
          <w:trHeight w:val="3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6579B" w:rsidRPr="0046579B" w:rsidRDefault="0046579B" w:rsidP="0046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6579B" w:rsidRPr="0046579B" w:rsidRDefault="009962DD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="0046579B"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24 950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87 500 000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5 440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1 120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4 936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65 352 000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6579B" w:rsidRPr="0046579B" w:rsidRDefault="0046579B" w:rsidP="00087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65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22 148 000</w:t>
            </w:r>
          </w:p>
        </w:tc>
      </w:tr>
    </w:tbl>
    <w:p w:rsidR="00072AA2" w:rsidRPr="00072AA2" w:rsidRDefault="00072AA2" w:rsidP="00072AA2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</w:rPr>
      </w:pPr>
    </w:p>
    <w:p w:rsidR="00072AA2" w:rsidRPr="00072AA2" w:rsidRDefault="00A02991" w:rsidP="0062607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should be noted that the</w:t>
      </w:r>
      <w:r w:rsidR="00072AA2" w:rsidRPr="00072AA2">
        <w:rPr>
          <w:rFonts w:ascii="Arial" w:hAnsi="Arial" w:cs="Arial"/>
        </w:rPr>
        <w:t xml:space="preserve"> 426 beneficiaries </w:t>
      </w:r>
      <w:r>
        <w:rPr>
          <w:rFonts w:ascii="Arial" w:hAnsi="Arial" w:cs="Arial"/>
        </w:rPr>
        <w:t xml:space="preserve">that received the additional R7 000 in May 2023 </w:t>
      </w:r>
      <w:r w:rsidR="00072AA2" w:rsidRPr="00072AA2">
        <w:rPr>
          <w:rFonts w:ascii="Arial" w:hAnsi="Arial" w:cs="Arial"/>
        </w:rPr>
        <w:t xml:space="preserve">are yet to be added to </w:t>
      </w:r>
      <w:r w:rsidR="00072AA2" w:rsidRPr="00072AA2">
        <w:rPr>
          <w:rFonts w:ascii="Arial" w:hAnsi="Arial" w:cs="Arial"/>
          <w:b/>
          <w:bCs/>
        </w:rPr>
        <w:t>sefa</w:t>
      </w:r>
      <w:r w:rsidR="00072AA2" w:rsidRPr="00072AA2">
        <w:rPr>
          <w:rFonts w:ascii="Arial" w:hAnsi="Arial" w:cs="Arial"/>
        </w:rPr>
        <w:t>LAS (</w:t>
      </w:r>
      <w:r w:rsidR="00072AA2" w:rsidRPr="00072AA2">
        <w:rPr>
          <w:rFonts w:ascii="Arial" w:hAnsi="Arial" w:cs="Arial"/>
          <w:b/>
          <w:bCs/>
        </w:rPr>
        <w:t>sefa</w:t>
      </w:r>
      <w:r w:rsidR="00072AA2" w:rsidRPr="00072AA2">
        <w:rPr>
          <w:rFonts w:ascii="Arial" w:hAnsi="Arial" w:cs="Arial"/>
        </w:rPr>
        <w:t>’s loan</w:t>
      </w:r>
      <w:r>
        <w:rPr>
          <w:rFonts w:ascii="Arial" w:hAnsi="Arial" w:cs="Arial"/>
        </w:rPr>
        <w:t xml:space="preserve"> electronic</w:t>
      </w:r>
      <w:r w:rsidR="00072AA2" w:rsidRPr="00072AA2">
        <w:rPr>
          <w:rFonts w:ascii="Arial" w:hAnsi="Arial" w:cs="Arial"/>
        </w:rPr>
        <w:t xml:space="preserve"> system). </w:t>
      </w:r>
      <w:r>
        <w:rPr>
          <w:rFonts w:ascii="Arial" w:hAnsi="Arial" w:cs="Arial"/>
        </w:rPr>
        <w:t>The system periodically runs updates and the updated information should be available by mid-June 2023.</w:t>
      </w:r>
    </w:p>
    <w:p w:rsidR="00072AA2" w:rsidRPr="0026497A" w:rsidRDefault="00072AA2" w:rsidP="0026497A">
      <w:pPr>
        <w:spacing w:after="0" w:line="360" w:lineRule="auto"/>
        <w:jc w:val="both"/>
        <w:rPr>
          <w:rFonts w:ascii="Arial" w:hAnsi="Arial" w:cs="Arial"/>
          <w:lang/>
        </w:rPr>
      </w:pPr>
    </w:p>
    <w:sectPr w:rsidR="00072AA2" w:rsidRPr="0026497A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17" w:rsidRDefault="00886217" w:rsidP="004508F4">
      <w:pPr>
        <w:spacing w:after="0" w:line="240" w:lineRule="auto"/>
      </w:pPr>
      <w:r>
        <w:separator/>
      </w:r>
    </w:p>
  </w:endnote>
  <w:endnote w:type="continuationSeparator" w:id="0">
    <w:p w:rsidR="00886217" w:rsidRDefault="00886217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F354C5" w:rsidRDefault="00591DE0">
        <w:pPr>
          <w:pStyle w:val="Footer"/>
          <w:jc w:val="right"/>
          <w:rPr>
            <w:sz w:val="18"/>
            <w:szCs w:val="18"/>
            <w:lang w:val="pt-PT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F354C5">
          <w:rPr>
            <w:sz w:val="18"/>
            <w:szCs w:val="18"/>
            <w:lang w:val="pt-PT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886217">
          <w:rPr>
            <w:noProof/>
            <w:sz w:val="18"/>
            <w:szCs w:val="18"/>
            <w:lang w:val="pt-PT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F354C5" w:rsidRDefault="00E41B2A">
    <w:pPr>
      <w:pStyle w:val="Footer"/>
      <w:rPr>
        <w:sz w:val="18"/>
        <w:szCs w:val="18"/>
        <w:lang w:val="pt-PT"/>
      </w:rPr>
    </w:pPr>
    <w:r w:rsidRPr="00F354C5">
      <w:rPr>
        <w:sz w:val="18"/>
        <w:szCs w:val="18"/>
        <w:lang w:val="pt-PT"/>
      </w:rPr>
      <w:t>DSBD response to NA</w:t>
    </w:r>
    <w:r w:rsidR="00A6530E" w:rsidRPr="00F354C5">
      <w:rPr>
        <w:sz w:val="18"/>
        <w:szCs w:val="18"/>
        <w:lang w:val="pt-PT"/>
      </w:rPr>
      <w:t xml:space="preserve"> W</w:t>
    </w:r>
    <w:r w:rsidR="0099459A" w:rsidRPr="00F354C5">
      <w:rPr>
        <w:sz w:val="18"/>
        <w:szCs w:val="18"/>
        <w:lang w:val="pt-PT"/>
      </w:rPr>
      <w:t>PQ</w:t>
    </w:r>
    <w:r w:rsidR="00F718A4" w:rsidRPr="00F354C5">
      <w:rPr>
        <w:sz w:val="18"/>
        <w:szCs w:val="18"/>
        <w:lang w:val="pt-PT"/>
      </w:rPr>
      <w:t>200</w:t>
    </w:r>
    <w:r w:rsidR="002200B8" w:rsidRPr="00F354C5">
      <w:rPr>
        <w:sz w:val="18"/>
        <w:szCs w:val="18"/>
        <w:lang w:val="pt-PT"/>
      </w:rPr>
      <w:t>9</w:t>
    </w:r>
    <w:r w:rsidR="0099459A" w:rsidRPr="00F354C5">
      <w:rPr>
        <w:sz w:val="18"/>
        <w:szCs w:val="18"/>
        <w:lang w:val="pt-PT"/>
      </w:rPr>
      <w:t xml:space="preserve"> </w:t>
    </w:r>
    <w:r w:rsidR="00713072" w:rsidRPr="00F354C5">
      <w:rPr>
        <w:sz w:val="18"/>
        <w:szCs w:val="18"/>
        <w:lang w:val="pt-PT"/>
      </w:rPr>
      <w:t>N</w:t>
    </w:r>
    <w:r w:rsidRPr="00F354C5">
      <w:rPr>
        <w:sz w:val="18"/>
        <w:szCs w:val="18"/>
        <w:lang w:val="pt-PT"/>
      </w:rPr>
      <w:t>W</w:t>
    </w:r>
    <w:r w:rsidR="002A7105" w:rsidRPr="00F354C5">
      <w:rPr>
        <w:sz w:val="18"/>
        <w:szCs w:val="18"/>
        <w:lang w:val="pt-PT"/>
      </w:rPr>
      <w:t>22</w:t>
    </w:r>
    <w:r w:rsidR="0010524F" w:rsidRPr="00F354C5">
      <w:rPr>
        <w:sz w:val="18"/>
        <w:szCs w:val="18"/>
        <w:lang w:val="pt-PT"/>
      </w:rPr>
      <w:t>7</w:t>
    </w:r>
    <w:r w:rsidR="002200B8" w:rsidRPr="00F354C5">
      <w:rPr>
        <w:sz w:val="18"/>
        <w:szCs w:val="18"/>
        <w:lang w:val="pt-PT"/>
      </w:rPr>
      <w:t>1</w:t>
    </w:r>
    <w:r w:rsidRPr="00F354C5">
      <w:rPr>
        <w:sz w:val="18"/>
        <w:szCs w:val="18"/>
        <w:lang w:val="pt-PT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17" w:rsidRDefault="00886217" w:rsidP="004508F4">
      <w:pPr>
        <w:spacing w:after="0" w:line="240" w:lineRule="auto"/>
      </w:pPr>
      <w:r>
        <w:separator/>
      </w:r>
    </w:p>
  </w:footnote>
  <w:footnote w:type="continuationSeparator" w:id="0">
    <w:p w:rsidR="00886217" w:rsidRDefault="00886217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82C"/>
    <w:multiLevelType w:val="hybridMultilevel"/>
    <w:tmpl w:val="5E5A1234"/>
    <w:lvl w:ilvl="0" w:tplc="BC4C4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10FAA"/>
    <w:rsid w:val="0002493F"/>
    <w:rsid w:val="0004184A"/>
    <w:rsid w:val="00046F54"/>
    <w:rsid w:val="00054F3F"/>
    <w:rsid w:val="000639C1"/>
    <w:rsid w:val="00071BF6"/>
    <w:rsid w:val="00072AA2"/>
    <w:rsid w:val="00087B80"/>
    <w:rsid w:val="000A0E43"/>
    <w:rsid w:val="000A55B9"/>
    <w:rsid w:val="000B7B4D"/>
    <w:rsid w:val="000C36B8"/>
    <w:rsid w:val="000C45EC"/>
    <w:rsid w:val="000D71D1"/>
    <w:rsid w:val="000E6AC2"/>
    <w:rsid w:val="000F5894"/>
    <w:rsid w:val="000F74D1"/>
    <w:rsid w:val="001012A8"/>
    <w:rsid w:val="0010524F"/>
    <w:rsid w:val="00115DE8"/>
    <w:rsid w:val="00120E2D"/>
    <w:rsid w:val="00146B99"/>
    <w:rsid w:val="00163405"/>
    <w:rsid w:val="001908C9"/>
    <w:rsid w:val="00191F31"/>
    <w:rsid w:val="001A2A32"/>
    <w:rsid w:val="001A43F2"/>
    <w:rsid w:val="001A7E04"/>
    <w:rsid w:val="001B35A6"/>
    <w:rsid w:val="001C710B"/>
    <w:rsid w:val="001D49B3"/>
    <w:rsid w:val="002200B8"/>
    <w:rsid w:val="00222393"/>
    <w:rsid w:val="00223D26"/>
    <w:rsid w:val="0023107E"/>
    <w:rsid w:val="0026497A"/>
    <w:rsid w:val="00266917"/>
    <w:rsid w:val="00271F00"/>
    <w:rsid w:val="00274B64"/>
    <w:rsid w:val="00290ECD"/>
    <w:rsid w:val="002A4B2C"/>
    <w:rsid w:val="002A7105"/>
    <w:rsid w:val="002E3764"/>
    <w:rsid w:val="002F2186"/>
    <w:rsid w:val="002F3C2E"/>
    <w:rsid w:val="002F49F7"/>
    <w:rsid w:val="00303CC0"/>
    <w:rsid w:val="003230E1"/>
    <w:rsid w:val="003534BB"/>
    <w:rsid w:val="003618C0"/>
    <w:rsid w:val="003652E8"/>
    <w:rsid w:val="00376A46"/>
    <w:rsid w:val="00396F42"/>
    <w:rsid w:val="003B3FEF"/>
    <w:rsid w:val="003D2FE9"/>
    <w:rsid w:val="003F4114"/>
    <w:rsid w:val="003F4C33"/>
    <w:rsid w:val="00401793"/>
    <w:rsid w:val="0040217B"/>
    <w:rsid w:val="004100F2"/>
    <w:rsid w:val="00420EF4"/>
    <w:rsid w:val="0042226E"/>
    <w:rsid w:val="00423CA1"/>
    <w:rsid w:val="004508F4"/>
    <w:rsid w:val="00463C3C"/>
    <w:rsid w:val="0046579B"/>
    <w:rsid w:val="00481700"/>
    <w:rsid w:val="004930EC"/>
    <w:rsid w:val="004A0361"/>
    <w:rsid w:val="004A6312"/>
    <w:rsid w:val="004E1DB8"/>
    <w:rsid w:val="004F045E"/>
    <w:rsid w:val="00516E25"/>
    <w:rsid w:val="00520FA5"/>
    <w:rsid w:val="00554184"/>
    <w:rsid w:val="00556047"/>
    <w:rsid w:val="005627BE"/>
    <w:rsid w:val="00575F66"/>
    <w:rsid w:val="005817F3"/>
    <w:rsid w:val="00591DE0"/>
    <w:rsid w:val="005F4E57"/>
    <w:rsid w:val="00601765"/>
    <w:rsid w:val="006045C7"/>
    <w:rsid w:val="00623AFF"/>
    <w:rsid w:val="00626071"/>
    <w:rsid w:val="00680594"/>
    <w:rsid w:val="00683424"/>
    <w:rsid w:val="00690CB6"/>
    <w:rsid w:val="00694D0C"/>
    <w:rsid w:val="006C09FE"/>
    <w:rsid w:val="006E266D"/>
    <w:rsid w:val="00703DDE"/>
    <w:rsid w:val="00713072"/>
    <w:rsid w:val="007218C0"/>
    <w:rsid w:val="0074150D"/>
    <w:rsid w:val="00773D83"/>
    <w:rsid w:val="00783DF4"/>
    <w:rsid w:val="007B7D48"/>
    <w:rsid w:val="007F5AA4"/>
    <w:rsid w:val="007F6A17"/>
    <w:rsid w:val="007F768E"/>
    <w:rsid w:val="00807957"/>
    <w:rsid w:val="00840434"/>
    <w:rsid w:val="008541E1"/>
    <w:rsid w:val="00856001"/>
    <w:rsid w:val="00866D09"/>
    <w:rsid w:val="008743E1"/>
    <w:rsid w:val="00884615"/>
    <w:rsid w:val="00886217"/>
    <w:rsid w:val="008A1C18"/>
    <w:rsid w:val="008B467E"/>
    <w:rsid w:val="008C5152"/>
    <w:rsid w:val="008C754E"/>
    <w:rsid w:val="008D53F3"/>
    <w:rsid w:val="008E5A98"/>
    <w:rsid w:val="008E6A27"/>
    <w:rsid w:val="008F102D"/>
    <w:rsid w:val="008F31A8"/>
    <w:rsid w:val="008F338B"/>
    <w:rsid w:val="008F5751"/>
    <w:rsid w:val="00901E95"/>
    <w:rsid w:val="00903F1D"/>
    <w:rsid w:val="00913F99"/>
    <w:rsid w:val="009319C5"/>
    <w:rsid w:val="009347E2"/>
    <w:rsid w:val="0094013A"/>
    <w:rsid w:val="0097219B"/>
    <w:rsid w:val="009853C1"/>
    <w:rsid w:val="0098783D"/>
    <w:rsid w:val="0099459A"/>
    <w:rsid w:val="0099546F"/>
    <w:rsid w:val="009962DD"/>
    <w:rsid w:val="009A5097"/>
    <w:rsid w:val="009C5327"/>
    <w:rsid w:val="009D3AB9"/>
    <w:rsid w:val="009D403F"/>
    <w:rsid w:val="009E4A76"/>
    <w:rsid w:val="009F22E5"/>
    <w:rsid w:val="00A02991"/>
    <w:rsid w:val="00A04670"/>
    <w:rsid w:val="00A222F9"/>
    <w:rsid w:val="00A27365"/>
    <w:rsid w:val="00A305E5"/>
    <w:rsid w:val="00A32501"/>
    <w:rsid w:val="00A37FEA"/>
    <w:rsid w:val="00A41EB4"/>
    <w:rsid w:val="00A6530E"/>
    <w:rsid w:val="00A66920"/>
    <w:rsid w:val="00A66D92"/>
    <w:rsid w:val="00A836B8"/>
    <w:rsid w:val="00A93B7D"/>
    <w:rsid w:val="00AA0C1F"/>
    <w:rsid w:val="00AA14C6"/>
    <w:rsid w:val="00AA6C43"/>
    <w:rsid w:val="00AC2554"/>
    <w:rsid w:val="00AC4F50"/>
    <w:rsid w:val="00AC78AF"/>
    <w:rsid w:val="00AF775E"/>
    <w:rsid w:val="00B10FF4"/>
    <w:rsid w:val="00B1178D"/>
    <w:rsid w:val="00B17B24"/>
    <w:rsid w:val="00B275E8"/>
    <w:rsid w:val="00B52762"/>
    <w:rsid w:val="00B553AF"/>
    <w:rsid w:val="00B87A23"/>
    <w:rsid w:val="00B94470"/>
    <w:rsid w:val="00B971E0"/>
    <w:rsid w:val="00BC59BE"/>
    <w:rsid w:val="00BD58D6"/>
    <w:rsid w:val="00BE01E3"/>
    <w:rsid w:val="00BE60F4"/>
    <w:rsid w:val="00BF2516"/>
    <w:rsid w:val="00BF30CB"/>
    <w:rsid w:val="00BF5E21"/>
    <w:rsid w:val="00C30063"/>
    <w:rsid w:val="00C410F3"/>
    <w:rsid w:val="00C464ED"/>
    <w:rsid w:val="00C72623"/>
    <w:rsid w:val="00C800DA"/>
    <w:rsid w:val="00C83088"/>
    <w:rsid w:val="00C84F9D"/>
    <w:rsid w:val="00C97BF5"/>
    <w:rsid w:val="00CA534A"/>
    <w:rsid w:val="00CB05DD"/>
    <w:rsid w:val="00CD20EE"/>
    <w:rsid w:val="00CE2C1C"/>
    <w:rsid w:val="00D010EC"/>
    <w:rsid w:val="00D22699"/>
    <w:rsid w:val="00D2530E"/>
    <w:rsid w:val="00D343B9"/>
    <w:rsid w:val="00D34652"/>
    <w:rsid w:val="00D439E9"/>
    <w:rsid w:val="00D82222"/>
    <w:rsid w:val="00D9105A"/>
    <w:rsid w:val="00DE6A5B"/>
    <w:rsid w:val="00E235BD"/>
    <w:rsid w:val="00E41B2A"/>
    <w:rsid w:val="00E86125"/>
    <w:rsid w:val="00EB07EA"/>
    <w:rsid w:val="00EB6CB7"/>
    <w:rsid w:val="00EC03C9"/>
    <w:rsid w:val="00EE068C"/>
    <w:rsid w:val="00F048CC"/>
    <w:rsid w:val="00F144E0"/>
    <w:rsid w:val="00F311D8"/>
    <w:rsid w:val="00F354C5"/>
    <w:rsid w:val="00F51B6F"/>
    <w:rsid w:val="00F718A4"/>
    <w:rsid w:val="00F77E97"/>
    <w:rsid w:val="00FB23B1"/>
    <w:rsid w:val="00FB35B1"/>
    <w:rsid w:val="00FB4EA6"/>
    <w:rsid w:val="00FE1FD2"/>
    <w:rsid w:val="00FF334B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B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BE25-40C5-4DFB-A613-F770584A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2023-06-23T10:01:00Z</dcterms:created>
  <dcterms:modified xsi:type="dcterms:W3CDTF">2023-06-23T10:01:00Z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9761807648775dc3d4c99d1a1eaf8d1827dfa487f428b141c154cc6f450cf3ea</vt:lpwstr>
  </property>
</Properties>
</file>