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36" w:rsidRDefault="00FC21CA" w:rsidP="00FC21CA">
      <w:pPr>
        <w:jc w:val="center"/>
        <w:rPr>
          <w:rFonts w:ascii="Arial" w:hAnsi="Arial" w:cs="Arial Unicode MS"/>
          <w:b/>
          <w:bCs/>
          <w:color w:val="000000"/>
          <w:sz w:val="22"/>
          <w:szCs w:val="22"/>
          <w:u w:color="000000"/>
        </w:rPr>
      </w:pPr>
      <w:r>
        <w:rPr>
          <w:rFonts w:ascii="Arial" w:hAnsi="Arial"/>
          <w:b/>
          <w:bCs/>
          <w:noProof/>
          <w:sz w:val="22"/>
          <w:szCs w:val="22"/>
        </w:rPr>
        <w:drawing>
          <wp:inline distT="0" distB="0" distL="0" distR="0" wp14:anchorId="71D2BBC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5F3F4A" w:rsidRPr="004C75FD" w:rsidRDefault="00376B58">
      <w:pPr>
        <w:pStyle w:val="Body"/>
        <w:tabs>
          <w:tab w:val="left" w:pos="432"/>
          <w:tab w:val="left" w:pos="864"/>
        </w:tabs>
        <w:spacing w:line="276" w:lineRule="auto"/>
        <w:jc w:val="center"/>
        <w:rPr>
          <w:rFonts w:ascii="Arial" w:eastAsia="Arial" w:hAnsi="Arial" w:cs="Arial"/>
          <w:b/>
          <w:bCs/>
          <w:sz w:val="22"/>
          <w:szCs w:val="22"/>
        </w:rPr>
      </w:pPr>
      <w:r w:rsidRPr="004C75FD">
        <w:rPr>
          <w:rFonts w:ascii="Arial" w:hAnsi="Arial"/>
          <w:b/>
          <w:bCs/>
          <w:sz w:val="22"/>
          <w:szCs w:val="22"/>
        </w:rPr>
        <w:t>NATIONAL ASSEMBLY</w:t>
      </w:r>
    </w:p>
    <w:p w:rsidR="005F3F4A" w:rsidRPr="004C75FD" w:rsidRDefault="00376B58">
      <w:pPr>
        <w:pStyle w:val="Body"/>
        <w:tabs>
          <w:tab w:val="left" w:pos="432"/>
          <w:tab w:val="left" w:pos="864"/>
        </w:tabs>
        <w:spacing w:line="276" w:lineRule="auto"/>
        <w:jc w:val="center"/>
        <w:rPr>
          <w:rFonts w:ascii="Arial" w:eastAsia="Arial" w:hAnsi="Arial" w:cs="Arial"/>
          <w:b/>
          <w:bCs/>
          <w:sz w:val="22"/>
          <w:szCs w:val="22"/>
        </w:rPr>
      </w:pPr>
      <w:r w:rsidRPr="004C75FD">
        <w:rPr>
          <w:rFonts w:ascii="Arial" w:hAnsi="Arial"/>
          <w:b/>
          <w:bCs/>
          <w:sz w:val="22"/>
          <w:szCs w:val="22"/>
          <w:lang w:val="de-DE"/>
        </w:rPr>
        <w:t>QUESTION FOR WRITTEN REPLY</w:t>
      </w:r>
    </w:p>
    <w:p w:rsidR="005F3F4A" w:rsidRPr="004C75FD" w:rsidRDefault="00376B58">
      <w:pPr>
        <w:pStyle w:val="Body"/>
        <w:tabs>
          <w:tab w:val="left" w:pos="432"/>
          <w:tab w:val="left" w:pos="864"/>
        </w:tabs>
        <w:spacing w:line="276" w:lineRule="auto"/>
        <w:jc w:val="center"/>
        <w:rPr>
          <w:rFonts w:ascii="Arial" w:eastAsia="Arial" w:hAnsi="Arial" w:cs="Arial"/>
          <w:b/>
          <w:bCs/>
          <w:sz w:val="22"/>
          <w:szCs w:val="22"/>
        </w:rPr>
      </w:pPr>
      <w:r w:rsidRPr="004C75FD">
        <w:rPr>
          <w:rFonts w:ascii="Arial" w:hAnsi="Arial"/>
          <w:b/>
          <w:bCs/>
          <w:sz w:val="22"/>
          <w:szCs w:val="22"/>
        </w:rPr>
        <w:t xml:space="preserve">QUESTION NUMBER: </w:t>
      </w:r>
      <w:r w:rsidR="009746D4" w:rsidRPr="004C75FD">
        <w:rPr>
          <w:rFonts w:ascii="Arial" w:hAnsi="Arial"/>
          <w:b/>
          <w:bCs/>
          <w:sz w:val="22"/>
          <w:szCs w:val="22"/>
        </w:rPr>
        <w:t>2007</w:t>
      </w:r>
      <w:r w:rsidRPr="004C75FD">
        <w:rPr>
          <w:rFonts w:ascii="Arial" w:hAnsi="Arial"/>
          <w:b/>
          <w:bCs/>
          <w:sz w:val="22"/>
          <w:szCs w:val="22"/>
        </w:rPr>
        <w:t xml:space="preserve"> </w:t>
      </w:r>
      <w:r w:rsidR="009746D4" w:rsidRPr="004C75FD">
        <w:rPr>
          <w:rFonts w:ascii="Arial" w:hAnsi="Arial"/>
          <w:b/>
          <w:bCs/>
          <w:sz w:val="22"/>
          <w:szCs w:val="22"/>
        </w:rPr>
        <w:t>(</w:t>
      </w:r>
      <w:r w:rsidR="009746D4" w:rsidRPr="004C75FD">
        <w:rPr>
          <w:rFonts w:ascii="Arial" w:hAnsi="Arial" w:cs="Arial"/>
          <w:b/>
          <w:noProof/>
          <w:sz w:val="22"/>
          <w:szCs w:val="22"/>
          <w:lang w:val="af-ZA"/>
        </w:rPr>
        <w:t>NW2222E)</w:t>
      </w:r>
    </w:p>
    <w:p w:rsidR="005F3F4A" w:rsidRPr="004C75FD" w:rsidRDefault="00376B58">
      <w:pPr>
        <w:pStyle w:val="Body"/>
        <w:tabs>
          <w:tab w:val="left" w:pos="432"/>
          <w:tab w:val="left" w:pos="864"/>
        </w:tabs>
        <w:spacing w:line="276" w:lineRule="auto"/>
        <w:jc w:val="center"/>
        <w:rPr>
          <w:rFonts w:ascii="Arial" w:eastAsia="Arial" w:hAnsi="Arial" w:cs="Arial"/>
          <w:b/>
          <w:bCs/>
          <w:sz w:val="22"/>
          <w:szCs w:val="22"/>
        </w:rPr>
      </w:pPr>
      <w:r w:rsidRPr="004C75FD">
        <w:rPr>
          <w:rFonts w:ascii="Arial" w:hAnsi="Arial"/>
          <w:b/>
          <w:bCs/>
          <w:sz w:val="22"/>
          <w:szCs w:val="22"/>
          <w:lang w:val="de-DE"/>
        </w:rPr>
        <w:t xml:space="preserve">DATE OF PUBLICATION: </w:t>
      </w:r>
      <w:r w:rsidR="00E47A56" w:rsidRPr="004C75FD">
        <w:rPr>
          <w:rFonts w:ascii="Arial" w:hAnsi="Arial"/>
          <w:b/>
          <w:bCs/>
          <w:sz w:val="22"/>
          <w:szCs w:val="22"/>
          <w:lang w:val="de-DE"/>
        </w:rPr>
        <w:t>30</w:t>
      </w:r>
      <w:r w:rsidRPr="004C75FD">
        <w:rPr>
          <w:rFonts w:ascii="Arial" w:hAnsi="Arial"/>
          <w:b/>
          <w:bCs/>
          <w:sz w:val="22"/>
          <w:szCs w:val="22"/>
          <w:lang w:val="de-DE"/>
        </w:rPr>
        <w:t xml:space="preserve"> </w:t>
      </w:r>
      <w:r w:rsidR="00E47A56" w:rsidRPr="004C75FD">
        <w:rPr>
          <w:rFonts w:ascii="Arial" w:hAnsi="Arial"/>
          <w:b/>
          <w:bCs/>
          <w:sz w:val="22"/>
          <w:szCs w:val="22"/>
          <w:lang w:val="de-DE"/>
        </w:rPr>
        <w:t>June</w:t>
      </w:r>
      <w:r w:rsidRPr="004C75FD">
        <w:rPr>
          <w:rFonts w:ascii="Arial" w:hAnsi="Arial"/>
          <w:b/>
          <w:bCs/>
          <w:sz w:val="22"/>
          <w:szCs w:val="22"/>
          <w:lang w:val="de-DE"/>
        </w:rPr>
        <w:t xml:space="preserve"> 2017</w:t>
      </w:r>
    </w:p>
    <w:p w:rsidR="004C75FD" w:rsidRDefault="004C75FD" w:rsidP="009746D4">
      <w:pPr>
        <w:spacing w:before="100" w:beforeAutospacing="1" w:after="100" w:afterAutospacing="1"/>
        <w:ind w:left="816" w:hanging="816"/>
        <w:rPr>
          <w:rFonts w:ascii="Arial" w:hAnsi="Arial" w:cs="Arial"/>
          <w:b/>
          <w:sz w:val="22"/>
          <w:szCs w:val="22"/>
          <w:lang w:val="en-GB"/>
        </w:rPr>
      </w:pPr>
    </w:p>
    <w:p w:rsidR="009746D4" w:rsidRPr="004C75FD" w:rsidRDefault="009746D4" w:rsidP="004C75FD">
      <w:pPr>
        <w:spacing w:line="360" w:lineRule="auto"/>
        <w:ind w:left="816" w:hanging="816"/>
        <w:rPr>
          <w:rFonts w:ascii="Arial" w:hAnsi="Arial" w:cs="Arial"/>
          <w:sz w:val="22"/>
          <w:szCs w:val="22"/>
          <w:lang w:val="en-GB"/>
        </w:rPr>
      </w:pPr>
      <w:r w:rsidRPr="004C75FD">
        <w:rPr>
          <w:rFonts w:ascii="Arial" w:hAnsi="Arial" w:cs="Arial"/>
          <w:b/>
          <w:sz w:val="22"/>
          <w:szCs w:val="22"/>
          <w:lang w:val="en-GB"/>
        </w:rPr>
        <w:t>2007.</w:t>
      </w:r>
      <w:r w:rsidRPr="004C75FD">
        <w:rPr>
          <w:rFonts w:ascii="Arial" w:hAnsi="Arial" w:cs="Arial"/>
          <w:b/>
          <w:sz w:val="22"/>
          <w:szCs w:val="22"/>
          <w:lang w:val="en-GB"/>
        </w:rPr>
        <w:tab/>
        <w:t xml:space="preserve">Mr B R </w:t>
      </w:r>
      <w:r w:rsidRPr="004C75FD">
        <w:rPr>
          <w:rFonts w:ascii="Arial" w:hAnsi="Arial" w:cs="Arial"/>
          <w:b/>
          <w:sz w:val="22"/>
          <w:szCs w:val="22"/>
          <w:lang w:val="af-ZA"/>
        </w:rPr>
        <w:t>Topham</w:t>
      </w:r>
      <w:r w:rsidRPr="004C75FD">
        <w:rPr>
          <w:rFonts w:ascii="Arial" w:hAnsi="Arial" w:cs="Arial"/>
          <w:b/>
          <w:sz w:val="22"/>
          <w:szCs w:val="22"/>
          <w:lang w:val="en-GB"/>
        </w:rPr>
        <w:t xml:space="preserve"> (DA) to ask the Minister of Finance:</w:t>
      </w:r>
    </w:p>
    <w:p w:rsidR="004C75FD" w:rsidRPr="004C75FD" w:rsidRDefault="009746D4" w:rsidP="004C75FD">
      <w:pPr>
        <w:spacing w:line="360" w:lineRule="auto"/>
        <w:ind w:left="720"/>
        <w:jc w:val="both"/>
        <w:rPr>
          <w:rFonts w:ascii="Arial" w:hAnsi="Arial" w:cs="Arial"/>
          <w:sz w:val="22"/>
          <w:szCs w:val="22"/>
        </w:rPr>
      </w:pPr>
      <w:r w:rsidRPr="004C75FD">
        <w:rPr>
          <w:rFonts w:ascii="Arial" w:hAnsi="Arial" w:cs="Arial"/>
          <w:sz w:val="22"/>
          <w:szCs w:val="22"/>
        </w:rPr>
        <w:t>With reference to his reply to question 589 on 26 May 2017, what is the name of each person who accumulated unduly large numbers of SA Reserve Bank shares before the South African Reserve Bank Act, Act 90 of 1989, was amended in 2010?</w:t>
      </w:r>
      <w:r w:rsidRPr="004C75FD">
        <w:rPr>
          <w:rFonts w:ascii="Arial" w:hAnsi="Arial" w:cs="Arial"/>
          <w:sz w:val="22"/>
          <w:szCs w:val="22"/>
        </w:rPr>
        <w:tab/>
      </w:r>
    </w:p>
    <w:p w:rsidR="009746D4" w:rsidRPr="004C75FD" w:rsidRDefault="009746D4" w:rsidP="004C75FD">
      <w:pPr>
        <w:spacing w:line="360" w:lineRule="auto"/>
        <w:ind w:left="720"/>
        <w:jc w:val="right"/>
        <w:rPr>
          <w:rFonts w:ascii="Arial" w:hAnsi="Arial" w:cs="Arial"/>
          <w:sz w:val="22"/>
          <w:szCs w:val="22"/>
        </w:rPr>
      </w:pPr>
      <w:r w:rsidRPr="004C75FD">
        <w:rPr>
          <w:rFonts w:ascii="Arial" w:hAnsi="Arial" w:cs="Arial"/>
          <w:sz w:val="22"/>
          <w:szCs w:val="22"/>
        </w:rPr>
        <w:t>NW2222E</w:t>
      </w:r>
    </w:p>
    <w:p w:rsidR="004C75FD" w:rsidRPr="004C75FD" w:rsidRDefault="004C75FD" w:rsidP="004C75FD">
      <w:pPr>
        <w:pStyle w:val="BodyTextIndent"/>
        <w:spacing w:line="360" w:lineRule="auto"/>
        <w:ind w:left="0" w:firstLine="0"/>
        <w:contextualSpacing/>
        <w:rPr>
          <w:rFonts w:ascii="Arial" w:hAnsi="Arial" w:cs="Arial"/>
          <w:b/>
          <w:bCs/>
          <w:sz w:val="22"/>
          <w:szCs w:val="22"/>
        </w:rPr>
      </w:pPr>
    </w:p>
    <w:p w:rsidR="005F3F4A" w:rsidRPr="004C75FD" w:rsidRDefault="00FC5E3B" w:rsidP="004C75FD">
      <w:pPr>
        <w:pStyle w:val="BodyTextIndent"/>
        <w:spacing w:line="360" w:lineRule="auto"/>
        <w:ind w:left="0" w:firstLine="0"/>
        <w:contextualSpacing/>
        <w:rPr>
          <w:rFonts w:ascii="Arial" w:hAnsi="Arial" w:cs="Arial"/>
          <w:b/>
          <w:bCs/>
          <w:sz w:val="22"/>
          <w:szCs w:val="22"/>
        </w:rPr>
      </w:pPr>
      <w:r w:rsidRPr="004C75FD">
        <w:rPr>
          <w:rFonts w:ascii="Arial" w:hAnsi="Arial" w:cs="Arial"/>
          <w:b/>
          <w:bCs/>
          <w:sz w:val="22"/>
          <w:szCs w:val="22"/>
        </w:rPr>
        <w:t>R</w:t>
      </w:r>
      <w:r w:rsidR="00376B58" w:rsidRPr="004C75FD">
        <w:rPr>
          <w:rFonts w:ascii="Arial" w:hAnsi="Arial" w:cs="Arial"/>
          <w:b/>
          <w:bCs/>
          <w:sz w:val="22"/>
          <w:szCs w:val="22"/>
        </w:rPr>
        <w:t>EPLY:</w:t>
      </w:r>
    </w:p>
    <w:p w:rsidR="005F3F4A" w:rsidRPr="004C75FD" w:rsidRDefault="005F3F4A" w:rsidP="004C75FD">
      <w:pPr>
        <w:pStyle w:val="BodyTextIndent"/>
        <w:spacing w:line="360" w:lineRule="auto"/>
        <w:ind w:left="0" w:firstLine="0"/>
        <w:contextualSpacing/>
        <w:rPr>
          <w:rFonts w:ascii="Arial" w:eastAsia="Arial" w:hAnsi="Arial" w:cs="Arial"/>
          <w:b/>
          <w:bCs/>
          <w:sz w:val="22"/>
          <w:szCs w:val="22"/>
        </w:rPr>
      </w:pPr>
    </w:p>
    <w:p w:rsidR="00D27310" w:rsidRPr="004C75FD" w:rsidRDefault="00D27310" w:rsidP="004C75FD">
      <w:pPr>
        <w:spacing w:line="360" w:lineRule="auto"/>
        <w:jc w:val="both"/>
        <w:rPr>
          <w:rFonts w:ascii="Arial" w:hAnsi="Arial" w:cs="Arial"/>
          <w:sz w:val="22"/>
          <w:szCs w:val="22"/>
        </w:rPr>
      </w:pPr>
      <w:r w:rsidRPr="004C75FD">
        <w:rPr>
          <w:rFonts w:ascii="Arial" w:hAnsi="Arial" w:cs="Arial"/>
          <w:sz w:val="22"/>
          <w:szCs w:val="22"/>
        </w:rPr>
        <w:t>In terms of the SARB Act (read with the regulations made in terms thereof), the most effective powers of the shareholders are the approval of the appointment of auditors for the bank and their remuneration, as well as the election of seven non-executive directors to the board.</w:t>
      </w:r>
      <w:r w:rsidR="004C75FD" w:rsidRPr="004C75FD">
        <w:rPr>
          <w:rFonts w:ascii="Arial" w:hAnsi="Arial" w:cs="Arial"/>
          <w:sz w:val="22"/>
          <w:szCs w:val="22"/>
        </w:rPr>
        <w:t xml:space="preserve">  </w:t>
      </w:r>
      <w:r w:rsidRPr="004C75FD">
        <w:rPr>
          <w:rFonts w:ascii="Arial" w:hAnsi="Arial" w:cs="Arial"/>
          <w:sz w:val="22"/>
          <w:szCs w:val="22"/>
        </w:rPr>
        <w:t>Shareholders have no powers in terms of the SARB Act to terminate the office of any director.</w:t>
      </w:r>
      <w:r w:rsidR="004C75FD" w:rsidRPr="004C75FD">
        <w:rPr>
          <w:rFonts w:ascii="Arial" w:hAnsi="Arial" w:cs="Arial"/>
          <w:sz w:val="22"/>
          <w:szCs w:val="22"/>
        </w:rPr>
        <w:t xml:space="preserve">  </w:t>
      </w:r>
      <w:r w:rsidRPr="004C75FD">
        <w:rPr>
          <w:rFonts w:ascii="Arial" w:hAnsi="Arial" w:cs="Arial"/>
          <w:sz w:val="22"/>
          <w:szCs w:val="22"/>
        </w:rPr>
        <w:t>Of the board of directors’ 15 members, eight directors (including the Governor and the three Deputy Governors), the majority of the 15 board members, are appointed by the President, also after consultation with the Minister of Finance.</w:t>
      </w:r>
      <w:r w:rsidR="004C75FD" w:rsidRPr="004C75FD">
        <w:rPr>
          <w:rFonts w:ascii="Arial" w:hAnsi="Arial" w:cs="Arial"/>
          <w:sz w:val="22"/>
          <w:szCs w:val="22"/>
        </w:rPr>
        <w:t xml:space="preserve">  </w:t>
      </w:r>
      <w:r w:rsidRPr="004C75FD">
        <w:rPr>
          <w:rFonts w:ascii="Arial" w:hAnsi="Arial" w:cs="Arial"/>
          <w:sz w:val="22"/>
          <w:szCs w:val="22"/>
        </w:rPr>
        <w:t>Shareholders elect seven non-executive directors from an approved list of candidates who may not necessarily be persons nominated by shareholders.</w:t>
      </w:r>
      <w:r w:rsidR="004C75FD" w:rsidRPr="004C75FD">
        <w:rPr>
          <w:rFonts w:ascii="Arial" w:hAnsi="Arial" w:cs="Arial"/>
          <w:sz w:val="22"/>
          <w:szCs w:val="22"/>
        </w:rPr>
        <w:t xml:space="preserve">  </w:t>
      </w:r>
      <w:r w:rsidRPr="004C75FD">
        <w:rPr>
          <w:rFonts w:ascii="Arial" w:hAnsi="Arial" w:cs="Arial"/>
          <w:sz w:val="22"/>
          <w:szCs w:val="22"/>
        </w:rPr>
        <w:t>The pool of candidates from which shareholders elect the directors is vetted by a Panel which is chaired by the Governor and includes a retired Judge.</w:t>
      </w:r>
    </w:p>
    <w:p w:rsidR="00D27310" w:rsidRPr="004C75FD" w:rsidRDefault="00D27310" w:rsidP="004C75FD">
      <w:pPr>
        <w:spacing w:line="360" w:lineRule="auto"/>
        <w:ind w:left="720"/>
        <w:jc w:val="both"/>
        <w:rPr>
          <w:rFonts w:ascii="Arial" w:hAnsi="Arial" w:cs="Arial"/>
          <w:sz w:val="22"/>
          <w:szCs w:val="22"/>
        </w:rPr>
      </w:pPr>
    </w:p>
    <w:p w:rsidR="00D27310" w:rsidRPr="004C75FD" w:rsidRDefault="00D27310" w:rsidP="004C75FD">
      <w:pPr>
        <w:spacing w:line="360" w:lineRule="auto"/>
        <w:ind w:right="118"/>
        <w:jc w:val="both"/>
        <w:rPr>
          <w:rFonts w:ascii="Arial" w:hAnsi="Arial" w:cs="Arial"/>
          <w:sz w:val="22"/>
          <w:szCs w:val="22"/>
        </w:rPr>
      </w:pPr>
      <w:r w:rsidRPr="004C75FD">
        <w:rPr>
          <w:rFonts w:ascii="Arial" w:hAnsi="Arial" w:cs="Arial"/>
          <w:sz w:val="22"/>
          <w:szCs w:val="22"/>
        </w:rPr>
        <w:t xml:space="preserve">The SARB Amendment Act, which introduced substantial amendments to the legal structure and operations of the SARB, amongst other things, adequately addressed the previous anomaly. Major amendments constituted the introduction of the concept of "associates" in respect of shareholders or potential shareholders of the SARB and the establishment of a </w:t>
      </w:r>
      <w:r w:rsidRPr="004C75FD">
        <w:rPr>
          <w:rFonts w:ascii="Arial" w:hAnsi="Arial" w:cs="Arial"/>
          <w:sz w:val="22"/>
          <w:szCs w:val="22"/>
        </w:rPr>
        <w:lastRenderedPageBreak/>
        <w:t>panel (established and convened by the Governor) to give effect to fit and proper principles with regard to non-executive directors elected by shareholders.</w:t>
      </w:r>
      <w:r w:rsidR="004C75FD" w:rsidRPr="004C75FD">
        <w:rPr>
          <w:rFonts w:ascii="Arial" w:hAnsi="Arial" w:cs="Arial"/>
          <w:sz w:val="22"/>
          <w:szCs w:val="22"/>
        </w:rPr>
        <w:t xml:space="preserve">  </w:t>
      </w:r>
      <w:r w:rsidRPr="004C75FD">
        <w:rPr>
          <w:rFonts w:ascii="Arial" w:hAnsi="Arial" w:cs="Arial"/>
          <w:sz w:val="22"/>
          <w:szCs w:val="22"/>
        </w:rPr>
        <w:t>It resulted in the existing numbers of SARB shares held by all persons who qualify as associates of a specific shareholder or potential shareholder being taken into account in the determination of the number of shares (limited to 10,000 shares) that the specific shareholder may lawfully hold or acquire.</w:t>
      </w:r>
      <w:r w:rsidR="004C75FD" w:rsidRPr="004C75FD">
        <w:rPr>
          <w:rFonts w:ascii="Arial" w:hAnsi="Arial" w:cs="Arial"/>
          <w:sz w:val="22"/>
          <w:szCs w:val="22"/>
        </w:rPr>
        <w:t xml:space="preserve">  </w:t>
      </w:r>
      <w:r w:rsidRPr="004C75FD">
        <w:rPr>
          <w:rFonts w:ascii="Arial" w:hAnsi="Arial" w:cs="Arial"/>
          <w:sz w:val="22"/>
          <w:szCs w:val="22"/>
        </w:rPr>
        <w:t>Shareholders were also hereafter only entitled to elect non-executive directors to the Board that had been declared eligible by the panel.</w:t>
      </w:r>
      <w:r w:rsidR="004C75FD" w:rsidRPr="004C75FD">
        <w:rPr>
          <w:rFonts w:ascii="Arial" w:hAnsi="Arial" w:cs="Arial"/>
          <w:sz w:val="22"/>
          <w:szCs w:val="22"/>
        </w:rPr>
        <w:t xml:space="preserve">  </w:t>
      </w:r>
      <w:r w:rsidRPr="004C75FD">
        <w:rPr>
          <w:rFonts w:ascii="Arial" w:hAnsi="Arial" w:cs="Arial"/>
          <w:sz w:val="22"/>
          <w:szCs w:val="22"/>
        </w:rPr>
        <w:t>The Board</w:t>
      </w:r>
      <w:r w:rsidR="00430373" w:rsidRPr="004C75FD">
        <w:rPr>
          <w:rFonts w:ascii="Arial" w:hAnsi="Arial" w:cs="Arial"/>
          <w:sz w:val="22"/>
          <w:szCs w:val="22"/>
        </w:rPr>
        <w:t xml:space="preserve"> consists of fifteen directors (</w:t>
      </w:r>
      <w:r w:rsidRPr="004C75FD">
        <w:rPr>
          <w:rFonts w:ascii="Arial" w:hAnsi="Arial" w:cs="Arial"/>
          <w:sz w:val="22"/>
          <w:szCs w:val="22"/>
        </w:rPr>
        <w:t xml:space="preserve">eleven non-executive and four executive directors) of which the President appoints eight, which includes the </w:t>
      </w:r>
      <w:r w:rsidR="00430373" w:rsidRPr="004C75FD">
        <w:rPr>
          <w:rFonts w:ascii="Arial" w:hAnsi="Arial" w:cs="Arial"/>
          <w:sz w:val="22"/>
          <w:szCs w:val="22"/>
        </w:rPr>
        <w:t xml:space="preserve">4 </w:t>
      </w:r>
      <w:r w:rsidRPr="004C75FD">
        <w:rPr>
          <w:rFonts w:ascii="Arial" w:hAnsi="Arial" w:cs="Arial"/>
          <w:sz w:val="22"/>
          <w:szCs w:val="22"/>
        </w:rPr>
        <w:t>Governors</w:t>
      </w:r>
      <w:r w:rsidR="00430373" w:rsidRPr="004C75FD">
        <w:rPr>
          <w:rFonts w:ascii="Arial" w:hAnsi="Arial" w:cs="Arial"/>
          <w:sz w:val="22"/>
          <w:szCs w:val="22"/>
        </w:rPr>
        <w:t xml:space="preserve"> and 3 Deputy Governors</w:t>
      </w:r>
      <w:r w:rsidRPr="004C75FD">
        <w:rPr>
          <w:rFonts w:ascii="Arial" w:hAnsi="Arial" w:cs="Arial"/>
          <w:sz w:val="22"/>
          <w:szCs w:val="22"/>
        </w:rPr>
        <w:t>.</w:t>
      </w:r>
      <w:r w:rsidR="004C75FD" w:rsidRPr="004C75FD">
        <w:rPr>
          <w:rFonts w:ascii="Arial" w:hAnsi="Arial" w:cs="Arial"/>
          <w:sz w:val="22"/>
          <w:szCs w:val="22"/>
        </w:rPr>
        <w:t xml:space="preserve">  </w:t>
      </w:r>
      <w:r w:rsidRPr="004C75FD">
        <w:rPr>
          <w:rFonts w:ascii="Arial" w:hAnsi="Arial" w:cs="Arial"/>
          <w:sz w:val="22"/>
          <w:szCs w:val="22"/>
        </w:rPr>
        <w:t>The shareholders elect the remaining seven.</w:t>
      </w:r>
    </w:p>
    <w:p w:rsidR="00D27310" w:rsidRPr="004C75FD" w:rsidRDefault="00D27310" w:rsidP="004C75FD">
      <w:pPr>
        <w:spacing w:line="360" w:lineRule="auto"/>
        <w:ind w:left="720" w:right="118"/>
        <w:jc w:val="both"/>
        <w:rPr>
          <w:rFonts w:ascii="Arial" w:hAnsi="Arial" w:cs="Arial"/>
          <w:sz w:val="22"/>
          <w:szCs w:val="22"/>
        </w:rPr>
      </w:pPr>
    </w:p>
    <w:p w:rsidR="00D27310" w:rsidRPr="004C75FD" w:rsidRDefault="00D27310" w:rsidP="004C75FD">
      <w:pPr>
        <w:spacing w:line="360" w:lineRule="auto"/>
        <w:ind w:right="146"/>
        <w:jc w:val="both"/>
        <w:rPr>
          <w:rFonts w:ascii="Arial" w:hAnsi="Arial" w:cs="Arial"/>
          <w:sz w:val="22"/>
          <w:szCs w:val="22"/>
        </w:rPr>
      </w:pPr>
      <w:r w:rsidRPr="004C75FD">
        <w:rPr>
          <w:rFonts w:ascii="Arial" w:hAnsi="Arial" w:cs="Arial"/>
          <w:sz w:val="22"/>
          <w:szCs w:val="22"/>
        </w:rPr>
        <w:t>Consequently, shareholders of the SARB have limited powers, which in addition to the above (at a general meeting of shareholders), are limited to discussing the annual report and financial statements of the SARB, appointing of the auditors and approving their remuneration and discussing special business duly placed on the agenda of the meeting.</w:t>
      </w:r>
    </w:p>
    <w:p w:rsidR="00D27310" w:rsidRPr="004C75FD" w:rsidRDefault="00D27310" w:rsidP="004C75FD">
      <w:pPr>
        <w:spacing w:line="360" w:lineRule="auto"/>
        <w:ind w:left="720" w:right="146"/>
        <w:jc w:val="both"/>
        <w:rPr>
          <w:rFonts w:ascii="Arial" w:hAnsi="Arial" w:cs="Arial"/>
          <w:sz w:val="22"/>
          <w:szCs w:val="22"/>
        </w:rPr>
      </w:pPr>
    </w:p>
    <w:p w:rsidR="00D27310" w:rsidRPr="004C75FD" w:rsidRDefault="00D27310" w:rsidP="004C75FD">
      <w:pPr>
        <w:spacing w:line="360" w:lineRule="auto"/>
        <w:ind w:right="146"/>
        <w:jc w:val="both"/>
        <w:rPr>
          <w:rFonts w:ascii="Arial" w:hAnsi="Arial" w:cs="Arial"/>
          <w:sz w:val="22"/>
          <w:szCs w:val="22"/>
        </w:rPr>
      </w:pPr>
      <w:r w:rsidRPr="004C75FD">
        <w:rPr>
          <w:rFonts w:ascii="Arial" w:hAnsi="Arial" w:cs="Arial"/>
          <w:sz w:val="22"/>
          <w:szCs w:val="22"/>
        </w:rPr>
        <w:t>The above is a correct reflection of the position.</w:t>
      </w:r>
      <w:r w:rsidR="004C75FD" w:rsidRPr="004C75FD">
        <w:rPr>
          <w:rFonts w:ascii="Arial" w:hAnsi="Arial" w:cs="Arial"/>
          <w:sz w:val="22"/>
          <w:szCs w:val="22"/>
        </w:rPr>
        <w:t xml:space="preserve">  </w:t>
      </w:r>
      <w:r w:rsidRPr="004C75FD">
        <w:rPr>
          <w:rFonts w:ascii="Arial" w:hAnsi="Arial" w:cs="Arial"/>
          <w:sz w:val="22"/>
          <w:szCs w:val="22"/>
        </w:rPr>
        <w:t>What may be added is that since the introdu</w:t>
      </w:r>
      <w:r w:rsidR="00430373" w:rsidRPr="004C75FD">
        <w:rPr>
          <w:rFonts w:ascii="Arial" w:hAnsi="Arial" w:cs="Arial"/>
          <w:sz w:val="22"/>
          <w:szCs w:val="22"/>
        </w:rPr>
        <w:t xml:space="preserve">ction of the SARB Amendment Act, 2010, </w:t>
      </w:r>
      <w:r w:rsidRPr="004C75FD">
        <w:rPr>
          <w:rFonts w:ascii="Arial" w:hAnsi="Arial" w:cs="Arial"/>
          <w:sz w:val="22"/>
          <w:szCs w:val="22"/>
        </w:rPr>
        <w:t>any person, together with his, her or its associates who held more than 10,000 shares could exercise a maximum of no more than 50 votes.</w:t>
      </w:r>
      <w:r w:rsidR="004C75FD" w:rsidRPr="004C75FD">
        <w:rPr>
          <w:rFonts w:ascii="Arial" w:hAnsi="Arial" w:cs="Arial"/>
          <w:sz w:val="22"/>
          <w:szCs w:val="22"/>
        </w:rPr>
        <w:t xml:space="preserve">  </w:t>
      </w:r>
      <w:r w:rsidRPr="004C75FD">
        <w:rPr>
          <w:rFonts w:ascii="Arial" w:hAnsi="Arial" w:cs="Arial"/>
          <w:sz w:val="22"/>
          <w:szCs w:val="22"/>
        </w:rPr>
        <w:t xml:space="preserve">The SARB Amendment Act also provided for a process whereby shareholders who were, together with their associates holding more than the maximum of 10,000 shares, to </w:t>
      </w:r>
      <w:proofErr w:type="spellStart"/>
      <w:r w:rsidRPr="004C75FD">
        <w:rPr>
          <w:rFonts w:ascii="Arial" w:hAnsi="Arial" w:cs="Arial"/>
          <w:sz w:val="22"/>
          <w:szCs w:val="22"/>
        </w:rPr>
        <w:t>regularise</w:t>
      </w:r>
      <w:proofErr w:type="spellEnd"/>
      <w:r w:rsidRPr="004C75FD">
        <w:rPr>
          <w:rFonts w:ascii="Arial" w:hAnsi="Arial" w:cs="Arial"/>
          <w:sz w:val="22"/>
          <w:szCs w:val="22"/>
        </w:rPr>
        <w:t xml:space="preserve"> their shareholding.</w:t>
      </w:r>
      <w:r w:rsidR="004C75FD" w:rsidRPr="004C75FD">
        <w:rPr>
          <w:rFonts w:ascii="Arial" w:hAnsi="Arial" w:cs="Arial"/>
          <w:sz w:val="22"/>
          <w:szCs w:val="22"/>
        </w:rPr>
        <w:t xml:space="preserve">  </w:t>
      </w:r>
      <w:r w:rsidRPr="004C75FD">
        <w:rPr>
          <w:rFonts w:ascii="Arial" w:hAnsi="Arial" w:cs="Arial"/>
          <w:sz w:val="22"/>
          <w:szCs w:val="22"/>
        </w:rPr>
        <w:t xml:space="preserve">The Legal Services Department of the SARB embarked upon a process whereby the affected shareholders were informed of the legal changes and requirements and shareholders were encouraged and assisted to </w:t>
      </w:r>
      <w:proofErr w:type="spellStart"/>
      <w:r w:rsidRPr="004C75FD">
        <w:rPr>
          <w:rFonts w:ascii="Arial" w:hAnsi="Arial" w:cs="Arial"/>
          <w:sz w:val="22"/>
          <w:szCs w:val="22"/>
        </w:rPr>
        <w:t>regularise</w:t>
      </w:r>
      <w:proofErr w:type="spellEnd"/>
      <w:r w:rsidRPr="004C75FD">
        <w:rPr>
          <w:rFonts w:ascii="Arial" w:hAnsi="Arial" w:cs="Arial"/>
          <w:sz w:val="22"/>
          <w:szCs w:val="22"/>
        </w:rPr>
        <w:t xml:space="preserve"> their shareholdings.</w:t>
      </w:r>
    </w:p>
    <w:p w:rsidR="00D27310" w:rsidRPr="004C75FD" w:rsidRDefault="00D27310" w:rsidP="004C75FD">
      <w:pPr>
        <w:spacing w:line="360" w:lineRule="auto"/>
        <w:ind w:left="720" w:right="146"/>
        <w:jc w:val="both"/>
        <w:rPr>
          <w:rFonts w:ascii="Arial" w:hAnsi="Arial" w:cs="Arial"/>
          <w:sz w:val="22"/>
          <w:szCs w:val="22"/>
        </w:rPr>
      </w:pPr>
    </w:p>
    <w:p w:rsidR="004C75FD" w:rsidRDefault="00662D8D" w:rsidP="004C75FD">
      <w:pPr>
        <w:spacing w:line="360" w:lineRule="auto"/>
        <w:ind w:right="146"/>
        <w:jc w:val="both"/>
        <w:rPr>
          <w:rFonts w:ascii="Arial" w:hAnsi="Arial" w:cs="Arial"/>
          <w:sz w:val="22"/>
          <w:szCs w:val="22"/>
        </w:rPr>
      </w:pPr>
      <w:r w:rsidRPr="004C75FD">
        <w:rPr>
          <w:rFonts w:ascii="Arial" w:hAnsi="Arial" w:cs="Arial"/>
          <w:sz w:val="22"/>
          <w:szCs w:val="22"/>
        </w:rPr>
        <w:t xml:space="preserve">Despite these efforts, the 15 shareholders mentioned hereunder were evidently not willing to </w:t>
      </w:r>
      <w:proofErr w:type="spellStart"/>
      <w:r w:rsidRPr="004C75FD">
        <w:rPr>
          <w:rFonts w:ascii="Arial" w:hAnsi="Arial" w:cs="Arial"/>
          <w:sz w:val="22"/>
          <w:szCs w:val="22"/>
        </w:rPr>
        <w:t>regularise</w:t>
      </w:r>
      <w:proofErr w:type="spellEnd"/>
      <w:r w:rsidRPr="004C75FD">
        <w:rPr>
          <w:rFonts w:ascii="Arial" w:hAnsi="Arial" w:cs="Arial"/>
          <w:sz w:val="22"/>
          <w:szCs w:val="22"/>
        </w:rPr>
        <w:t xml:space="preserve"> their </w:t>
      </w:r>
      <w:r w:rsidR="00430373" w:rsidRPr="004C75FD">
        <w:rPr>
          <w:rFonts w:ascii="Arial" w:hAnsi="Arial" w:cs="Arial"/>
          <w:sz w:val="22"/>
          <w:szCs w:val="22"/>
        </w:rPr>
        <w:t xml:space="preserve">shareholding in the SARB and the SARB </w:t>
      </w:r>
      <w:r w:rsidRPr="004C75FD">
        <w:rPr>
          <w:rFonts w:ascii="Arial" w:hAnsi="Arial" w:cs="Arial"/>
          <w:sz w:val="22"/>
          <w:szCs w:val="22"/>
        </w:rPr>
        <w:t>was obliged to approach the High Court (as envisaged in terms of the SARB Amendment Act) for appropriate relief.</w:t>
      </w:r>
    </w:p>
    <w:p w:rsidR="004C75FD" w:rsidRDefault="004C75FD">
      <w:pPr>
        <w:rPr>
          <w:rFonts w:ascii="Arial" w:hAnsi="Arial" w:cs="Arial"/>
          <w:sz w:val="22"/>
          <w:szCs w:val="22"/>
        </w:rPr>
      </w:pPr>
      <w:r>
        <w:rPr>
          <w:rFonts w:ascii="Arial" w:hAnsi="Arial" w:cs="Arial"/>
          <w:sz w:val="22"/>
          <w:szCs w:val="22"/>
        </w:rPr>
        <w:br w:type="page"/>
      </w:r>
    </w:p>
    <w:tbl>
      <w:tblPr>
        <w:tblpPr w:leftFromText="180" w:rightFromText="180" w:vertAnchor="text" w:horzAnchor="margin" w:tblpY="39"/>
        <w:tblW w:w="8977" w:type="dxa"/>
        <w:tblLook w:val="04A0" w:firstRow="1" w:lastRow="0" w:firstColumn="1" w:lastColumn="0" w:noHBand="0" w:noVBand="1"/>
      </w:tblPr>
      <w:tblGrid>
        <w:gridCol w:w="3448"/>
        <w:gridCol w:w="1985"/>
        <w:gridCol w:w="1843"/>
        <w:gridCol w:w="1701"/>
      </w:tblGrid>
      <w:tr w:rsidR="004C75FD" w:rsidRPr="004C75FD" w:rsidTr="004C75FD">
        <w:trPr>
          <w:trHeight w:val="636"/>
        </w:trPr>
        <w:tc>
          <w:tcPr>
            <w:tcW w:w="3448"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4C75FD" w:rsidRPr="004C75FD" w:rsidRDefault="004C75FD" w:rsidP="004C75FD">
            <w:pPr>
              <w:spacing w:line="360" w:lineRule="auto"/>
              <w:jc w:val="center"/>
              <w:rPr>
                <w:rFonts w:ascii="Arial" w:eastAsia="Times New Roman" w:hAnsi="Arial" w:cs="Arial"/>
                <w:b/>
                <w:bCs/>
                <w:sz w:val="22"/>
                <w:szCs w:val="22"/>
                <w:lang w:val="en-ZA" w:eastAsia="en-ZA"/>
              </w:rPr>
            </w:pPr>
            <w:r w:rsidRPr="004C75FD">
              <w:rPr>
                <w:rFonts w:ascii="Arial" w:eastAsia="Times New Roman" w:hAnsi="Arial" w:cs="Arial"/>
                <w:b/>
                <w:bCs/>
                <w:sz w:val="22"/>
                <w:szCs w:val="22"/>
                <w:lang w:val="en-ZA" w:eastAsia="en-ZA"/>
              </w:rPr>
              <w:lastRenderedPageBreak/>
              <w:t>Name</w:t>
            </w:r>
          </w:p>
        </w:tc>
        <w:tc>
          <w:tcPr>
            <w:tcW w:w="1985" w:type="dxa"/>
            <w:tcBorders>
              <w:top w:val="double" w:sz="6" w:space="0" w:color="auto"/>
              <w:left w:val="nil"/>
              <w:bottom w:val="single" w:sz="4" w:space="0" w:color="auto"/>
              <w:right w:val="single" w:sz="4" w:space="0" w:color="auto"/>
            </w:tcBorders>
            <w:shd w:val="clear" w:color="auto" w:fill="auto"/>
            <w:vAlign w:val="center"/>
            <w:hideMark/>
          </w:tcPr>
          <w:p w:rsidR="004C75FD" w:rsidRPr="004C75FD" w:rsidRDefault="004C75FD" w:rsidP="004C75FD">
            <w:pPr>
              <w:spacing w:line="360" w:lineRule="auto"/>
              <w:jc w:val="center"/>
              <w:rPr>
                <w:rFonts w:ascii="Arial" w:eastAsia="Times New Roman" w:hAnsi="Arial" w:cs="Arial"/>
                <w:b/>
                <w:bCs/>
                <w:sz w:val="22"/>
                <w:szCs w:val="22"/>
                <w:lang w:val="en-ZA" w:eastAsia="en-ZA"/>
              </w:rPr>
            </w:pPr>
            <w:r w:rsidRPr="004C75FD">
              <w:rPr>
                <w:rFonts w:ascii="Arial" w:eastAsia="Times New Roman" w:hAnsi="Arial" w:cs="Arial"/>
                <w:b/>
                <w:bCs/>
                <w:sz w:val="22"/>
                <w:szCs w:val="22"/>
                <w:lang w:val="en-ZA" w:eastAsia="en-ZA"/>
              </w:rPr>
              <w:t>Surname</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rsidR="004C75FD" w:rsidRPr="004C75FD" w:rsidRDefault="004C75FD" w:rsidP="004C75FD">
            <w:pPr>
              <w:spacing w:line="360" w:lineRule="auto"/>
              <w:jc w:val="center"/>
              <w:rPr>
                <w:rFonts w:ascii="Arial" w:eastAsia="Times New Roman" w:hAnsi="Arial" w:cs="Arial"/>
                <w:b/>
                <w:bCs/>
                <w:sz w:val="22"/>
                <w:szCs w:val="22"/>
                <w:lang w:val="en-ZA" w:eastAsia="en-ZA"/>
              </w:rPr>
            </w:pPr>
            <w:r w:rsidRPr="004C75FD">
              <w:rPr>
                <w:rFonts w:ascii="Arial" w:eastAsia="Times New Roman" w:hAnsi="Arial" w:cs="Arial"/>
                <w:b/>
                <w:bCs/>
                <w:sz w:val="22"/>
                <w:szCs w:val="22"/>
                <w:lang w:val="en-ZA" w:eastAsia="en-ZA"/>
              </w:rPr>
              <w:t>RBS Reference</w:t>
            </w:r>
          </w:p>
        </w:tc>
        <w:tc>
          <w:tcPr>
            <w:tcW w:w="1701" w:type="dxa"/>
            <w:tcBorders>
              <w:top w:val="double" w:sz="6" w:space="0" w:color="auto"/>
              <w:left w:val="nil"/>
              <w:bottom w:val="single" w:sz="4" w:space="0" w:color="auto"/>
              <w:right w:val="double" w:sz="6" w:space="0" w:color="auto"/>
            </w:tcBorders>
            <w:shd w:val="clear" w:color="auto" w:fill="auto"/>
            <w:vAlign w:val="center"/>
            <w:hideMark/>
          </w:tcPr>
          <w:p w:rsidR="004C75FD" w:rsidRPr="004C75FD" w:rsidRDefault="004C75FD" w:rsidP="004C75FD">
            <w:pPr>
              <w:spacing w:line="360" w:lineRule="auto"/>
              <w:jc w:val="center"/>
              <w:rPr>
                <w:rFonts w:ascii="Arial" w:eastAsia="Times New Roman" w:hAnsi="Arial" w:cs="Arial"/>
                <w:b/>
                <w:bCs/>
                <w:sz w:val="22"/>
                <w:szCs w:val="22"/>
                <w:lang w:val="en-ZA" w:eastAsia="en-ZA"/>
              </w:rPr>
            </w:pPr>
            <w:r w:rsidRPr="004C75FD">
              <w:rPr>
                <w:rFonts w:ascii="Arial" w:eastAsia="Times New Roman" w:hAnsi="Arial" w:cs="Arial"/>
                <w:b/>
                <w:bCs/>
                <w:sz w:val="22"/>
                <w:szCs w:val="22"/>
                <w:lang w:val="en-ZA" w:eastAsia="en-ZA"/>
              </w:rPr>
              <w:t>No. of Shares</w:t>
            </w:r>
          </w:p>
        </w:tc>
      </w:tr>
      <w:tr w:rsidR="004C75FD" w:rsidRPr="004C75FD" w:rsidTr="004C75FD">
        <w:trPr>
          <w:trHeight w:val="312"/>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Shimon</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Barit</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016760</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Sibylla</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Smude</w:t>
            </w:r>
            <w:proofErr w:type="spellEnd"/>
            <w:r w:rsidRPr="004C75FD">
              <w:rPr>
                <w:rFonts w:ascii="Arial" w:eastAsia="Times New Roman" w:hAnsi="Arial" w:cs="Arial"/>
                <w:sz w:val="22"/>
                <w:szCs w:val="22"/>
                <w:lang w:val="en-ZA" w:eastAsia="en-ZA"/>
              </w:rPr>
              <w:t>-Lang</w:t>
            </w:r>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016720</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Werner Markus</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016689</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 xml:space="preserve">Elfriede </w:t>
            </w:r>
            <w:proofErr w:type="spellStart"/>
            <w:r w:rsidRPr="004C75FD">
              <w:rPr>
                <w:rFonts w:ascii="Arial" w:eastAsia="Times New Roman" w:hAnsi="Arial" w:cs="Arial"/>
                <w:sz w:val="22"/>
                <w:szCs w:val="22"/>
                <w:lang w:val="en-ZA" w:eastAsia="en-ZA"/>
              </w:rPr>
              <w:t>Luise</w:t>
            </w:r>
            <w:proofErr w:type="spellEnd"/>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016686</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Ernst Albert</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016685</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Peter</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016684</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Carolin</w:t>
            </w:r>
            <w:proofErr w:type="spellEnd"/>
            <w:r w:rsidRPr="004C75FD">
              <w:rPr>
                <w:rFonts w:ascii="Arial" w:eastAsia="Times New Roman" w:hAnsi="Arial" w:cs="Arial"/>
                <w:sz w:val="22"/>
                <w:szCs w:val="22"/>
                <w:lang w:val="en-ZA" w:eastAsia="en-ZA"/>
              </w:rPr>
              <w:t xml:space="preserve"> Charlotte</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016681</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Frederic Michael</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016680</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Sophia Mary</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016679</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Josephine Johanna</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Duerr</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016675</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H Meyer Family Trust</w:t>
            </w:r>
          </w:p>
        </w:tc>
        <w:tc>
          <w:tcPr>
            <w:tcW w:w="1985" w:type="dxa"/>
            <w:tcBorders>
              <w:top w:val="nil"/>
              <w:left w:val="nil"/>
              <w:bottom w:val="single" w:sz="4" w:space="0" w:color="auto"/>
              <w:right w:val="single" w:sz="4" w:space="0" w:color="auto"/>
            </w:tcBorders>
            <w:shd w:val="clear" w:color="auto" w:fill="auto"/>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 </w:t>
            </w:r>
          </w:p>
        </w:tc>
        <w:tc>
          <w:tcPr>
            <w:tcW w:w="1843" w:type="dxa"/>
            <w:tcBorders>
              <w:top w:val="nil"/>
              <w:left w:val="nil"/>
              <w:bottom w:val="single" w:sz="4" w:space="0" w:color="auto"/>
              <w:right w:val="single" w:sz="4" w:space="0" w:color="auto"/>
            </w:tcBorders>
            <w:shd w:val="clear" w:color="auto" w:fill="auto"/>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016614</w:t>
            </w:r>
          </w:p>
        </w:tc>
        <w:tc>
          <w:tcPr>
            <w:tcW w:w="1701" w:type="dxa"/>
            <w:tcBorders>
              <w:top w:val="nil"/>
              <w:left w:val="nil"/>
              <w:bottom w:val="single" w:sz="4" w:space="0" w:color="auto"/>
              <w:right w:val="double" w:sz="6" w:space="0" w:color="auto"/>
            </w:tcBorders>
            <w:shd w:val="clear" w:color="auto" w:fill="auto"/>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Gwendoline Mildred</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Meyer</w:t>
            </w:r>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016606</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noWrap/>
            <w:hideMark/>
          </w:tcPr>
          <w:p w:rsidR="004C75FD" w:rsidRPr="004C75FD" w:rsidRDefault="004C75FD" w:rsidP="004C75FD">
            <w:pPr>
              <w:spacing w:line="360" w:lineRule="auto"/>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Zacharia</w:t>
            </w:r>
            <w:proofErr w:type="spellEnd"/>
            <w:r w:rsidRPr="004C75FD">
              <w:rPr>
                <w:rFonts w:ascii="Arial" w:eastAsia="Times New Roman" w:hAnsi="Arial" w:cs="Arial"/>
                <w:sz w:val="22"/>
                <w:szCs w:val="22"/>
                <w:lang w:val="en-ZA" w:eastAsia="en-ZA"/>
              </w:rPr>
              <w:t xml:space="preserve"> Petronella</w:t>
            </w:r>
          </w:p>
        </w:tc>
        <w:tc>
          <w:tcPr>
            <w:tcW w:w="1985"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proofErr w:type="spellStart"/>
            <w:r w:rsidRPr="004C75FD">
              <w:rPr>
                <w:rFonts w:ascii="Arial" w:eastAsia="Times New Roman" w:hAnsi="Arial" w:cs="Arial"/>
                <w:sz w:val="22"/>
                <w:szCs w:val="22"/>
                <w:lang w:val="en-ZA" w:eastAsia="en-ZA"/>
              </w:rPr>
              <w:t>Munnik</w:t>
            </w:r>
            <w:proofErr w:type="spellEnd"/>
          </w:p>
        </w:tc>
        <w:tc>
          <w:tcPr>
            <w:tcW w:w="1843" w:type="dxa"/>
            <w:tcBorders>
              <w:top w:val="nil"/>
              <w:left w:val="nil"/>
              <w:bottom w:val="single" w:sz="4"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016504</w:t>
            </w:r>
          </w:p>
        </w:tc>
        <w:tc>
          <w:tcPr>
            <w:tcW w:w="1701" w:type="dxa"/>
            <w:tcBorders>
              <w:top w:val="nil"/>
              <w:left w:val="nil"/>
              <w:bottom w:val="single" w:sz="4"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single" w:sz="4" w:space="0" w:color="auto"/>
              <w:right w:val="single" w:sz="4" w:space="0" w:color="auto"/>
            </w:tcBorders>
            <w:shd w:val="clear" w:color="auto" w:fill="auto"/>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Herman Werner</w:t>
            </w:r>
          </w:p>
        </w:tc>
        <w:tc>
          <w:tcPr>
            <w:tcW w:w="1985" w:type="dxa"/>
            <w:tcBorders>
              <w:top w:val="nil"/>
              <w:left w:val="nil"/>
              <w:bottom w:val="single" w:sz="4" w:space="0" w:color="auto"/>
              <w:right w:val="single" w:sz="4" w:space="0" w:color="auto"/>
            </w:tcBorders>
            <w:shd w:val="clear" w:color="auto" w:fill="auto"/>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Lang</w:t>
            </w:r>
          </w:p>
        </w:tc>
        <w:tc>
          <w:tcPr>
            <w:tcW w:w="1843" w:type="dxa"/>
            <w:tcBorders>
              <w:top w:val="nil"/>
              <w:left w:val="nil"/>
              <w:bottom w:val="single" w:sz="4" w:space="0" w:color="auto"/>
              <w:right w:val="single" w:sz="4" w:space="0" w:color="auto"/>
            </w:tcBorders>
            <w:shd w:val="clear" w:color="auto" w:fill="auto"/>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016505</w:t>
            </w:r>
          </w:p>
        </w:tc>
        <w:tc>
          <w:tcPr>
            <w:tcW w:w="1701" w:type="dxa"/>
            <w:tcBorders>
              <w:top w:val="nil"/>
              <w:left w:val="nil"/>
              <w:bottom w:val="single" w:sz="4" w:space="0" w:color="auto"/>
              <w:right w:val="double" w:sz="6" w:space="0" w:color="auto"/>
            </w:tcBorders>
            <w:shd w:val="clear" w:color="auto" w:fill="auto"/>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10,000</w:t>
            </w:r>
          </w:p>
        </w:tc>
      </w:tr>
      <w:tr w:rsidR="004C75FD" w:rsidRPr="004C75FD" w:rsidTr="004C75FD">
        <w:trPr>
          <w:trHeight w:val="324"/>
        </w:trPr>
        <w:tc>
          <w:tcPr>
            <w:tcW w:w="3448" w:type="dxa"/>
            <w:tcBorders>
              <w:top w:val="nil"/>
              <w:left w:val="double" w:sz="6" w:space="0" w:color="auto"/>
              <w:bottom w:val="double" w:sz="6" w:space="0" w:color="auto"/>
              <w:right w:val="single" w:sz="4" w:space="0" w:color="auto"/>
            </w:tcBorders>
            <w:shd w:val="clear" w:color="auto" w:fill="auto"/>
            <w:hideMark/>
          </w:tcPr>
          <w:p w:rsidR="004C75FD" w:rsidRPr="004C75FD" w:rsidRDefault="004C75FD" w:rsidP="004C75FD">
            <w:pPr>
              <w:spacing w:line="360" w:lineRule="auto"/>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 xml:space="preserve">Sally Helen </w:t>
            </w:r>
            <w:proofErr w:type="spellStart"/>
            <w:r w:rsidRPr="004C75FD">
              <w:rPr>
                <w:rFonts w:ascii="Arial" w:eastAsia="Times New Roman" w:hAnsi="Arial" w:cs="Arial"/>
                <w:sz w:val="22"/>
                <w:szCs w:val="22"/>
                <w:lang w:val="en-ZA" w:eastAsia="en-ZA"/>
              </w:rPr>
              <w:t>Hanscomb</w:t>
            </w:r>
            <w:proofErr w:type="spellEnd"/>
          </w:p>
        </w:tc>
        <w:tc>
          <w:tcPr>
            <w:tcW w:w="1985" w:type="dxa"/>
            <w:tcBorders>
              <w:top w:val="nil"/>
              <w:left w:val="nil"/>
              <w:bottom w:val="double" w:sz="6"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Joubert</w:t>
            </w:r>
          </w:p>
        </w:tc>
        <w:tc>
          <w:tcPr>
            <w:tcW w:w="1843" w:type="dxa"/>
            <w:tcBorders>
              <w:top w:val="nil"/>
              <w:left w:val="nil"/>
              <w:bottom w:val="double" w:sz="6" w:space="0" w:color="auto"/>
              <w:right w:val="single" w:sz="4"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016456</w:t>
            </w:r>
          </w:p>
        </w:tc>
        <w:tc>
          <w:tcPr>
            <w:tcW w:w="1701" w:type="dxa"/>
            <w:tcBorders>
              <w:top w:val="nil"/>
              <w:left w:val="nil"/>
              <w:bottom w:val="double" w:sz="6" w:space="0" w:color="auto"/>
              <w:right w:val="double" w:sz="6" w:space="0" w:color="auto"/>
            </w:tcBorders>
            <w:shd w:val="clear" w:color="auto" w:fill="auto"/>
            <w:noWrap/>
            <w:hideMark/>
          </w:tcPr>
          <w:p w:rsidR="004C75FD" w:rsidRPr="004C75FD" w:rsidRDefault="004C75FD" w:rsidP="004C75FD">
            <w:pPr>
              <w:spacing w:line="360" w:lineRule="auto"/>
              <w:jc w:val="center"/>
              <w:rPr>
                <w:rFonts w:ascii="Arial" w:eastAsia="Times New Roman" w:hAnsi="Arial" w:cs="Arial"/>
                <w:sz w:val="22"/>
                <w:szCs w:val="22"/>
                <w:lang w:val="en-ZA" w:eastAsia="en-ZA"/>
              </w:rPr>
            </w:pPr>
            <w:r w:rsidRPr="004C75FD">
              <w:rPr>
                <w:rFonts w:ascii="Arial" w:eastAsia="Times New Roman" w:hAnsi="Arial" w:cs="Arial"/>
                <w:sz w:val="22"/>
                <w:szCs w:val="22"/>
                <w:lang w:val="en-ZA" w:eastAsia="en-ZA"/>
              </w:rPr>
              <w:t>9,200</w:t>
            </w:r>
          </w:p>
        </w:tc>
      </w:tr>
      <w:tr w:rsidR="004C75FD" w:rsidRPr="004C75FD" w:rsidTr="004C75FD">
        <w:trPr>
          <w:trHeight w:val="324"/>
        </w:trPr>
        <w:tc>
          <w:tcPr>
            <w:tcW w:w="3448" w:type="dxa"/>
            <w:tcBorders>
              <w:top w:val="nil"/>
              <w:left w:val="nil"/>
              <w:bottom w:val="nil"/>
              <w:right w:val="nil"/>
            </w:tcBorders>
            <w:shd w:val="clear" w:color="auto" w:fill="auto"/>
            <w:noWrap/>
            <w:vAlign w:val="bottom"/>
            <w:hideMark/>
          </w:tcPr>
          <w:p w:rsidR="004C75FD" w:rsidRPr="004C75FD" w:rsidRDefault="004C75FD" w:rsidP="004C75FD">
            <w:pPr>
              <w:spacing w:line="360" w:lineRule="auto"/>
              <w:rPr>
                <w:rFonts w:ascii="Arial" w:eastAsia="Times New Roman" w:hAnsi="Arial" w:cs="Arial"/>
                <w:color w:val="000000"/>
                <w:sz w:val="22"/>
                <w:szCs w:val="22"/>
                <w:lang w:val="en-ZA" w:eastAsia="en-ZA"/>
              </w:rPr>
            </w:pPr>
          </w:p>
        </w:tc>
        <w:tc>
          <w:tcPr>
            <w:tcW w:w="1985" w:type="dxa"/>
            <w:tcBorders>
              <w:top w:val="nil"/>
              <w:left w:val="nil"/>
              <w:bottom w:val="nil"/>
              <w:right w:val="nil"/>
            </w:tcBorders>
            <w:shd w:val="clear" w:color="auto" w:fill="auto"/>
            <w:noWrap/>
            <w:vAlign w:val="bottom"/>
            <w:hideMark/>
          </w:tcPr>
          <w:p w:rsidR="004C75FD" w:rsidRPr="004C75FD" w:rsidRDefault="004C75FD" w:rsidP="004C75FD">
            <w:pPr>
              <w:spacing w:line="360" w:lineRule="auto"/>
              <w:rPr>
                <w:rFonts w:ascii="Arial" w:eastAsia="Times New Roman" w:hAnsi="Arial" w:cs="Arial"/>
                <w:color w:val="000000"/>
                <w:sz w:val="22"/>
                <w:szCs w:val="22"/>
                <w:lang w:val="en-ZA" w:eastAsia="en-ZA"/>
              </w:rPr>
            </w:pPr>
          </w:p>
        </w:tc>
        <w:tc>
          <w:tcPr>
            <w:tcW w:w="1843" w:type="dxa"/>
            <w:tcBorders>
              <w:top w:val="nil"/>
              <w:left w:val="nil"/>
              <w:bottom w:val="nil"/>
              <w:right w:val="nil"/>
            </w:tcBorders>
            <w:shd w:val="clear" w:color="auto" w:fill="auto"/>
            <w:noWrap/>
            <w:vAlign w:val="bottom"/>
            <w:hideMark/>
          </w:tcPr>
          <w:p w:rsidR="004C75FD" w:rsidRPr="004C75FD" w:rsidRDefault="004C75FD" w:rsidP="004C75FD">
            <w:pPr>
              <w:spacing w:line="360" w:lineRule="auto"/>
              <w:rPr>
                <w:rFonts w:ascii="Arial" w:eastAsia="Times New Roman" w:hAnsi="Arial" w:cs="Arial"/>
                <w:color w:val="000000"/>
                <w:sz w:val="22"/>
                <w:szCs w:val="22"/>
                <w:lang w:val="en-ZA" w:eastAsia="en-ZA"/>
              </w:rPr>
            </w:pPr>
          </w:p>
        </w:tc>
        <w:tc>
          <w:tcPr>
            <w:tcW w:w="1701" w:type="dxa"/>
            <w:tcBorders>
              <w:top w:val="nil"/>
              <w:left w:val="double" w:sz="6" w:space="0" w:color="auto"/>
              <w:bottom w:val="double" w:sz="6" w:space="0" w:color="auto"/>
              <w:right w:val="double" w:sz="6" w:space="0" w:color="auto"/>
            </w:tcBorders>
            <w:shd w:val="clear" w:color="auto" w:fill="auto"/>
            <w:noWrap/>
            <w:vAlign w:val="bottom"/>
            <w:hideMark/>
          </w:tcPr>
          <w:p w:rsidR="004C75FD" w:rsidRPr="004C75FD" w:rsidRDefault="004C75FD" w:rsidP="004C75FD">
            <w:pPr>
              <w:spacing w:line="360" w:lineRule="auto"/>
              <w:jc w:val="center"/>
              <w:rPr>
                <w:rFonts w:ascii="Arial" w:eastAsia="Times New Roman" w:hAnsi="Arial" w:cs="Arial"/>
                <w:color w:val="000000"/>
                <w:sz w:val="22"/>
                <w:szCs w:val="22"/>
                <w:lang w:val="en-ZA" w:eastAsia="en-ZA"/>
              </w:rPr>
            </w:pPr>
            <w:r w:rsidRPr="004C75FD">
              <w:rPr>
                <w:rFonts w:ascii="Arial" w:eastAsia="Times New Roman" w:hAnsi="Arial" w:cs="Arial"/>
                <w:color w:val="000000"/>
                <w:sz w:val="22"/>
                <w:szCs w:val="22"/>
                <w:lang w:val="en-ZA" w:eastAsia="en-ZA"/>
              </w:rPr>
              <w:t>149,200</w:t>
            </w:r>
          </w:p>
        </w:tc>
      </w:tr>
    </w:tbl>
    <w:p w:rsidR="005F3F4A" w:rsidRPr="004C75FD" w:rsidRDefault="005F3F4A" w:rsidP="004C75FD">
      <w:pPr>
        <w:pStyle w:val="Body"/>
        <w:tabs>
          <w:tab w:val="left" w:pos="432"/>
          <w:tab w:val="left" w:pos="864"/>
        </w:tabs>
        <w:spacing w:line="360" w:lineRule="auto"/>
        <w:jc w:val="center"/>
        <w:rPr>
          <w:rFonts w:ascii="Arial" w:eastAsia="Arial" w:hAnsi="Arial" w:cs="Arial"/>
          <w:b/>
          <w:bCs/>
          <w:sz w:val="22"/>
          <w:szCs w:val="22"/>
        </w:rPr>
      </w:pPr>
    </w:p>
    <w:p w:rsidR="00F22F1F" w:rsidRPr="004C75FD" w:rsidRDefault="00F22F1F" w:rsidP="004C75FD">
      <w:pPr>
        <w:pStyle w:val="Body"/>
        <w:tabs>
          <w:tab w:val="left" w:pos="432"/>
          <w:tab w:val="left" w:pos="864"/>
        </w:tabs>
        <w:spacing w:line="360" w:lineRule="auto"/>
        <w:jc w:val="center"/>
        <w:rPr>
          <w:rFonts w:ascii="Arial" w:eastAsia="Arial" w:hAnsi="Arial" w:cs="Arial"/>
          <w:b/>
          <w:bCs/>
          <w:sz w:val="22"/>
          <w:szCs w:val="22"/>
        </w:rPr>
      </w:pPr>
    </w:p>
    <w:p w:rsidR="00F22F1F" w:rsidRPr="004C75FD" w:rsidRDefault="00F22F1F" w:rsidP="004C75FD">
      <w:pPr>
        <w:pStyle w:val="Body"/>
        <w:tabs>
          <w:tab w:val="left" w:pos="432"/>
          <w:tab w:val="left" w:pos="864"/>
        </w:tabs>
        <w:spacing w:line="360" w:lineRule="auto"/>
        <w:jc w:val="center"/>
        <w:rPr>
          <w:rFonts w:ascii="Arial" w:eastAsia="Arial" w:hAnsi="Arial" w:cs="Arial"/>
          <w:b/>
          <w:bCs/>
          <w:sz w:val="22"/>
          <w:szCs w:val="22"/>
        </w:rPr>
      </w:pPr>
    </w:p>
    <w:p w:rsidR="00F22F1F" w:rsidRPr="004C75FD" w:rsidRDefault="00F22F1F">
      <w:pPr>
        <w:pStyle w:val="Body"/>
        <w:tabs>
          <w:tab w:val="left" w:pos="432"/>
          <w:tab w:val="left" w:pos="864"/>
        </w:tabs>
        <w:spacing w:line="276" w:lineRule="auto"/>
        <w:jc w:val="center"/>
        <w:rPr>
          <w:rFonts w:ascii="Arial" w:eastAsia="Arial" w:hAnsi="Arial" w:cs="Arial"/>
          <w:b/>
          <w:bCs/>
          <w:sz w:val="22"/>
          <w:szCs w:val="22"/>
        </w:rPr>
      </w:pPr>
    </w:p>
    <w:p w:rsidR="00F22F1F" w:rsidRPr="004C75FD" w:rsidRDefault="00F22F1F">
      <w:pPr>
        <w:pStyle w:val="Body"/>
        <w:tabs>
          <w:tab w:val="left" w:pos="432"/>
          <w:tab w:val="left" w:pos="864"/>
        </w:tabs>
        <w:spacing w:line="276" w:lineRule="auto"/>
        <w:jc w:val="center"/>
        <w:rPr>
          <w:rFonts w:ascii="Arial" w:eastAsia="Arial" w:hAnsi="Arial" w:cs="Arial"/>
          <w:b/>
          <w:bCs/>
          <w:sz w:val="22"/>
          <w:szCs w:val="22"/>
        </w:rPr>
      </w:pPr>
    </w:p>
    <w:p w:rsidR="00F22F1F" w:rsidRPr="004C75FD" w:rsidRDefault="00F22F1F">
      <w:pPr>
        <w:pStyle w:val="Body"/>
        <w:tabs>
          <w:tab w:val="left" w:pos="432"/>
          <w:tab w:val="left" w:pos="864"/>
        </w:tabs>
        <w:spacing w:line="276" w:lineRule="auto"/>
        <w:jc w:val="center"/>
        <w:rPr>
          <w:rFonts w:ascii="Arial" w:eastAsia="Arial" w:hAnsi="Arial" w:cs="Arial"/>
          <w:b/>
          <w:bCs/>
          <w:sz w:val="22"/>
          <w:szCs w:val="22"/>
        </w:rPr>
      </w:pPr>
    </w:p>
    <w:p w:rsidR="00F22F1F" w:rsidRPr="004C75FD" w:rsidRDefault="00F22F1F">
      <w:pPr>
        <w:pStyle w:val="Body"/>
        <w:tabs>
          <w:tab w:val="left" w:pos="432"/>
          <w:tab w:val="left" w:pos="864"/>
        </w:tabs>
        <w:spacing w:line="276" w:lineRule="auto"/>
        <w:jc w:val="center"/>
        <w:rPr>
          <w:rFonts w:ascii="Arial" w:eastAsia="Arial" w:hAnsi="Arial" w:cs="Arial"/>
          <w:b/>
          <w:bCs/>
          <w:sz w:val="22"/>
          <w:szCs w:val="22"/>
        </w:rPr>
      </w:pPr>
    </w:p>
    <w:p w:rsidR="00F22F1F" w:rsidRPr="004C75FD" w:rsidRDefault="00F22F1F">
      <w:pPr>
        <w:pStyle w:val="Body"/>
        <w:tabs>
          <w:tab w:val="left" w:pos="432"/>
          <w:tab w:val="left" w:pos="864"/>
        </w:tabs>
        <w:spacing w:line="276" w:lineRule="auto"/>
        <w:jc w:val="center"/>
        <w:rPr>
          <w:rFonts w:ascii="Arial" w:eastAsia="Arial" w:hAnsi="Arial" w:cs="Arial"/>
          <w:b/>
          <w:bCs/>
          <w:sz w:val="22"/>
          <w:szCs w:val="22"/>
        </w:rPr>
      </w:pPr>
    </w:p>
    <w:p w:rsidR="00F22F1F" w:rsidRPr="004C75FD" w:rsidRDefault="00F22F1F">
      <w:pPr>
        <w:pStyle w:val="Body"/>
        <w:tabs>
          <w:tab w:val="left" w:pos="432"/>
          <w:tab w:val="left" w:pos="864"/>
        </w:tabs>
        <w:spacing w:line="276" w:lineRule="auto"/>
        <w:jc w:val="center"/>
        <w:rPr>
          <w:rFonts w:ascii="Arial" w:eastAsia="Arial" w:hAnsi="Arial" w:cs="Arial"/>
          <w:b/>
          <w:bCs/>
          <w:sz w:val="22"/>
          <w:szCs w:val="22"/>
        </w:rPr>
      </w:pPr>
    </w:p>
    <w:p w:rsidR="005F3F4A" w:rsidRDefault="005F3F4A">
      <w:pPr>
        <w:pStyle w:val="Body"/>
        <w:tabs>
          <w:tab w:val="left" w:pos="432"/>
          <w:tab w:val="left" w:pos="864"/>
        </w:tabs>
        <w:spacing w:line="276" w:lineRule="auto"/>
        <w:jc w:val="center"/>
        <w:rPr>
          <w:rFonts w:ascii="Arial" w:eastAsia="Arial" w:hAnsi="Arial" w:cs="Arial"/>
          <w:b/>
          <w:bCs/>
          <w:sz w:val="22"/>
          <w:szCs w:val="22"/>
        </w:rPr>
      </w:pPr>
      <w:bookmarkStart w:id="0" w:name="_GoBack"/>
      <w:bookmarkEnd w:id="0"/>
    </w:p>
    <w:sectPr w:rsidR="005F3F4A">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16" w:rsidRDefault="00B90616">
      <w:r>
        <w:separator/>
      </w:r>
    </w:p>
  </w:endnote>
  <w:endnote w:type="continuationSeparator" w:id="0">
    <w:p w:rsidR="00B90616" w:rsidRDefault="00B9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16" w:rsidRDefault="00B90616">
      <w:r>
        <w:separator/>
      </w:r>
    </w:p>
  </w:footnote>
  <w:footnote w:type="continuationSeparator" w:id="0">
    <w:p w:rsidR="00B90616" w:rsidRDefault="00B90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4A"/>
    <w:rsid w:val="000F2B7B"/>
    <w:rsid w:val="0018136E"/>
    <w:rsid w:val="00246D36"/>
    <w:rsid w:val="00376B58"/>
    <w:rsid w:val="003931A7"/>
    <w:rsid w:val="00430373"/>
    <w:rsid w:val="004C75FD"/>
    <w:rsid w:val="005F3F4A"/>
    <w:rsid w:val="0064545B"/>
    <w:rsid w:val="00662D8D"/>
    <w:rsid w:val="006832DA"/>
    <w:rsid w:val="009544CB"/>
    <w:rsid w:val="00961B18"/>
    <w:rsid w:val="009746D4"/>
    <w:rsid w:val="00B90616"/>
    <w:rsid w:val="00C338C5"/>
    <w:rsid w:val="00C5433C"/>
    <w:rsid w:val="00D27310"/>
    <w:rsid w:val="00D96E2F"/>
    <w:rsid w:val="00DC1096"/>
    <w:rsid w:val="00DD0F4D"/>
    <w:rsid w:val="00DE6C2D"/>
    <w:rsid w:val="00E47A56"/>
    <w:rsid w:val="00EE0590"/>
    <w:rsid w:val="00F0130D"/>
    <w:rsid w:val="00F22F1F"/>
    <w:rsid w:val="00FC21CA"/>
    <w:rsid w:val="00FC5E3B"/>
    <w:rsid w:val="00FD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odyTextIndent">
    <w:name w:val="Body Text Indent"/>
    <w:pPr>
      <w:tabs>
        <w:tab w:val="left" w:pos="432"/>
        <w:tab w:val="left" w:pos="864"/>
      </w:tabs>
      <w:spacing w:line="480" w:lineRule="auto"/>
      <w:ind w:left="1094" w:hanging="547"/>
    </w:pPr>
    <w:rPr>
      <w:rFonts w:cs="Arial Unicode MS"/>
      <w:color w:val="000000"/>
      <w:sz w:val="24"/>
      <w:szCs w:val="24"/>
      <w:u w:color="000000"/>
    </w:rPr>
  </w:style>
  <w:style w:type="paragraph" w:styleId="BalloonText">
    <w:name w:val="Balloon Text"/>
    <w:basedOn w:val="Normal"/>
    <w:link w:val="BalloonTextChar"/>
    <w:uiPriority w:val="99"/>
    <w:semiHidden/>
    <w:unhideWhenUsed/>
    <w:rsid w:val="00FC5E3B"/>
    <w:rPr>
      <w:rFonts w:ascii="Tahoma" w:hAnsi="Tahoma" w:cs="Tahoma"/>
      <w:sz w:val="16"/>
      <w:szCs w:val="16"/>
    </w:rPr>
  </w:style>
  <w:style w:type="character" w:customStyle="1" w:styleId="BalloonTextChar">
    <w:name w:val="Balloon Text Char"/>
    <w:basedOn w:val="DefaultParagraphFont"/>
    <w:link w:val="BalloonText"/>
    <w:uiPriority w:val="99"/>
    <w:semiHidden/>
    <w:rsid w:val="00FC5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odyTextIndent">
    <w:name w:val="Body Text Indent"/>
    <w:pPr>
      <w:tabs>
        <w:tab w:val="left" w:pos="432"/>
        <w:tab w:val="left" w:pos="864"/>
      </w:tabs>
      <w:spacing w:line="480" w:lineRule="auto"/>
      <w:ind w:left="1094" w:hanging="547"/>
    </w:pPr>
    <w:rPr>
      <w:rFonts w:cs="Arial Unicode MS"/>
      <w:color w:val="000000"/>
      <w:sz w:val="24"/>
      <w:szCs w:val="24"/>
      <w:u w:color="000000"/>
    </w:rPr>
  </w:style>
  <w:style w:type="paragraph" w:styleId="BalloonText">
    <w:name w:val="Balloon Text"/>
    <w:basedOn w:val="Normal"/>
    <w:link w:val="BalloonTextChar"/>
    <w:uiPriority w:val="99"/>
    <w:semiHidden/>
    <w:unhideWhenUsed/>
    <w:rsid w:val="00FC5E3B"/>
    <w:rPr>
      <w:rFonts w:ascii="Tahoma" w:hAnsi="Tahoma" w:cs="Tahoma"/>
      <w:sz w:val="16"/>
      <w:szCs w:val="16"/>
    </w:rPr>
  </w:style>
  <w:style w:type="character" w:customStyle="1" w:styleId="BalloonTextChar">
    <w:name w:val="Balloon Text Char"/>
    <w:basedOn w:val="DefaultParagraphFont"/>
    <w:link w:val="BalloonText"/>
    <w:uiPriority w:val="99"/>
    <w:semiHidden/>
    <w:rsid w:val="00FC5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Batwa</dc:creator>
  <cp:lastModifiedBy>Samuel Mandiwana</cp:lastModifiedBy>
  <cp:revision>3</cp:revision>
  <cp:lastPrinted>2017-08-28T04:38:00Z</cp:lastPrinted>
  <dcterms:created xsi:type="dcterms:W3CDTF">2017-09-07T12:03:00Z</dcterms:created>
  <dcterms:modified xsi:type="dcterms:W3CDTF">2017-09-07T12:09:00Z</dcterms:modified>
</cp:coreProperties>
</file>