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34206045"/>
      <w:bookmarkStart w:id="1" w:name="_Hlk74243434"/>
      <w:r w:rsidRPr="00E938DE">
        <w:rPr>
          <w:rFonts w:ascii="Arial" w:hAnsi="Arial" w:cs="Arial"/>
          <w:b/>
          <w:sz w:val="22"/>
          <w:szCs w:val="22"/>
        </w:rPr>
        <w:t xml:space="preserve">NATIONAL </w:t>
      </w:r>
      <w:r w:rsidR="00FE58EB">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Default="00BC5A3F" w:rsidP="004A7866">
      <w:pPr>
        <w:spacing w:line="360" w:lineRule="auto"/>
        <w:jc w:val="center"/>
        <w:rPr>
          <w:rFonts w:ascii="Arial" w:hAnsi="Arial" w:cs="Arial"/>
          <w:b/>
          <w:sz w:val="22"/>
          <w:szCs w:val="22"/>
        </w:rPr>
      </w:pPr>
      <w:bookmarkStart w:id="2" w:name="_Hlk65832587"/>
      <w:bookmarkStart w:id="3" w:name="_Hlk55548705"/>
      <w:r w:rsidRPr="00C60A55">
        <w:rPr>
          <w:rFonts w:ascii="Arial" w:hAnsi="Arial" w:cs="Arial"/>
          <w:b/>
          <w:sz w:val="22"/>
          <w:szCs w:val="22"/>
        </w:rPr>
        <w:t xml:space="preserve">QUESTION NUMBER: </w:t>
      </w:r>
      <w:bookmarkStart w:id="4" w:name="_Hlk34208942"/>
      <w:bookmarkStart w:id="5" w:name="_Hlk49113957"/>
      <w:r w:rsidR="00C061CF">
        <w:rPr>
          <w:rFonts w:ascii="Arial" w:hAnsi="Arial" w:cs="Arial"/>
          <w:b/>
          <w:bCs/>
          <w:sz w:val="22"/>
          <w:lang w:val="en-GB"/>
        </w:rPr>
        <w:t>2005</w:t>
      </w:r>
      <w:r w:rsidR="008D3E86">
        <w:rPr>
          <w:rFonts w:ascii="Arial" w:hAnsi="Arial" w:cs="Arial"/>
          <w:b/>
          <w:bCs/>
          <w:sz w:val="22"/>
          <w:lang w:val="en-GB"/>
        </w:rPr>
        <w:t xml:space="preserve"> </w:t>
      </w:r>
      <w:r w:rsidRPr="000147EE">
        <w:rPr>
          <w:rFonts w:ascii="Arial" w:hAnsi="Arial" w:cs="Arial"/>
          <w:b/>
          <w:sz w:val="22"/>
          <w:szCs w:val="22"/>
        </w:rPr>
        <w:t>[</w:t>
      </w:r>
      <w:r w:rsidR="00FE58EB">
        <w:rPr>
          <w:rFonts w:ascii="Arial" w:hAnsi="Arial" w:cs="Arial"/>
          <w:b/>
          <w:sz w:val="22"/>
          <w:szCs w:val="22"/>
          <w:lang w:val="en-ZA"/>
        </w:rPr>
        <w:t>N</w:t>
      </w:r>
      <w:r w:rsidR="00D356CF" w:rsidRPr="00D356CF">
        <w:rPr>
          <w:rFonts w:ascii="Arial" w:hAnsi="Arial" w:cs="Arial"/>
          <w:b/>
          <w:sz w:val="22"/>
          <w:szCs w:val="22"/>
          <w:lang w:val="en-ZA"/>
        </w:rPr>
        <w:t>W</w:t>
      </w:r>
      <w:r w:rsidR="00FE58EB">
        <w:rPr>
          <w:rFonts w:ascii="Arial" w:hAnsi="Arial" w:cs="Arial"/>
          <w:b/>
          <w:sz w:val="22"/>
          <w:szCs w:val="22"/>
          <w:lang w:val="en-ZA"/>
        </w:rPr>
        <w:t>2</w:t>
      </w:r>
      <w:r w:rsidR="00C061CF">
        <w:rPr>
          <w:rFonts w:ascii="Arial" w:hAnsi="Arial" w:cs="Arial"/>
          <w:b/>
          <w:sz w:val="22"/>
          <w:szCs w:val="22"/>
          <w:lang w:val="en-ZA"/>
        </w:rPr>
        <w:t>240</w:t>
      </w:r>
      <w:r w:rsidR="00D356CF" w:rsidRPr="00D356CF">
        <w:rPr>
          <w:rFonts w:ascii="Arial" w:hAnsi="Arial" w:cs="Arial"/>
          <w:b/>
          <w:sz w:val="22"/>
          <w:szCs w:val="22"/>
          <w:lang w:val="en-ZA"/>
        </w:rPr>
        <w:t>E</w:t>
      </w:r>
      <w:r w:rsidRPr="000147EE">
        <w:rPr>
          <w:rFonts w:ascii="Arial" w:hAnsi="Arial" w:cs="Arial"/>
          <w:b/>
          <w:sz w:val="22"/>
          <w:szCs w:val="22"/>
        </w:rPr>
        <w:t>]</w:t>
      </w:r>
      <w:bookmarkEnd w:id="4"/>
    </w:p>
    <w:bookmarkEnd w:id="0"/>
    <w:bookmarkEnd w:id="1"/>
    <w:bookmarkEnd w:id="2"/>
    <w:bookmarkEnd w:id="3"/>
    <w:bookmarkEnd w:id="5"/>
    <w:p w:rsidR="008E3D62" w:rsidRPr="00A61462" w:rsidRDefault="008E3D62" w:rsidP="00A61462">
      <w:pPr>
        <w:spacing w:line="360" w:lineRule="auto"/>
        <w:jc w:val="both"/>
        <w:rPr>
          <w:rFonts w:ascii="Arial" w:hAnsi="Arial" w:cs="Arial"/>
          <w:b/>
          <w:sz w:val="22"/>
          <w:szCs w:val="22"/>
        </w:rPr>
      </w:pPr>
    </w:p>
    <w:p w:rsidR="00C061CF" w:rsidRPr="00C061CF" w:rsidRDefault="00C061CF" w:rsidP="00C061CF">
      <w:pPr>
        <w:spacing w:before="100" w:beforeAutospacing="1" w:after="100" w:afterAutospacing="1"/>
        <w:ind w:left="720" w:hanging="720"/>
        <w:jc w:val="both"/>
        <w:outlineLvl w:val="0"/>
        <w:rPr>
          <w:rFonts w:ascii="Arial" w:hAnsi="Arial" w:cs="Arial"/>
          <w:b/>
          <w:sz w:val="22"/>
          <w:szCs w:val="22"/>
        </w:rPr>
      </w:pPr>
      <w:r w:rsidRPr="00C061CF">
        <w:rPr>
          <w:rFonts w:ascii="Arial" w:hAnsi="Arial" w:cs="Arial"/>
          <w:b/>
          <w:sz w:val="22"/>
          <w:szCs w:val="22"/>
        </w:rPr>
        <w:t>2005.</w:t>
      </w:r>
      <w:r w:rsidRPr="00C061CF">
        <w:rPr>
          <w:rFonts w:ascii="Arial" w:hAnsi="Arial" w:cs="Arial"/>
          <w:b/>
          <w:sz w:val="22"/>
          <w:szCs w:val="22"/>
        </w:rPr>
        <w:tab/>
      </w:r>
      <w:proofErr w:type="spellStart"/>
      <w:r w:rsidRPr="00C061CF">
        <w:rPr>
          <w:rFonts w:ascii="Arial" w:hAnsi="Arial" w:cs="Arial"/>
          <w:b/>
          <w:sz w:val="22"/>
          <w:szCs w:val="22"/>
        </w:rPr>
        <w:t>Mr</w:t>
      </w:r>
      <w:proofErr w:type="spellEnd"/>
      <w:r w:rsidRPr="00C061CF">
        <w:rPr>
          <w:rFonts w:ascii="Arial" w:hAnsi="Arial" w:cs="Arial"/>
          <w:b/>
          <w:sz w:val="22"/>
          <w:szCs w:val="22"/>
        </w:rPr>
        <w:t xml:space="preserve"> H C </w:t>
      </w:r>
      <w:proofErr w:type="spellStart"/>
      <w:r w:rsidRPr="00C061CF">
        <w:rPr>
          <w:rFonts w:ascii="Arial" w:hAnsi="Arial" w:cs="Arial"/>
          <w:b/>
          <w:sz w:val="22"/>
          <w:szCs w:val="22"/>
        </w:rPr>
        <w:t>C</w:t>
      </w:r>
      <w:proofErr w:type="spellEnd"/>
      <w:r w:rsidRPr="00C061CF">
        <w:rPr>
          <w:rFonts w:ascii="Arial" w:hAnsi="Arial" w:cs="Arial"/>
          <w:b/>
          <w:sz w:val="22"/>
          <w:szCs w:val="22"/>
        </w:rPr>
        <w:t xml:space="preserve"> </w:t>
      </w:r>
      <w:bookmarkStart w:id="6" w:name="_GoBack"/>
      <w:proofErr w:type="spellStart"/>
      <w:r w:rsidRPr="00C061CF">
        <w:rPr>
          <w:rFonts w:ascii="Arial" w:hAnsi="Arial" w:cs="Arial"/>
          <w:b/>
          <w:sz w:val="22"/>
          <w:szCs w:val="22"/>
        </w:rPr>
        <w:t>Krüger</w:t>
      </w:r>
      <w:proofErr w:type="spellEnd"/>
      <w:r w:rsidRPr="00C061CF">
        <w:rPr>
          <w:rFonts w:ascii="Arial" w:hAnsi="Arial" w:cs="Arial"/>
          <w:b/>
          <w:sz w:val="22"/>
          <w:szCs w:val="22"/>
        </w:rPr>
        <w:t xml:space="preserve"> </w:t>
      </w:r>
      <w:bookmarkEnd w:id="6"/>
      <w:r w:rsidRPr="00C061CF">
        <w:rPr>
          <w:rFonts w:ascii="Arial" w:hAnsi="Arial" w:cs="Arial"/>
          <w:b/>
          <w:sz w:val="22"/>
          <w:szCs w:val="22"/>
        </w:rPr>
        <w:t>(DA) to ask the Minister of Finance</w:t>
      </w:r>
      <w:r w:rsidR="0073624F" w:rsidRPr="00C061CF">
        <w:rPr>
          <w:rFonts w:ascii="Arial" w:hAnsi="Arial" w:cs="Arial"/>
          <w:b/>
          <w:sz w:val="22"/>
          <w:szCs w:val="22"/>
        </w:rPr>
        <w:fldChar w:fldCharType="begin"/>
      </w:r>
      <w:r w:rsidRPr="00C061CF">
        <w:rPr>
          <w:rFonts w:ascii="Arial" w:hAnsi="Arial" w:cs="Arial"/>
          <w:sz w:val="22"/>
          <w:szCs w:val="22"/>
        </w:rPr>
        <w:instrText xml:space="preserve"> XE "</w:instrText>
      </w:r>
      <w:r w:rsidRPr="00C061CF">
        <w:rPr>
          <w:rFonts w:ascii="Arial" w:hAnsi="Arial" w:cs="Arial"/>
          <w:b/>
          <w:sz w:val="22"/>
          <w:szCs w:val="22"/>
        </w:rPr>
        <w:instrText>Finance</w:instrText>
      </w:r>
      <w:r w:rsidRPr="00C061CF">
        <w:rPr>
          <w:rFonts w:ascii="Arial" w:hAnsi="Arial" w:cs="Arial"/>
          <w:sz w:val="22"/>
          <w:szCs w:val="22"/>
        </w:rPr>
        <w:instrText xml:space="preserve">" </w:instrText>
      </w:r>
      <w:r w:rsidR="0073624F" w:rsidRPr="00C061CF">
        <w:rPr>
          <w:rFonts w:ascii="Arial" w:hAnsi="Arial" w:cs="Arial"/>
          <w:b/>
          <w:sz w:val="22"/>
          <w:szCs w:val="22"/>
        </w:rPr>
        <w:fldChar w:fldCharType="end"/>
      </w:r>
      <w:r w:rsidRPr="00C061CF">
        <w:rPr>
          <w:rFonts w:ascii="Arial" w:hAnsi="Arial" w:cs="Arial"/>
          <w:b/>
          <w:sz w:val="22"/>
          <w:szCs w:val="22"/>
        </w:rPr>
        <w:t xml:space="preserve">: </w:t>
      </w:r>
    </w:p>
    <w:p w:rsidR="00C061CF" w:rsidRPr="00C061CF" w:rsidRDefault="00C061CF" w:rsidP="00C061CF">
      <w:pPr>
        <w:spacing w:before="100" w:beforeAutospacing="1" w:after="100" w:afterAutospacing="1"/>
        <w:ind w:left="720" w:hanging="720"/>
        <w:jc w:val="both"/>
        <w:outlineLvl w:val="0"/>
        <w:rPr>
          <w:rFonts w:ascii="Arial" w:hAnsi="Arial" w:cs="Arial"/>
          <w:sz w:val="22"/>
          <w:szCs w:val="22"/>
          <w:lang w:eastAsia="en-ZA"/>
        </w:rPr>
      </w:pPr>
      <w:r w:rsidRPr="00C061CF">
        <w:rPr>
          <w:rFonts w:ascii="Arial" w:hAnsi="Arial" w:cs="Arial"/>
          <w:sz w:val="22"/>
          <w:szCs w:val="22"/>
          <w:lang w:eastAsia="en-ZA"/>
        </w:rPr>
        <w:t>(1)</w:t>
      </w:r>
      <w:r w:rsidRPr="00C061CF">
        <w:rPr>
          <w:rFonts w:ascii="Arial" w:hAnsi="Arial" w:cs="Arial"/>
          <w:sz w:val="22"/>
          <w:szCs w:val="22"/>
          <w:lang w:eastAsia="en-ZA"/>
        </w:rPr>
        <w:tab/>
        <w:t>With reference to the 2020-21 Annual Report on Non-Compliance with Payments of Supplier’s Invoices within 30 Days, what (a) amount of the R4,1 billion in invoices paid after 30 days in the 2020-21 financial year by national departments was paid to small, medium and micro enterprises (SMMEs) and (b) is the breakdown of the amounts paid to SMMEs by each national department;</w:t>
      </w:r>
    </w:p>
    <w:p w:rsidR="00C061CF" w:rsidRPr="00C061CF" w:rsidRDefault="00C061CF" w:rsidP="00C061CF">
      <w:pPr>
        <w:spacing w:before="100" w:beforeAutospacing="1" w:after="100" w:afterAutospacing="1"/>
        <w:ind w:left="720" w:hanging="720"/>
        <w:jc w:val="both"/>
        <w:outlineLvl w:val="0"/>
        <w:rPr>
          <w:rFonts w:ascii="Arial" w:hAnsi="Arial" w:cs="Arial"/>
          <w:sz w:val="22"/>
          <w:szCs w:val="22"/>
          <w:lang w:eastAsia="en-ZA"/>
        </w:rPr>
      </w:pPr>
      <w:r w:rsidRPr="00C061CF">
        <w:rPr>
          <w:rFonts w:ascii="Arial" w:hAnsi="Arial" w:cs="Arial"/>
          <w:sz w:val="22"/>
          <w:szCs w:val="22"/>
          <w:lang w:eastAsia="en-ZA"/>
        </w:rPr>
        <w:t>(2)</w:t>
      </w:r>
      <w:r w:rsidRPr="00C061CF">
        <w:rPr>
          <w:rFonts w:ascii="Arial" w:hAnsi="Arial" w:cs="Arial"/>
          <w:sz w:val="22"/>
          <w:szCs w:val="22"/>
          <w:lang w:eastAsia="en-ZA"/>
        </w:rPr>
        <w:tab/>
        <w:t>what (a) amount of the R415 million in invoices older than 30 days and not paid in the 2020-21 financial year by national departments is owed to SMMEs and (b) is the breakdown of the amounts owed to SMMEs by each national department;</w:t>
      </w:r>
    </w:p>
    <w:p w:rsidR="00C061CF" w:rsidRPr="00C061CF" w:rsidRDefault="00C061CF" w:rsidP="00C061CF">
      <w:pPr>
        <w:spacing w:before="100" w:beforeAutospacing="1" w:after="100" w:afterAutospacing="1"/>
        <w:ind w:left="720" w:hanging="720"/>
        <w:jc w:val="both"/>
        <w:outlineLvl w:val="0"/>
        <w:rPr>
          <w:rFonts w:ascii="Arial" w:hAnsi="Arial" w:cs="Arial"/>
          <w:sz w:val="22"/>
          <w:szCs w:val="22"/>
          <w:lang w:eastAsia="en-ZA"/>
        </w:rPr>
      </w:pPr>
      <w:r w:rsidRPr="00C061CF">
        <w:rPr>
          <w:rFonts w:ascii="Arial" w:hAnsi="Arial" w:cs="Arial"/>
          <w:sz w:val="22"/>
          <w:szCs w:val="22"/>
          <w:lang w:eastAsia="en-ZA"/>
        </w:rPr>
        <w:t>(3)</w:t>
      </w:r>
      <w:r w:rsidRPr="00C061CF">
        <w:rPr>
          <w:rFonts w:ascii="Arial" w:hAnsi="Arial" w:cs="Arial"/>
          <w:sz w:val="22"/>
          <w:szCs w:val="22"/>
          <w:lang w:eastAsia="en-ZA"/>
        </w:rPr>
        <w:tab/>
        <w:t>what (a) amount of the R25,9 billion in invoices paid after 30 days in the 2020-21 financial year by provincial departments was paid to SMMEs and (b) is the breakdown of the amounts paid to SMMEs by each provincial department;</w:t>
      </w:r>
    </w:p>
    <w:p w:rsidR="00C061CF" w:rsidRPr="00C061CF" w:rsidRDefault="00C061CF" w:rsidP="00C061CF">
      <w:pPr>
        <w:spacing w:before="100" w:beforeAutospacing="1" w:after="100" w:afterAutospacing="1"/>
        <w:ind w:left="720" w:hanging="720"/>
        <w:jc w:val="both"/>
        <w:outlineLvl w:val="0"/>
        <w:rPr>
          <w:rFonts w:ascii="Arial" w:hAnsi="Arial" w:cs="Arial"/>
          <w:sz w:val="22"/>
          <w:szCs w:val="22"/>
          <w:lang w:eastAsia="en-ZA"/>
        </w:rPr>
      </w:pPr>
      <w:r w:rsidRPr="00C061CF">
        <w:rPr>
          <w:rFonts w:ascii="Arial" w:hAnsi="Arial" w:cs="Arial"/>
          <w:sz w:val="22"/>
          <w:szCs w:val="22"/>
          <w:lang w:eastAsia="en-ZA"/>
        </w:rPr>
        <w:t>(4)</w:t>
      </w:r>
      <w:r w:rsidRPr="00C061CF">
        <w:rPr>
          <w:rFonts w:ascii="Arial" w:hAnsi="Arial" w:cs="Arial"/>
          <w:sz w:val="22"/>
          <w:szCs w:val="22"/>
          <w:lang w:eastAsia="en-ZA"/>
        </w:rPr>
        <w:tab/>
        <w:t xml:space="preserve">what (a) amount of the R5,3 billion in invoices older than 30 days and not paid in 2020-21 financial year by provincial departments is owed to SMMEs and (b) is the breakdown of </w:t>
      </w:r>
      <w:r w:rsidRPr="00D178F1">
        <w:rPr>
          <w:rFonts w:ascii="Arial" w:hAnsi="Arial" w:cs="Arial"/>
          <w:bCs/>
          <w:sz w:val="22"/>
          <w:szCs w:val="22"/>
          <w:lang w:val="en-ZA"/>
        </w:rPr>
        <w:t>the amounts owed to SMMEs by each provincial department;</w:t>
      </w:r>
    </w:p>
    <w:p w:rsidR="00C061CF" w:rsidRPr="00C061CF" w:rsidRDefault="00C061CF" w:rsidP="00C061CF">
      <w:pPr>
        <w:spacing w:before="100" w:beforeAutospacing="1" w:after="100" w:afterAutospacing="1"/>
        <w:ind w:left="720" w:hanging="720"/>
        <w:jc w:val="both"/>
        <w:outlineLvl w:val="0"/>
        <w:rPr>
          <w:rFonts w:ascii="Arial" w:hAnsi="Arial" w:cs="Arial"/>
          <w:sz w:val="22"/>
          <w:szCs w:val="22"/>
        </w:rPr>
      </w:pPr>
      <w:r w:rsidRPr="00C061CF">
        <w:rPr>
          <w:rFonts w:ascii="Arial" w:hAnsi="Arial" w:cs="Arial"/>
          <w:sz w:val="22"/>
          <w:szCs w:val="22"/>
          <w:lang w:eastAsia="en-ZA"/>
        </w:rPr>
        <w:t>(5)</w:t>
      </w:r>
      <w:r w:rsidRPr="00C061CF">
        <w:rPr>
          <w:rFonts w:ascii="Arial" w:hAnsi="Arial" w:cs="Arial"/>
          <w:sz w:val="22"/>
          <w:szCs w:val="22"/>
          <w:lang w:eastAsia="en-ZA"/>
        </w:rPr>
        <w:tab/>
        <w:t>what are the reasons that there is a discrepancy between the total values of invoices older than 30 days and not paid in the 2020-21 financial year by provincial departments, as indicated on Table 11 to be R4,1 billion and in Graph 10 to be R5,3 billion?</w:t>
      </w:r>
      <w:r w:rsidRPr="00C061CF">
        <w:rPr>
          <w:rFonts w:ascii="Arial" w:hAnsi="Arial" w:cs="Arial"/>
          <w:sz w:val="22"/>
          <w:szCs w:val="22"/>
          <w:lang w:eastAsia="en-ZA"/>
        </w:rPr>
        <w:tab/>
      </w:r>
      <w:r w:rsidRPr="00C061CF">
        <w:rPr>
          <w:rFonts w:ascii="Arial" w:hAnsi="Arial" w:cs="Arial"/>
          <w:sz w:val="22"/>
          <w:szCs w:val="22"/>
          <w:lang w:eastAsia="en-ZA"/>
        </w:rPr>
        <w:tab/>
      </w:r>
      <w:r>
        <w:rPr>
          <w:rFonts w:ascii="Arial" w:hAnsi="Arial" w:cs="Arial"/>
          <w:sz w:val="22"/>
          <w:szCs w:val="22"/>
          <w:lang w:eastAsia="en-ZA"/>
        </w:rPr>
        <w:tab/>
      </w:r>
      <w:r>
        <w:rPr>
          <w:rFonts w:ascii="Arial" w:hAnsi="Arial" w:cs="Arial"/>
          <w:sz w:val="22"/>
          <w:szCs w:val="22"/>
          <w:lang w:eastAsia="en-ZA"/>
        </w:rPr>
        <w:tab/>
      </w:r>
      <w:r>
        <w:rPr>
          <w:rFonts w:ascii="Arial" w:hAnsi="Arial" w:cs="Arial"/>
          <w:sz w:val="22"/>
          <w:szCs w:val="22"/>
          <w:lang w:eastAsia="en-ZA"/>
        </w:rPr>
        <w:tab/>
      </w:r>
      <w:r>
        <w:rPr>
          <w:rFonts w:ascii="Arial" w:hAnsi="Arial" w:cs="Arial"/>
          <w:sz w:val="22"/>
          <w:szCs w:val="22"/>
          <w:lang w:eastAsia="en-ZA"/>
        </w:rPr>
        <w:tab/>
      </w:r>
      <w:r>
        <w:rPr>
          <w:rFonts w:ascii="Arial" w:hAnsi="Arial" w:cs="Arial"/>
          <w:sz w:val="22"/>
          <w:szCs w:val="22"/>
          <w:lang w:eastAsia="en-ZA"/>
        </w:rPr>
        <w:tab/>
      </w:r>
      <w:r w:rsidRPr="00C061CF">
        <w:rPr>
          <w:rFonts w:ascii="Arial" w:hAnsi="Arial" w:cs="Arial"/>
          <w:sz w:val="22"/>
          <w:szCs w:val="22"/>
          <w:lang w:eastAsia="en-ZA"/>
        </w:rPr>
        <w:tab/>
      </w:r>
      <w:r w:rsidRPr="00C061CF">
        <w:rPr>
          <w:rFonts w:ascii="Arial" w:hAnsi="Arial" w:cs="Arial"/>
          <w:sz w:val="22"/>
          <w:szCs w:val="22"/>
          <w:lang w:eastAsia="en-ZA"/>
        </w:rPr>
        <w:tab/>
      </w:r>
      <w:r w:rsidRPr="00C061CF">
        <w:rPr>
          <w:rFonts w:ascii="Arial" w:hAnsi="Arial" w:cs="Arial"/>
          <w:sz w:val="22"/>
          <w:szCs w:val="22"/>
          <w:lang w:eastAsia="en-ZA"/>
        </w:rPr>
        <w:tab/>
      </w:r>
      <w:r w:rsidRPr="00C061CF">
        <w:rPr>
          <w:rFonts w:ascii="Arial" w:hAnsi="Arial" w:cs="Arial"/>
          <w:sz w:val="22"/>
          <w:szCs w:val="22"/>
          <w:lang w:eastAsia="en-ZA"/>
        </w:rPr>
        <w:tab/>
      </w:r>
      <w:r w:rsidRPr="00C061CF">
        <w:rPr>
          <w:rFonts w:ascii="Arial" w:hAnsi="Arial" w:cs="Arial"/>
          <w:sz w:val="22"/>
          <w:szCs w:val="22"/>
          <w:lang w:eastAsia="en-ZA"/>
        </w:rPr>
        <w:tab/>
        <w:t>NW2240E</w:t>
      </w:r>
    </w:p>
    <w:p w:rsidR="008E3D62" w:rsidRPr="00C061CF" w:rsidRDefault="008E3D62" w:rsidP="00A61462">
      <w:pPr>
        <w:spacing w:line="360" w:lineRule="auto"/>
        <w:rPr>
          <w:rFonts w:ascii="Arial" w:hAnsi="Arial" w:cs="Arial"/>
          <w:sz w:val="22"/>
          <w:szCs w:val="22"/>
        </w:rPr>
      </w:pPr>
      <w:r w:rsidRPr="00C061CF">
        <w:rPr>
          <w:rFonts w:ascii="Arial" w:hAnsi="Arial" w:cs="Arial"/>
          <w:b/>
          <w:sz w:val="22"/>
          <w:szCs w:val="22"/>
        </w:rPr>
        <w:t>REPLY</w:t>
      </w:r>
      <w:r w:rsidRPr="00C061CF">
        <w:rPr>
          <w:rFonts w:ascii="Arial" w:hAnsi="Arial" w:cs="Arial"/>
          <w:sz w:val="22"/>
          <w:szCs w:val="22"/>
        </w:rPr>
        <w:t>:</w:t>
      </w:r>
    </w:p>
    <w:p w:rsidR="00F43C72" w:rsidRDefault="00F43C72" w:rsidP="003F77C9">
      <w:pPr>
        <w:pStyle w:val="ListParagraph"/>
        <w:ind w:left="0"/>
        <w:rPr>
          <w:rFonts w:ascii="Arial" w:hAnsi="Arial" w:cs="Arial"/>
          <w:bCs/>
          <w:sz w:val="22"/>
          <w:szCs w:val="22"/>
          <w:lang w:val="en-ZA"/>
        </w:rPr>
      </w:pPr>
    </w:p>
    <w:p w:rsidR="00BC2B24" w:rsidRPr="00D178F1" w:rsidRDefault="00BC2B24" w:rsidP="00D178F1">
      <w:pPr>
        <w:pStyle w:val="ListParagraph"/>
        <w:numPr>
          <w:ilvl w:val="0"/>
          <w:numId w:val="22"/>
        </w:numPr>
        <w:ind w:left="709" w:hanging="709"/>
        <w:jc w:val="both"/>
        <w:rPr>
          <w:rFonts w:ascii="Arial" w:hAnsi="Arial" w:cs="Arial"/>
          <w:bCs/>
          <w:sz w:val="22"/>
          <w:szCs w:val="22"/>
          <w:lang w:val="en-ZA"/>
        </w:rPr>
      </w:pPr>
      <w:r>
        <w:rPr>
          <w:rFonts w:ascii="Arial" w:hAnsi="Arial" w:cs="Arial"/>
          <w:bCs/>
          <w:sz w:val="22"/>
          <w:szCs w:val="22"/>
          <w:lang w:val="en-ZA"/>
        </w:rPr>
        <w:t xml:space="preserve">(a) National Treasury Instruction Note No 34 issued in 2011 requires departments to </w:t>
      </w:r>
      <w:r w:rsidRPr="00AF064B">
        <w:rPr>
          <w:rFonts w:ascii="Arial" w:hAnsi="Arial" w:cs="Arial"/>
          <w:bCs/>
          <w:sz w:val="22"/>
          <w:szCs w:val="22"/>
          <w:lang w:val="en-ZA"/>
        </w:rPr>
        <w:t>submit 3</w:t>
      </w:r>
      <w:r>
        <w:rPr>
          <w:rFonts w:ascii="Arial" w:hAnsi="Arial" w:cs="Arial"/>
          <w:bCs/>
          <w:sz w:val="22"/>
          <w:szCs w:val="22"/>
          <w:lang w:val="en-ZA"/>
        </w:rPr>
        <w:t xml:space="preserve">0 days exception reports to </w:t>
      </w:r>
      <w:r w:rsidRPr="00AF064B">
        <w:rPr>
          <w:rFonts w:ascii="Arial" w:hAnsi="Arial" w:cs="Arial"/>
          <w:bCs/>
          <w:sz w:val="22"/>
          <w:szCs w:val="22"/>
          <w:lang w:val="en-ZA"/>
        </w:rPr>
        <w:t xml:space="preserve">relevant treasuries </w:t>
      </w:r>
      <w:r>
        <w:rPr>
          <w:rFonts w:ascii="Arial" w:hAnsi="Arial" w:cs="Arial"/>
          <w:bCs/>
          <w:sz w:val="22"/>
          <w:szCs w:val="22"/>
          <w:lang w:val="en-ZA"/>
        </w:rPr>
        <w:t>each month with information related to (</w:t>
      </w:r>
      <w:proofErr w:type="spellStart"/>
      <w:r>
        <w:rPr>
          <w:rFonts w:ascii="Arial" w:hAnsi="Arial" w:cs="Arial"/>
          <w:bCs/>
          <w:sz w:val="22"/>
          <w:szCs w:val="22"/>
          <w:lang w:val="en-ZA"/>
        </w:rPr>
        <w:t>i</w:t>
      </w:r>
      <w:proofErr w:type="spellEnd"/>
      <w:r>
        <w:rPr>
          <w:rFonts w:ascii="Arial" w:hAnsi="Arial" w:cs="Arial"/>
          <w:bCs/>
          <w:sz w:val="22"/>
          <w:szCs w:val="22"/>
          <w:lang w:val="en-ZA"/>
        </w:rPr>
        <w:t xml:space="preserve">) </w:t>
      </w:r>
      <w:r w:rsidRPr="00F60544">
        <w:rPr>
          <w:rFonts w:ascii="Arial" w:hAnsi="Arial" w:cs="Arial"/>
          <w:bCs/>
          <w:sz w:val="22"/>
          <w:szCs w:val="22"/>
          <w:lang w:val="en-ZA"/>
        </w:rPr>
        <w:t>the number and value of invoices paid after 30 days from the date of receiving invoices</w:t>
      </w:r>
      <w:r w:rsidRPr="00BC2B24">
        <w:rPr>
          <w:rFonts w:ascii="Arial" w:hAnsi="Arial" w:cs="Arial"/>
          <w:bCs/>
          <w:sz w:val="22"/>
          <w:szCs w:val="22"/>
          <w:lang w:val="en-ZA"/>
        </w:rPr>
        <w:t xml:space="preserve">, (ii) </w:t>
      </w:r>
      <w:r w:rsidRPr="00F60544">
        <w:rPr>
          <w:rFonts w:ascii="Arial" w:hAnsi="Arial" w:cs="Arial"/>
          <w:bCs/>
          <w:sz w:val="22"/>
          <w:szCs w:val="22"/>
          <w:lang w:val="en-ZA"/>
        </w:rPr>
        <w:t>the number and value of invoices that are older than</w:t>
      </w:r>
      <w:r w:rsidRPr="00BC2B24">
        <w:rPr>
          <w:rFonts w:ascii="Arial" w:hAnsi="Arial" w:cs="Arial"/>
          <w:bCs/>
          <w:sz w:val="22"/>
          <w:szCs w:val="22"/>
          <w:lang w:val="en-ZA"/>
        </w:rPr>
        <w:t xml:space="preserve"> 30 days, which remained unpaid,</w:t>
      </w:r>
      <w:r w:rsidRPr="00F60544">
        <w:rPr>
          <w:rFonts w:ascii="Arial" w:hAnsi="Arial" w:cs="Arial"/>
          <w:bCs/>
          <w:sz w:val="22"/>
          <w:szCs w:val="22"/>
          <w:lang w:val="en-ZA"/>
        </w:rPr>
        <w:t xml:space="preserve"> and</w:t>
      </w:r>
      <w:r>
        <w:rPr>
          <w:rFonts w:ascii="Arial" w:hAnsi="Arial" w:cs="Arial"/>
          <w:bCs/>
          <w:sz w:val="22"/>
          <w:szCs w:val="22"/>
          <w:lang w:val="en-ZA"/>
        </w:rPr>
        <w:t xml:space="preserve"> (iii) </w:t>
      </w:r>
      <w:r w:rsidRPr="00F60544">
        <w:rPr>
          <w:rFonts w:ascii="Arial" w:hAnsi="Arial" w:cs="Arial"/>
          <w:bCs/>
          <w:sz w:val="22"/>
          <w:szCs w:val="22"/>
          <w:lang w:val="en-ZA"/>
        </w:rPr>
        <w:t>the reasons for the late and/or non-payment o</w:t>
      </w:r>
      <w:r w:rsidR="00E85125">
        <w:rPr>
          <w:rFonts w:ascii="Arial" w:hAnsi="Arial" w:cs="Arial"/>
          <w:bCs/>
          <w:sz w:val="22"/>
          <w:szCs w:val="22"/>
          <w:lang w:val="en-ZA"/>
        </w:rPr>
        <w:t xml:space="preserve">f the </w:t>
      </w:r>
      <w:proofErr w:type="spellStart"/>
      <w:r w:rsidR="00E85125">
        <w:rPr>
          <w:rFonts w:ascii="Arial" w:hAnsi="Arial" w:cs="Arial"/>
          <w:bCs/>
          <w:sz w:val="22"/>
          <w:szCs w:val="22"/>
          <w:lang w:val="en-ZA"/>
        </w:rPr>
        <w:t>invoices</w:t>
      </w:r>
      <w:r w:rsidRPr="00F60544">
        <w:rPr>
          <w:rFonts w:ascii="Arial" w:hAnsi="Arial" w:cs="Arial"/>
          <w:bCs/>
          <w:sz w:val="22"/>
          <w:szCs w:val="22"/>
          <w:lang w:val="en-ZA"/>
        </w:rPr>
        <w:t>.</w:t>
      </w:r>
      <w:r w:rsidR="0063324E">
        <w:rPr>
          <w:rFonts w:ascii="Arial" w:hAnsi="Arial" w:cs="Arial"/>
          <w:bCs/>
          <w:sz w:val="22"/>
          <w:szCs w:val="22"/>
          <w:lang w:val="en-ZA"/>
        </w:rPr>
        <w:t>The</w:t>
      </w:r>
      <w:proofErr w:type="spellEnd"/>
      <w:r w:rsidR="0063324E">
        <w:rPr>
          <w:rFonts w:ascii="Arial" w:hAnsi="Arial" w:cs="Arial"/>
          <w:bCs/>
          <w:sz w:val="22"/>
          <w:szCs w:val="22"/>
          <w:lang w:val="en-ZA"/>
        </w:rPr>
        <w:t xml:space="preserve"> amount of R4,1 billion </w:t>
      </w:r>
      <w:r>
        <w:rPr>
          <w:rFonts w:ascii="Arial" w:hAnsi="Arial" w:cs="Arial"/>
          <w:bCs/>
          <w:sz w:val="22"/>
          <w:szCs w:val="22"/>
          <w:lang w:val="en-ZA"/>
        </w:rPr>
        <w:t>represent</w:t>
      </w:r>
      <w:r w:rsidR="0063324E">
        <w:rPr>
          <w:rFonts w:ascii="Arial" w:hAnsi="Arial" w:cs="Arial"/>
          <w:bCs/>
          <w:sz w:val="22"/>
          <w:szCs w:val="22"/>
          <w:lang w:val="en-ZA"/>
        </w:rPr>
        <w:t xml:space="preserve"> the total amount of all invoices paid after 30 days </w:t>
      </w:r>
      <w:r w:rsidR="003511D4">
        <w:rPr>
          <w:rFonts w:ascii="Arial" w:hAnsi="Arial" w:cs="Arial"/>
          <w:bCs/>
          <w:sz w:val="22"/>
          <w:szCs w:val="22"/>
          <w:lang w:val="en-ZA"/>
        </w:rPr>
        <w:t xml:space="preserve">during </w:t>
      </w:r>
      <w:r>
        <w:rPr>
          <w:rFonts w:ascii="Arial" w:hAnsi="Arial" w:cs="Arial"/>
          <w:bCs/>
          <w:sz w:val="22"/>
          <w:szCs w:val="22"/>
          <w:lang w:val="en-ZA"/>
        </w:rPr>
        <w:t xml:space="preserve">the </w:t>
      </w:r>
      <w:r w:rsidR="003511D4">
        <w:rPr>
          <w:rFonts w:ascii="Arial" w:hAnsi="Arial" w:cs="Arial"/>
          <w:bCs/>
          <w:sz w:val="22"/>
          <w:szCs w:val="22"/>
          <w:lang w:val="en-ZA"/>
        </w:rPr>
        <w:t>2020/2021 financial year</w:t>
      </w:r>
      <w:r>
        <w:rPr>
          <w:rFonts w:ascii="Arial" w:hAnsi="Arial" w:cs="Arial"/>
          <w:bCs/>
          <w:sz w:val="22"/>
          <w:szCs w:val="22"/>
          <w:lang w:val="en-ZA"/>
        </w:rPr>
        <w:t xml:space="preserve"> and</w:t>
      </w:r>
      <w:r w:rsidR="00E85125">
        <w:rPr>
          <w:rFonts w:ascii="Arial" w:hAnsi="Arial" w:cs="Arial"/>
          <w:bCs/>
          <w:sz w:val="22"/>
          <w:szCs w:val="22"/>
          <w:lang w:val="en-ZA"/>
        </w:rPr>
        <w:t xml:space="preserve"> </w:t>
      </w:r>
      <w:r>
        <w:rPr>
          <w:rFonts w:ascii="Arial" w:hAnsi="Arial" w:cs="Arial"/>
          <w:bCs/>
          <w:sz w:val="22"/>
          <w:szCs w:val="22"/>
          <w:lang w:val="en-ZA"/>
        </w:rPr>
        <w:t xml:space="preserve">this amount is inclusive of </w:t>
      </w:r>
      <w:r w:rsidR="003511D4">
        <w:rPr>
          <w:rFonts w:ascii="Arial" w:hAnsi="Arial" w:cs="Arial"/>
          <w:bCs/>
          <w:sz w:val="22"/>
          <w:szCs w:val="22"/>
          <w:lang w:val="en-ZA"/>
        </w:rPr>
        <w:t xml:space="preserve"> </w:t>
      </w:r>
      <w:r w:rsidR="0063324E">
        <w:rPr>
          <w:rFonts w:ascii="Arial" w:hAnsi="Arial" w:cs="Arial"/>
          <w:bCs/>
          <w:sz w:val="22"/>
          <w:szCs w:val="22"/>
          <w:lang w:val="en-ZA"/>
        </w:rPr>
        <w:t>invoices</w:t>
      </w:r>
      <w:r>
        <w:rPr>
          <w:rFonts w:ascii="Arial" w:hAnsi="Arial" w:cs="Arial"/>
          <w:bCs/>
          <w:sz w:val="22"/>
          <w:szCs w:val="22"/>
          <w:lang w:val="en-ZA"/>
        </w:rPr>
        <w:t xml:space="preserve"> paid to </w:t>
      </w:r>
      <w:r w:rsidRPr="00C061CF">
        <w:rPr>
          <w:rFonts w:ascii="Arial" w:hAnsi="Arial" w:cs="Arial"/>
          <w:sz w:val="22"/>
          <w:szCs w:val="22"/>
          <w:lang w:eastAsia="en-ZA"/>
        </w:rPr>
        <w:t>small, mediu</w:t>
      </w:r>
      <w:r>
        <w:rPr>
          <w:rFonts w:ascii="Arial" w:hAnsi="Arial" w:cs="Arial"/>
          <w:sz w:val="22"/>
          <w:szCs w:val="22"/>
          <w:lang w:eastAsia="en-ZA"/>
        </w:rPr>
        <w:t>m and micro enterprises (SMMEs)</w:t>
      </w:r>
      <w:r w:rsidR="0063324E">
        <w:rPr>
          <w:rFonts w:ascii="Arial" w:hAnsi="Arial" w:cs="Arial"/>
          <w:bCs/>
          <w:sz w:val="22"/>
          <w:szCs w:val="22"/>
          <w:lang w:val="en-ZA"/>
        </w:rPr>
        <w:t xml:space="preserve">. </w:t>
      </w:r>
      <w:r w:rsidRPr="00D178F1">
        <w:rPr>
          <w:rFonts w:ascii="Arial" w:hAnsi="Arial" w:cs="Arial"/>
          <w:bCs/>
          <w:sz w:val="22"/>
          <w:szCs w:val="22"/>
          <w:lang w:val="en-ZA"/>
        </w:rPr>
        <w:t xml:space="preserve">(b) Information on the breakdown of amounts paid to SMMEs can be obtained from </w:t>
      </w:r>
      <w:r w:rsidR="0037088B" w:rsidRPr="00D178F1">
        <w:rPr>
          <w:rFonts w:ascii="Arial" w:hAnsi="Arial" w:cs="Arial"/>
          <w:bCs/>
          <w:sz w:val="22"/>
          <w:szCs w:val="22"/>
          <w:lang w:val="en-ZA"/>
        </w:rPr>
        <w:t>relevant accounting officers of national</w:t>
      </w:r>
      <w:r w:rsidRPr="00D178F1">
        <w:rPr>
          <w:rFonts w:ascii="Arial" w:hAnsi="Arial" w:cs="Arial"/>
          <w:bCs/>
          <w:sz w:val="22"/>
          <w:szCs w:val="22"/>
          <w:lang w:val="en-ZA"/>
        </w:rPr>
        <w:t xml:space="preserve"> departments.</w:t>
      </w:r>
    </w:p>
    <w:p w:rsidR="00BC2B24" w:rsidRPr="00D178F1" w:rsidRDefault="00BC2B24" w:rsidP="00D178F1">
      <w:pPr>
        <w:pStyle w:val="ListParagraph"/>
        <w:ind w:left="709"/>
        <w:jc w:val="both"/>
        <w:rPr>
          <w:rFonts w:ascii="Arial" w:hAnsi="Arial" w:cs="Arial"/>
          <w:bCs/>
          <w:sz w:val="22"/>
          <w:szCs w:val="22"/>
          <w:lang w:val="en-ZA"/>
        </w:rPr>
      </w:pPr>
    </w:p>
    <w:p w:rsidR="00BC2B24" w:rsidRPr="00D178F1" w:rsidRDefault="00BC2B24" w:rsidP="00D178F1">
      <w:pPr>
        <w:jc w:val="both"/>
        <w:rPr>
          <w:rFonts w:ascii="Arial" w:hAnsi="Arial" w:cs="Arial"/>
          <w:bCs/>
          <w:sz w:val="22"/>
          <w:szCs w:val="22"/>
          <w:lang w:val="en-ZA"/>
        </w:rPr>
      </w:pPr>
    </w:p>
    <w:p w:rsidR="008A6103" w:rsidRDefault="008A6103" w:rsidP="00BC2B24">
      <w:pPr>
        <w:pStyle w:val="ListParagraph"/>
        <w:jc w:val="both"/>
        <w:rPr>
          <w:rFonts w:ascii="Arial" w:hAnsi="Arial" w:cs="Arial"/>
          <w:bCs/>
          <w:sz w:val="22"/>
          <w:szCs w:val="22"/>
          <w:lang w:val="en-ZA"/>
        </w:rPr>
      </w:pPr>
    </w:p>
    <w:p w:rsidR="008A6103" w:rsidRPr="00D178F1" w:rsidRDefault="008A6103" w:rsidP="00D178F1">
      <w:pPr>
        <w:pStyle w:val="ListParagraph"/>
        <w:numPr>
          <w:ilvl w:val="0"/>
          <w:numId w:val="22"/>
        </w:numPr>
        <w:ind w:hanging="720"/>
        <w:jc w:val="both"/>
        <w:rPr>
          <w:rFonts w:ascii="Arial" w:hAnsi="Arial" w:cs="Arial"/>
          <w:bCs/>
          <w:sz w:val="22"/>
          <w:szCs w:val="22"/>
          <w:lang w:val="en-ZA"/>
        </w:rPr>
      </w:pPr>
      <w:r w:rsidRPr="008A6103">
        <w:rPr>
          <w:rFonts w:ascii="Arial" w:hAnsi="Arial" w:cs="Arial"/>
          <w:bCs/>
          <w:sz w:val="22"/>
          <w:szCs w:val="22"/>
          <w:lang w:val="en-ZA"/>
        </w:rPr>
        <w:t xml:space="preserve">The </w:t>
      </w:r>
      <w:r>
        <w:rPr>
          <w:rFonts w:ascii="Arial" w:hAnsi="Arial" w:cs="Arial"/>
          <w:bCs/>
          <w:sz w:val="22"/>
          <w:szCs w:val="22"/>
          <w:lang w:val="en-ZA"/>
        </w:rPr>
        <w:t xml:space="preserve">amount </w:t>
      </w:r>
      <w:r w:rsidRPr="008A6103">
        <w:rPr>
          <w:rFonts w:ascii="Arial" w:hAnsi="Arial" w:cs="Arial"/>
          <w:bCs/>
          <w:sz w:val="22"/>
          <w:szCs w:val="22"/>
          <w:lang w:val="en-ZA"/>
        </w:rPr>
        <w:t xml:space="preserve">of R415 million </w:t>
      </w:r>
      <w:r w:rsidR="00BC2B24">
        <w:rPr>
          <w:rFonts w:ascii="Arial" w:hAnsi="Arial" w:cs="Arial"/>
          <w:bCs/>
          <w:sz w:val="22"/>
          <w:szCs w:val="22"/>
          <w:lang w:val="en-ZA"/>
        </w:rPr>
        <w:t>represent</w:t>
      </w:r>
      <w:r w:rsidRPr="008A6103">
        <w:rPr>
          <w:rFonts w:ascii="Arial" w:hAnsi="Arial" w:cs="Arial"/>
          <w:bCs/>
          <w:sz w:val="22"/>
          <w:szCs w:val="22"/>
          <w:lang w:val="en-ZA"/>
        </w:rPr>
        <w:t xml:space="preserve"> the rand value of all invoices older than 30 days and not paid</w:t>
      </w:r>
      <w:r w:rsidR="00E52BA0">
        <w:rPr>
          <w:rFonts w:ascii="Arial" w:hAnsi="Arial" w:cs="Arial"/>
          <w:bCs/>
          <w:sz w:val="22"/>
          <w:szCs w:val="22"/>
          <w:lang w:val="en-ZA"/>
        </w:rPr>
        <w:t>, this</w:t>
      </w:r>
      <w:r w:rsidR="00C67221">
        <w:rPr>
          <w:rFonts w:ascii="Arial" w:hAnsi="Arial" w:cs="Arial"/>
          <w:bCs/>
          <w:sz w:val="22"/>
          <w:szCs w:val="22"/>
          <w:lang w:val="en-ZA"/>
        </w:rPr>
        <w:t xml:space="preserve"> amount is inclusive of amounts owed to </w:t>
      </w:r>
      <w:r w:rsidRPr="008A6103">
        <w:rPr>
          <w:rFonts w:ascii="Arial" w:hAnsi="Arial" w:cs="Arial"/>
          <w:bCs/>
          <w:sz w:val="22"/>
          <w:szCs w:val="22"/>
          <w:lang w:val="en-ZA"/>
        </w:rPr>
        <w:t xml:space="preserve">SMMEs as at the end of the 2020/2021 financial year. </w:t>
      </w:r>
      <w:r w:rsidR="00546956">
        <w:rPr>
          <w:rFonts w:ascii="Arial" w:hAnsi="Arial" w:cs="Arial"/>
          <w:bCs/>
          <w:sz w:val="22"/>
          <w:szCs w:val="22"/>
          <w:lang w:val="en-ZA"/>
        </w:rPr>
        <w:t xml:space="preserve">Information on the total outstanding amount to SMMEs can be obtained from </w:t>
      </w:r>
      <w:r w:rsidR="0037088B">
        <w:rPr>
          <w:rFonts w:ascii="Arial" w:hAnsi="Arial" w:cs="Arial"/>
          <w:bCs/>
          <w:sz w:val="22"/>
          <w:szCs w:val="22"/>
          <w:lang w:val="en-ZA"/>
        </w:rPr>
        <w:t xml:space="preserve">relevant </w:t>
      </w:r>
      <w:r w:rsidR="00E52BA0">
        <w:rPr>
          <w:rFonts w:ascii="Arial" w:hAnsi="Arial" w:cs="Arial"/>
          <w:bCs/>
          <w:sz w:val="22"/>
          <w:szCs w:val="22"/>
          <w:lang w:val="en-ZA"/>
        </w:rPr>
        <w:t xml:space="preserve">accounting officers of national </w:t>
      </w:r>
      <w:r w:rsidR="00546956">
        <w:rPr>
          <w:rFonts w:ascii="Arial" w:hAnsi="Arial" w:cs="Arial"/>
          <w:bCs/>
          <w:sz w:val="22"/>
          <w:szCs w:val="22"/>
          <w:lang w:val="en-ZA"/>
        </w:rPr>
        <w:t xml:space="preserve">departments. </w:t>
      </w:r>
      <w:r w:rsidR="00704493">
        <w:rPr>
          <w:rFonts w:ascii="Arial" w:hAnsi="Arial" w:cs="Arial"/>
          <w:bCs/>
          <w:sz w:val="22"/>
          <w:szCs w:val="22"/>
          <w:lang w:val="en-ZA"/>
        </w:rPr>
        <w:t xml:space="preserve"> (b) </w:t>
      </w:r>
      <w:r w:rsidRPr="00D178F1">
        <w:rPr>
          <w:rFonts w:ascii="Arial" w:hAnsi="Arial" w:cs="Arial"/>
          <w:bCs/>
          <w:sz w:val="22"/>
          <w:szCs w:val="22"/>
          <w:lang w:val="en-ZA"/>
        </w:rPr>
        <w:t xml:space="preserve">Information on </w:t>
      </w:r>
      <w:r w:rsidRPr="00D178F1">
        <w:rPr>
          <w:rFonts w:ascii="Arial" w:hAnsi="Arial" w:cs="Arial"/>
          <w:bCs/>
          <w:sz w:val="22"/>
          <w:szCs w:val="22"/>
          <w:lang w:val="en-ZA"/>
        </w:rPr>
        <w:lastRenderedPageBreak/>
        <w:t>the brea</w:t>
      </w:r>
      <w:r w:rsidR="001B7C55" w:rsidRPr="00D178F1">
        <w:rPr>
          <w:rFonts w:ascii="Arial" w:hAnsi="Arial" w:cs="Arial"/>
          <w:bCs/>
          <w:sz w:val="22"/>
          <w:szCs w:val="22"/>
          <w:lang w:val="en-ZA"/>
        </w:rPr>
        <w:t>kdown of outstanding amounts to SMMEs can be obtained from individual departments.</w:t>
      </w:r>
    </w:p>
    <w:p w:rsidR="001B7C55" w:rsidRDefault="001B7C55" w:rsidP="00BC2B24">
      <w:pPr>
        <w:pStyle w:val="ListParagraph"/>
        <w:jc w:val="both"/>
        <w:rPr>
          <w:rFonts w:ascii="Arial" w:hAnsi="Arial" w:cs="Arial"/>
          <w:bCs/>
          <w:sz w:val="22"/>
          <w:szCs w:val="22"/>
          <w:lang w:val="en-ZA"/>
        </w:rPr>
      </w:pPr>
    </w:p>
    <w:p w:rsidR="00DE1F0D" w:rsidRPr="00D178F1" w:rsidRDefault="00017563" w:rsidP="00D178F1">
      <w:pPr>
        <w:pStyle w:val="ListParagraph"/>
        <w:numPr>
          <w:ilvl w:val="0"/>
          <w:numId w:val="22"/>
        </w:numPr>
        <w:ind w:hanging="720"/>
        <w:jc w:val="both"/>
        <w:rPr>
          <w:rFonts w:ascii="Arial" w:hAnsi="Arial" w:cs="Arial"/>
          <w:bCs/>
          <w:sz w:val="22"/>
          <w:szCs w:val="22"/>
          <w:lang w:val="en-ZA"/>
        </w:rPr>
      </w:pPr>
      <w:r>
        <w:rPr>
          <w:rFonts w:ascii="Arial" w:hAnsi="Arial" w:cs="Arial"/>
          <w:bCs/>
          <w:sz w:val="22"/>
          <w:szCs w:val="22"/>
          <w:lang w:val="en-ZA"/>
        </w:rPr>
        <w:t>The amount of R25,9 billion is the total amount of all invoices paid after 30 days by provincial departments during the 2020/2021 financial yea</w:t>
      </w:r>
      <w:r w:rsidR="00DE1F0D">
        <w:rPr>
          <w:rFonts w:ascii="Arial" w:hAnsi="Arial" w:cs="Arial"/>
          <w:bCs/>
          <w:sz w:val="22"/>
          <w:szCs w:val="22"/>
          <w:lang w:val="en-ZA"/>
        </w:rPr>
        <w:t xml:space="preserve">r including invoices from SMMEs. </w:t>
      </w:r>
      <w:r w:rsidR="00546956">
        <w:rPr>
          <w:rFonts w:ascii="Arial" w:hAnsi="Arial" w:cs="Arial"/>
          <w:bCs/>
          <w:sz w:val="22"/>
          <w:szCs w:val="22"/>
          <w:lang w:val="en-ZA"/>
        </w:rPr>
        <w:t>Information on the total amount paid after 30 days to SMMEs can be obtained from departments.</w:t>
      </w:r>
      <w:r w:rsidR="00704493">
        <w:rPr>
          <w:rFonts w:ascii="Arial" w:hAnsi="Arial" w:cs="Arial"/>
          <w:bCs/>
          <w:sz w:val="22"/>
          <w:szCs w:val="22"/>
          <w:lang w:val="en-ZA"/>
        </w:rPr>
        <w:t xml:space="preserve"> (b) </w:t>
      </w:r>
      <w:r w:rsidR="00DE1F0D" w:rsidRPr="00D178F1">
        <w:rPr>
          <w:rFonts w:ascii="Arial" w:hAnsi="Arial" w:cs="Arial"/>
          <w:bCs/>
          <w:sz w:val="22"/>
          <w:szCs w:val="22"/>
          <w:lang w:val="en-ZA"/>
        </w:rPr>
        <w:t xml:space="preserve">Information on the breakdown of amounts paid to SMMEs </w:t>
      </w:r>
      <w:r w:rsidR="000107D7" w:rsidRPr="00D178F1">
        <w:rPr>
          <w:rFonts w:ascii="Arial" w:hAnsi="Arial" w:cs="Arial"/>
          <w:bCs/>
          <w:sz w:val="22"/>
          <w:szCs w:val="22"/>
          <w:lang w:val="en-ZA"/>
        </w:rPr>
        <w:t>can be obtained from individual</w:t>
      </w:r>
      <w:r w:rsidR="00DE1F0D" w:rsidRPr="00D178F1">
        <w:rPr>
          <w:rFonts w:ascii="Arial" w:hAnsi="Arial" w:cs="Arial"/>
          <w:bCs/>
          <w:sz w:val="22"/>
          <w:szCs w:val="22"/>
          <w:lang w:val="en-ZA"/>
        </w:rPr>
        <w:t xml:space="preserve"> departments</w:t>
      </w:r>
      <w:r w:rsidR="000107D7" w:rsidRPr="00D178F1">
        <w:rPr>
          <w:rFonts w:ascii="Arial" w:hAnsi="Arial" w:cs="Arial"/>
          <w:bCs/>
          <w:sz w:val="22"/>
          <w:szCs w:val="22"/>
          <w:lang w:val="en-ZA"/>
        </w:rPr>
        <w:t xml:space="preserve"> in provinces</w:t>
      </w:r>
      <w:r w:rsidR="00DE1F0D" w:rsidRPr="00D178F1">
        <w:rPr>
          <w:rFonts w:ascii="Arial" w:hAnsi="Arial" w:cs="Arial"/>
          <w:bCs/>
          <w:sz w:val="22"/>
          <w:szCs w:val="22"/>
          <w:lang w:val="en-ZA"/>
        </w:rPr>
        <w:t xml:space="preserve">. </w:t>
      </w:r>
    </w:p>
    <w:p w:rsidR="00546956" w:rsidRDefault="00546956" w:rsidP="00BC2B24">
      <w:pPr>
        <w:pStyle w:val="ListParagraph"/>
        <w:jc w:val="both"/>
        <w:rPr>
          <w:rFonts w:ascii="Arial" w:hAnsi="Arial" w:cs="Arial"/>
          <w:bCs/>
          <w:sz w:val="22"/>
          <w:szCs w:val="22"/>
          <w:lang w:val="en-ZA"/>
        </w:rPr>
      </w:pPr>
    </w:p>
    <w:p w:rsidR="00DE1F0D" w:rsidRDefault="00704493" w:rsidP="00BC2B24">
      <w:pPr>
        <w:pStyle w:val="ListParagraph"/>
        <w:numPr>
          <w:ilvl w:val="0"/>
          <w:numId w:val="22"/>
        </w:numPr>
        <w:ind w:hanging="720"/>
        <w:jc w:val="both"/>
        <w:rPr>
          <w:rFonts w:ascii="Arial" w:hAnsi="Arial" w:cs="Arial"/>
          <w:bCs/>
          <w:sz w:val="22"/>
          <w:szCs w:val="22"/>
          <w:lang w:val="en-ZA"/>
        </w:rPr>
      </w:pPr>
      <w:r>
        <w:rPr>
          <w:rFonts w:ascii="Arial" w:hAnsi="Arial" w:cs="Arial"/>
          <w:bCs/>
          <w:sz w:val="22"/>
          <w:szCs w:val="22"/>
          <w:lang w:val="en-ZA"/>
        </w:rPr>
        <w:t xml:space="preserve">(a) </w:t>
      </w:r>
      <w:r w:rsidR="000107D7">
        <w:rPr>
          <w:rFonts w:ascii="Arial" w:hAnsi="Arial" w:cs="Arial"/>
          <w:bCs/>
          <w:sz w:val="22"/>
          <w:szCs w:val="22"/>
          <w:lang w:val="en-ZA"/>
        </w:rPr>
        <w:t xml:space="preserve">The amount of R5,3 billion </w:t>
      </w:r>
      <w:r w:rsidR="0037088B">
        <w:rPr>
          <w:rFonts w:ascii="Arial" w:hAnsi="Arial" w:cs="Arial"/>
          <w:bCs/>
          <w:sz w:val="22"/>
          <w:szCs w:val="22"/>
          <w:lang w:val="en-ZA"/>
        </w:rPr>
        <w:t>represent</w:t>
      </w:r>
      <w:r w:rsidR="000107D7">
        <w:rPr>
          <w:rFonts w:ascii="Arial" w:hAnsi="Arial" w:cs="Arial"/>
          <w:bCs/>
          <w:sz w:val="22"/>
          <w:szCs w:val="22"/>
          <w:lang w:val="en-ZA"/>
        </w:rPr>
        <w:t xml:space="preserve"> the rand value of all invoices older than 30 days and not paid by provincial departments including invoices from SMMEs as at the end of 2020/2021 financial year. </w:t>
      </w:r>
      <w:r>
        <w:rPr>
          <w:rFonts w:ascii="Arial" w:hAnsi="Arial" w:cs="Arial"/>
          <w:bCs/>
          <w:sz w:val="22"/>
          <w:szCs w:val="22"/>
          <w:lang w:val="en-ZA"/>
        </w:rPr>
        <w:t xml:space="preserve">(b) </w:t>
      </w:r>
      <w:r w:rsidR="000107D7">
        <w:rPr>
          <w:rFonts w:ascii="Arial" w:hAnsi="Arial" w:cs="Arial"/>
          <w:bCs/>
          <w:sz w:val="22"/>
          <w:szCs w:val="22"/>
          <w:lang w:val="en-ZA"/>
        </w:rPr>
        <w:t xml:space="preserve">Information on the </w:t>
      </w:r>
      <w:r>
        <w:rPr>
          <w:rFonts w:ascii="Arial" w:hAnsi="Arial" w:cs="Arial"/>
          <w:bCs/>
          <w:sz w:val="22"/>
          <w:szCs w:val="22"/>
          <w:lang w:val="en-ZA"/>
        </w:rPr>
        <w:t xml:space="preserve">breakdown of </w:t>
      </w:r>
      <w:r w:rsidR="0037088B">
        <w:rPr>
          <w:rFonts w:ascii="Arial" w:hAnsi="Arial" w:cs="Arial"/>
          <w:bCs/>
          <w:sz w:val="22"/>
          <w:szCs w:val="22"/>
          <w:lang w:val="en-ZA"/>
        </w:rPr>
        <w:t xml:space="preserve">invoices not paid and </w:t>
      </w:r>
      <w:r w:rsidR="000107D7">
        <w:rPr>
          <w:rFonts w:ascii="Arial" w:hAnsi="Arial" w:cs="Arial"/>
          <w:bCs/>
          <w:sz w:val="22"/>
          <w:szCs w:val="22"/>
          <w:lang w:val="en-ZA"/>
        </w:rPr>
        <w:t xml:space="preserve">total outstanding amount </w:t>
      </w:r>
      <w:r w:rsidR="0037088B">
        <w:rPr>
          <w:rFonts w:ascii="Arial" w:hAnsi="Arial" w:cs="Arial"/>
          <w:bCs/>
          <w:sz w:val="22"/>
          <w:szCs w:val="22"/>
          <w:lang w:val="en-ZA"/>
        </w:rPr>
        <w:t>to</w:t>
      </w:r>
      <w:r w:rsidR="000107D7">
        <w:rPr>
          <w:rFonts w:ascii="Arial" w:hAnsi="Arial" w:cs="Arial"/>
          <w:bCs/>
          <w:sz w:val="22"/>
          <w:szCs w:val="22"/>
          <w:lang w:val="en-ZA"/>
        </w:rPr>
        <w:t xml:space="preserve"> SMMEs can be obtained from </w:t>
      </w:r>
      <w:r>
        <w:rPr>
          <w:rFonts w:ascii="Arial" w:hAnsi="Arial" w:cs="Arial"/>
          <w:bCs/>
          <w:sz w:val="22"/>
          <w:szCs w:val="22"/>
          <w:lang w:val="en-ZA"/>
        </w:rPr>
        <w:t xml:space="preserve">the </w:t>
      </w:r>
      <w:r w:rsidR="0037088B">
        <w:rPr>
          <w:rFonts w:ascii="Arial" w:hAnsi="Arial" w:cs="Arial"/>
          <w:bCs/>
          <w:sz w:val="22"/>
          <w:szCs w:val="22"/>
          <w:lang w:val="en-ZA"/>
        </w:rPr>
        <w:t xml:space="preserve">relevant accounting officers of provincial </w:t>
      </w:r>
      <w:r w:rsidR="000107D7">
        <w:rPr>
          <w:rFonts w:ascii="Arial" w:hAnsi="Arial" w:cs="Arial"/>
          <w:bCs/>
          <w:sz w:val="22"/>
          <w:szCs w:val="22"/>
          <w:lang w:val="en-ZA"/>
        </w:rPr>
        <w:t xml:space="preserve">departments. </w:t>
      </w:r>
    </w:p>
    <w:p w:rsidR="000107D7" w:rsidRDefault="000107D7" w:rsidP="00BC2B24">
      <w:pPr>
        <w:pStyle w:val="ListParagraph"/>
        <w:jc w:val="both"/>
        <w:rPr>
          <w:rFonts w:ascii="Arial" w:hAnsi="Arial" w:cs="Arial"/>
          <w:bCs/>
          <w:sz w:val="22"/>
          <w:szCs w:val="22"/>
          <w:lang w:val="en-ZA"/>
        </w:rPr>
      </w:pPr>
    </w:p>
    <w:p w:rsidR="000107D7" w:rsidRPr="00D178F1" w:rsidRDefault="000107D7" w:rsidP="00D178F1">
      <w:pPr>
        <w:jc w:val="both"/>
        <w:rPr>
          <w:rFonts w:ascii="Arial" w:hAnsi="Arial" w:cs="Arial"/>
          <w:bCs/>
          <w:sz w:val="22"/>
          <w:szCs w:val="22"/>
          <w:lang w:val="en-ZA"/>
        </w:rPr>
      </w:pPr>
    </w:p>
    <w:p w:rsidR="004C734C" w:rsidRDefault="004C734C" w:rsidP="00BC2B24">
      <w:pPr>
        <w:pStyle w:val="ListParagraph"/>
        <w:numPr>
          <w:ilvl w:val="0"/>
          <w:numId w:val="22"/>
        </w:numPr>
        <w:ind w:hanging="720"/>
        <w:jc w:val="both"/>
        <w:rPr>
          <w:rFonts w:ascii="Arial" w:hAnsi="Arial" w:cs="Arial"/>
          <w:bCs/>
          <w:sz w:val="22"/>
          <w:szCs w:val="22"/>
          <w:lang w:val="en-ZA"/>
        </w:rPr>
      </w:pPr>
      <w:r w:rsidRPr="004C734C">
        <w:rPr>
          <w:rFonts w:ascii="Arial" w:hAnsi="Arial" w:cs="Arial"/>
          <w:bCs/>
          <w:sz w:val="22"/>
          <w:szCs w:val="22"/>
          <w:lang w:val="en-ZA"/>
        </w:rPr>
        <w:t xml:space="preserve">Table 11 as contained in the annual report provides </w:t>
      </w:r>
      <w:r w:rsidR="004B2329">
        <w:rPr>
          <w:rFonts w:ascii="Arial" w:hAnsi="Arial" w:cs="Arial"/>
          <w:bCs/>
          <w:sz w:val="22"/>
          <w:szCs w:val="22"/>
          <w:lang w:val="en-ZA"/>
        </w:rPr>
        <w:t xml:space="preserve">the </w:t>
      </w:r>
      <w:r w:rsidRPr="004C734C">
        <w:rPr>
          <w:rFonts w:ascii="Arial" w:hAnsi="Arial" w:cs="Arial"/>
          <w:bCs/>
          <w:sz w:val="22"/>
          <w:szCs w:val="22"/>
          <w:lang w:val="en-ZA"/>
        </w:rPr>
        <w:t>status of performance of provinces regarding the number and rand value of invoices older than 30 days and not paid as at the end of February 2021 which did not include the results</w:t>
      </w:r>
      <w:r w:rsidR="00E85125">
        <w:rPr>
          <w:rFonts w:ascii="Arial" w:hAnsi="Arial" w:cs="Arial"/>
          <w:bCs/>
          <w:sz w:val="22"/>
          <w:szCs w:val="22"/>
          <w:lang w:val="en-ZA"/>
        </w:rPr>
        <w:t>/progress</w:t>
      </w:r>
      <w:r w:rsidRPr="004C734C">
        <w:rPr>
          <w:rFonts w:ascii="Arial" w:hAnsi="Arial" w:cs="Arial"/>
          <w:bCs/>
          <w:sz w:val="22"/>
          <w:szCs w:val="22"/>
          <w:lang w:val="en-ZA"/>
        </w:rPr>
        <w:t xml:space="preserve"> as at 31 March 2021. </w:t>
      </w:r>
      <w:r w:rsidR="00967595">
        <w:rPr>
          <w:rFonts w:ascii="Arial" w:hAnsi="Arial" w:cs="Arial"/>
          <w:bCs/>
          <w:sz w:val="22"/>
          <w:szCs w:val="22"/>
          <w:lang w:val="en-ZA"/>
        </w:rPr>
        <w:t xml:space="preserve">Table 11 has since been amended with the aim of aligning </w:t>
      </w:r>
      <w:r w:rsidR="00E85125">
        <w:rPr>
          <w:rFonts w:ascii="Arial" w:hAnsi="Arial" w:cs="Arial"/>
          <w:bCs/>
          <w:sz w:val="22"/>
          <w:szCs w:val="22"/>
          <w:lang w:val="en-ZA"/>
        </w:rPr>
        <w:t>it to information depicted i</w:t>
      </w:r>
      <w:r w:rsidR="00967595">
        <w:rPr>
          <w:rFonts w:ascii="Arial" w:hAnsi="Arial" w:cs="Arial"/>
          <w:bCs/>
          <w:sz w:val="22"/>
          <w:szCs w:val="22"/>
          <w:lang w:val="en-ZA"/>
        </w:rPr>
        <w:t xml:space="preserve">n </w:t>
      </w:r>
      <w:r w:rsidR="00E85125">
        <w:rPr>
          <w:rFonts w:ascii="Arial" w:hAnsi="Arial" w:cs="Arial"/>
          <w:bCs/>
          <w:sz w:val="22"/>
          <w:szCs w:val="22"/>
          <w:lang w:val="en-ZA"/>
        </w:rPr>
        <w:t xml:space="preserve">Graph 10 as indicated in table and graph </w:t>
      </w:r>
      <w:r w:rsidR="00967595">
        <w:rPr>
          <w:rFonts w:ascii="Arial" w:hAnsi="Arial" w:cs="Arial"/>
          <w:bCs/>
          <w:sz w:val="22"/>
          <w:szCs w:val="22"/>
          <w:lang w:val="en-ZA"/>
        </w:rPr>
        <w:t>below.</w:t>
      </w:r>
    </w:p>
    <w:p w:rsidR="004C734C" w:rsidRDefault="004C734C" w:rsidP="00BC2B24">
      <w:pPr>
        <w:jc w:val="both"/>
        <w:rPr>
          <w:rFonts w:ascii="Arial" w:hAnsi="Arial" w:cs="Arial"/>
          <w:bCs/>
          <w:sz w:val="22"/>
          <w:szCs w:val="22"/>
          <w:lang w:val="en-ZA"/>
        </w:rPr>
      </w:pPr>
    </w:p>
    <w:p w:rsidR="001166A0" w:rsidRDefault="001166A0" w:rsidP="00BC2B24">
      <w:pPr>
        <w:jc w:val="both"/>
        <w:rPr>
          <w:rFonts w:ascii="Arial" w:hAnsi="Arial" w:cs="Arial"/>
          <w:b/>
          <w:bCs/>
          <w:sz w:val="22"/>
          <w:szCs w:val="22"/>
          <w:lang w:val="en-ZA"/>
        </w:rPr>
      </w:pPr>
    </w:p>
    <w:p w:rsidR="003D13A7" w:rsidRPr="001166A0" w:rsidRDefault="003D13A7" w:rsidP="00BC2B24">
      <w:pPr>
        <w:jc w:val="both"/>
        <w:rPr>
          <w:rFonts w:ascii="Arial" w:hAnsi="Arial" w:cs="Arial"/>
          <w:bCs/>
          <w:sz w:val="22"/>
          <w:szCs w:val="22"/>
          <w:lang w:val="en-ZA"/>
        </w:rPr>
      </w:pPr>
      <w:r w:rsidRPr="001166A0">
        <w:rPr>
          <w:rFonts w:ascii="Arial" w:hAnsi="Arial" w:cs="Arial"/>
          <w:b/>
          <w:bCs/>
          <w:sz w:val="22"/>
          <w:szCs w:val="22"/>
          <w:lang w:val="en-ZA"/>
        </w:rPr>
        <w:t>Graph 10</w:t>
      </w:r>
      <w:r w:rsidRPr="001166A0">
        <w:rPr>
          <w:rFonts w:ascii="Arial" w:hAnsi="Arial" w:cs="Arial"/>
          <w:bCs/>
          <w:sz w:val="22"/>
          <w:szCs w:val="22"/>
          <w:lang w:val="en-ZA"/>
        </w:rPr>
        <w:t xml:space="preserve"> </w:t>
      </w:r>
      <w:r w:rsidR="00B939E8">
        <w:rPr>
          <w:rFonts w:ascii="Arial" w:hAnsi="Arial" w:cs="Arial"/>
          <w:bCs/>
          <w:sz w:val="22"/>
          <w:szCs w:val="22"/>
          <w:lang w:val="en-ZA"/>
        </w:rPr>
        <w:t xml:space="preserve">of the 2020/2021 report </w:t>
      </w:r>
      <w:r w:rsidRPr="001166A0">
        <w:rPr>
          <w:rFonts w:ascii="Arial" w:hAnsi="Arial" w:cs="Arial"/>
          <w:bCs/>
          <w:sz w:val="22"/>
          <w:szCs w:val="22"/>
          <w:lang w:val="en-ZA"/>
        </w:rPr>
        <w:t xml:space="preserve">provides month-to-month comparative figures of the </w:t>
      </w:r>
      <w:r w:rsidR="00967595">
        <w:rPr>
          <w:rFonts w:ascii="Arial" w:hAnsi="Arial" w:cs="Arial"/>
          <w:bCs/>
          <w:sz w:val="22"/>
          <w:szCs w:val="22"/>
          <w:lang w:val="en-ZA"/>
        </w:rPr>
        <w:t>r</w:t>
      </w:r>
      <w:r w:rsidRPr="001166A0">
        <w:rPr>
          <w:rFonts w:ascii="Arial" w:hAnsi="Arial" w:cs="Arial"/>
          <w:bCs/>
          <w:sz w:val="22"/>
          <w:szCs w:val="22"/>
          <w:lang w:val="en-ZA"/>
        </w:rPr>
        <w:t>and value of invoices older than 30 days and not paid during the 2020/2021 financial year when compared with the 2019/2020 financial year.</w:t>
      </w:r>
    </w:p>
    <w:p w:rsidR="003D13A7" w:rsidRDefault="003D13A7" w:rsidP="00312121">
      <w:pPr>
        <w:ind w:left="720"/>
        <w:rPr>
          <w:rFonts w:ascii="Arial" w:hAnsi="Arial" w:cs="Arial"/>
          <w:bCs/>
          <w:sz w:val="22"/>
          <w:szCs w:val="22"/>
          <w:lang w:val="en-ZA"/>
        </w:rPr>
      </w:pPr>
    </w:p>
    <w:p w:rsidR="003D13A7" w:rsidRDefault="003D13A7" w:rsidP="003F77C9">
      <w:pPr>
        <w:rPr>
          <w:rFonts w:ascii="Arial" w:hAnsi="Arial" w:cs="Arial"/>
          <w:bCs/>
          <w:sz w:val="22"/>
          <w:szCs w:val="22"/>
          <w:lang w:val="en-ZA"/>
        </w:rPr>
      </w:pPr>
      <w:r w:rsidRPr="00D312B8">
        <w:rPr>
          <w:noProof/>
          <w:lang w:val="en-ZA" w:eastAsia="en-ZA"/>
        </w:rPr>
        <w:drawing>
          <wp:inline distT="0" distB="0" distL="0" distR="0">
            <wp:extent cx="6026150" cy="3422650"/>
            <wp:effectExtent l="0" t="0" r="0" b="6350"/>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6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6D42" w:rsidRPr="00576D42" w:rsidRDefault="00576D42" w:rsidP="003F77C9">
      <w:pPr>
        <w:spacing w:before="240" w:after="200"/>
        <w:jc w:val="both"/>
        <w:rPr>
          <w:rFonts w:ascii="Arial" w:eastAsia="Calibri" w:hAnsi="Arial" w:cs="Arial"/>
          <w:sz w:val="22"/>
          <w:szCs w:val="22"/>
          <w:lang w:val="en-ZA"/>
        </w:rPr>
      </w:pPr>
      <w:r w:rsidRPr="00D178F1">
        <w:rPr>
          <w:rFonts w:ascii="Arial" w:eastAsia="Calibri" w:hAnsi="Arial" w:cs="Arial"/>
          <w:sz w:val="22"/>
          <w:szCs w:val="22"/>
          <w:lang w:val="en-ZA"/>
        </w:rPr>
        <w:t>Table 11</w:t>
      </w:r>
      <w:r w:rsidRPr="00B939E8">
        <w:rPr>
          <w:rFonts w:ascii="Arial" w:eastAsia="Calibri" w:hAnsi="Arial" w:cs="Arial"/>
          <w:sz w:val="22"/>
          <w:szCs w:val="22"/>
          <w:lang w:val="en-ZA"/>
        </w:rPr>
        <w:t xml:space="preserve"> </w:t>
      </w:r>
      <w:r w:rsidR="00967595" w:rsidRPr="00B939E8">
        <w:rPr>
          <w:rFonts w:ascii="Arial" w:eastAsia="Calibri" w:hAnsi="Arial" w:cs="Arial"/>
          <w:sz w:val="22"/>
          <w:szCs w:val="22"/>
          <w:lang w:val="en-ZA"/>
        </w:rPr>
        <w:t>of the</w:t>
      </w:r>
      <w:r w:rsidR="00967595">
        <w:rPr>
          <w:rFonts w:ascii="Arial" w:eastAsia="Calibri" w:hAnsi="Arial" w:cs="Arial"/>
          <w:sz w:val="22"/>
          <w:szCs w:val="22"/>
          <w:lang w:val="en-ZA"/>
        </w:rPr>
        <w:t xml:space="preserve"> 2020/2021 report </w:t>
      </w:r>
      <w:r w:rsidRPr="00576D42">
        <w:rPr>
          <w:rFonts w:ascii="Arial" w:eastAsia="Calibri" w:hAnsi="Arial" w:cs="Arial"/>
          <w:sz w:val="22"/>
          <w:szCs w:val="22"/>
          <w:lang w:val="en-ZA"/>
        </w:rPr>
        <w:t xml:space="preserve">provides information related to the performance of provinces regarding the number and </w:t>
      </w:r>
      <w:r w:rsidR="00975EC9">
        <w:rPr>
          <w:rFonts w:ascii="Arial" w:eastAsia="Calibri" w:hAnsi="Arial" w:cs="Arial"/>
          <w:sz w:val="22"/>
          <w:szCs w:val="22"/>
          <w:lang w:val="en-ZA"/>
        </w:rPr>
        <w:t>r</w:t>
      </w:r>
      <w:r w:rsidRPr="00576D42">
        <w:rPr>
          <w:rFonts w:ascii="Arial" w:eastAsia="Calibri" w:hAnsi="Arial" w:cs="Arial"/>
          <w:sz w:val="22"/>
          <w:szCs w:val="22"/>
          <w:lang w:val="en-ZA"/>
        </w:rPr>
        <w:t xml:space="preserve">and </w:t>
      </w:r>
      <w:r w:rsidR="00975EC9">
        <w:rPr>
          <w:rFonts w:ascii="Arial" w:eastAsia="Calibri" w:hAnsi="Arial" w:cs="Arial"/>
          <w:sz w:val="22"/>
          <w:szCs w:val="22"/>
          <w:lang w:val="en-ZA"/>
        </w:rPr>
        <w:t>v</w:t>
      </w:r>
      <w:r w:rsidRPr="00576D42">
        <w:rPr>
          <w:rFonts w:ascii="Arial" w:eastAsia="Calibri" w:hAnsi="Arial" w:cs="Arial"/>
          <w:sz w:val="22"/>
          <w:szCs w:val="22"/>
          <w:lang w:val="en-ZA"/>
        </w:rPr>
        <w:t>alue of invoices older than 30 days and not paid as at the end of 2020/2021 financial year.</w:t>
      </w:r>
    </w:p>
    <w:tbl>
      <w:tblPr>
        <w:tblW w:w="9424" w:type="dxa"/>
        <w:tblLook w:val="04A0"/>
      </w:tblPr>
      <w:tblGrid>
        <w:gridCol w:w="2684"/>
        <w:gridCol w:w="2784"/>
        <w:gridCol w:w="2597"/>
        <w:gridCol w:w="1359"/>
      </w:tblGrid>
      <w:tr w:rsidR="00975EC9" w:rsidRPr="00975EC9" w:rsidTr="00D178F1">
        <w:trPr>
          <w:trHeight w:val="304"/>
        </w:trPr>
        <w:tc>
          <w:tcPr>
            <w:tcW w:w="9424" w:type="dxa"/>
            <w:gridSpan w:val="4"/>
            <w:tcBorders>
              <w:top w:val="nil"/>
              <w:left w:val="single" w:sz="8" w:space="0" w:color="auto"/>
              <w:bottom w:val="single" w:sz="8" w:space="0" w:color="auto"/>
              <w:right w:val="single" w:sz="8" w:space="0" w:color="auto"/>
            </w:tcBorders>
            <w:shd w:val="clear" w:color="auto" w:fill="D9D9D9" w:themeFill="background1" w:themeFillShade="D9"/>
            <w:noWrap/>
            <w:vAlign w:val="bottom"/>
          </w:tcPr>
          <w:p w:rsidR="00975EC9" w:rsidRPr="00D178F1" w:rsidRDefault="00975EC9" w:rsidP="00576D42">
            <w:pPr>
              <w:jc w:val="right"/>
              <w:rPr>
                <w:rFonts w:ascii="Arial Narrow" w:hAnsi="Arial Narrow" w:cs="Arial"/>
                <w:b/>
                <w:color w:val="000000" w:themeColor="text1"/>
                <w:sz w:val="20"/>
                <w:szCs w:val="20"/>
                <w:lang w:val="en-ZA" w:eastAsia="en-ZA"/>
              </w:rPr>
            </w:pPr>
            <w:r w:rsidRPr="00D178F1">
              <w:rPr>
                <w:rFonts w:ascii="Arial Narrow" w:hAnsi="Arial Narrow" w:cs="Arial"/>
                <w:b/>
                <w:color w:val="000000" w:themeColor="text1"/>
                <w:sz w:val="20"/>
                <w:szCs w:val="20"/>
                <w:lang w:val="en-ZA" w:eastAsia="en-ZA"/>
              </w:rPr>
              <w:lastRenderedPageBreak/>
              <w:t>Performance</w:t>
            </w:r>
            <w:r>
              <w:rPr>
                <w:rFonts w:ascii="Arial Narrow" w:hAnsi="Arial Narrow" w:cs="Arial"/>
                <w:b/>
                <w:color w:val="000000" w:themeColor="text1"/>
                <w:sz w:val="20"/>
                <w:szCs w:val="20"/>
                <w:lang w:val="en-ZA" w:eastAsia="en-ZA"/>
              </w:rPr>
              <w:t xml:space="preserve"> of provinces regarding the Number and Rand Value of invoices older than 30 days not paid</w:t>
            </w:r>
          </w:p>
        </w:tc>
      </w:tr>
      <w:tr w:rsidR="00576D42" w:rsidRPr="00967595" w:rsidTr="00D178F1">
        <w:trPr>
          <w:trHeight w:val="304"/>
        </w:trPr>
        <w:tc>
          <w:tcPr>
            <w:tcW w:w="2684" w:type="dxa"/>
            <w:tcBorders>
              <w:top w:val="nil"/>
              <w:left w:val="single" w:sz="8" w:space="0" w:color="auto"/>
              <w:bottom w:val="single" w:sz="8" w:space="0" w:color="auto"/>
              <w:right w:val="nil"/>
            </w:tcBorders>
            <w:shd w:val="clear" w:color="auto" w:fill="D9D9D9" w:themeFill="background1" w:themeFillShade="D9"/>
            <w:noWrap/>
            <w:vAlign w:val="bottom"/>
            <w:hideMark/>
          </w:tcPr>
          <w:p w:rsidR="00576D42" w:rsidRPr="00D178F1" w:rsidRDefault="00576D42" w:rsidP="00975EC9">
            <w:pPr>
              <w:rPr>
                <w:rFonts w:ascii="Arial Narrow" w:hAnsi="Arial Narrow" w:cs="Arial"/>
                <w:b/>
                <w:color w:val="000000" w:themeColor="text1"/>
                <w:sz w:val="20"/>
                <w:szCs w:val="20"/>
                <w:lang w:val="en-ZA" w:eastAsia="en-ZA"/>
              </w:rPr>
            </w:pPr>
            <w:r w:rsidRPr="00D178F1">
              <w:rPr>
                <w:rFonts w:ascii="Arial Narrow" w:hAnsi="Arial Narrow" w:cs="Arial"/>
                <w:b/>
                <w:color w:val="000000" w:themeColor="text1"/>
                <w:sz w:val="20"/>
                <w:szCs w:val="20"/>
                <w:lang w:val="en-ZA" w:eastAsia="en-ZA"/>
              </w:rPr>
              <w:t> Province</w:t>
            </w:r>
          </w:p>
        </w:tc>
        <w:tc>
          <w:tcPr>
            <w:tcW w:w="278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576D42" w:rsidRPr="00D178F1" w:rsidRDefault="00576D42" w:rsidP="00975EC9">
            <w:pPr>
              <w:jc w:val="right"/>
              <w:rPr>
                <w:rFonts w:ascii="Arial Narrow" w:hAnsi="Arial Narrow" w:cs="Arial"/>
                <w:b/>
                <w:bCs/>
                <w:color w:val="000000" w:themeColor="text1"/>
                <w:sz w:val="20"/>
                <w:szCs w:val="20"/>
                <w:lang w:val="en-ZA" w:eastAsia="en-ZA"/>
              </w:rPr>
            </w:pPr>
            <w:r w:rsidRPr="00D178F1">
              <w:rPr>
                <w:rFonts w:ascii="Arial Narrow" w:hAnsi="Arial Narrow" w:cs="Arial"/>
                <w:b/>
                <w:bCs/>
                <w:color w:val="000000" w:themeColor="text1"/>
                <w:sz w:val="20"/>
                <w:szCs w:val="20"/>
                <w:lang w:val="en-ZA" w:eastAsia="en-ZA"/>
              </w:rPr>
              <w:t xml:space="preserve">Number of invoices </w:t>
            </w:r>
          </w:p>
        </w:tc>
        <w:tc>
          <w:tcPr>
            <w:tcW w:w="2597" w:type="dxa"/>
            <w:tcBorders>
              <w:top w:val="nil"/>
              <w:left w:val="nil"/>
              <w:bottom w:val="single" w:sz="8" w:space="0" w:color="auto"/>
              <w:right w:val="nil"/>
            </w:tcBorders>
            <w:shd w:val="clear" w:color="auto" w:fill="D9D9D9" w:themeFill="background1" w:themeFillShade="D9"/>
            <w:vAlign w:val="center"/>
            <w:hideMark/>
          </w:tcPr>
          <w:p w:rsidR="00576D42" w:rsidRPr="00D178F1" w:rsidRDefault="00576D42" w:rsidP="00975EC9">
            <w:pPr>
              <w:jc w:val="right"/>
              <w:rPr>
                <w:rFonts w:ascii="Arial Narrow" w:hAnsi="Arial Narrow" w:cs="Arial"/>
                <w:b/>
                <w:bCs/>
                <w:color w:val="000000" w:themeColor="text1"/>
                <w:sz w:val="20"/>
                <w:szCs w:val="20"/>
                <w:lang w:val="en-ZA" w:eastAsia="en-ZA"/>
              </w:rPr>
            </w:pPr>
            <w:r w:rsidRPr="00D178F1">
              <w:rPr>
                <w:rFonts w:ascii="Arial Narrow" w:hAnsi="Arial Narrow" w:cs="Arial"/>
                <w:b/>
                <w:bCs/>
                <w:color w:val="000000" w:themeColor="text1"/>
                <w:sz w:val="20"/>
                <w:szCs w:val="20"/>
                <w:lang w:val="en-ZA" w:eastAsia="en-ZA"/>
              </w:rPr>
              <w:t xml:space="preserve">Rand Value of invoices </w:t>
            </w:r>
          </w:p>
        </w:tc>
        <w:tc>
          <w:tcPr>
            <w:tcW w:w="1359"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576D42" w:rsidRPr="00D178F1" w:rsidRDefault="00583E9B" w:rsidP="00583E9B">
            <w:pPr>
              <w:jc w:val="center"/>
              <w:rPr>
                <w:rFonts w:ascii="Arial Narrow" w:hAnsi="Arial Narrow" w:cs="Arial"/>
                <w:b/>
                <w:color w:val="000000" w:themeColor="text1"/>
                <w:sz w:val="20"/>
                <w:szCs w:val="20"/>
                <w:lang w:val="en-ZA" w:eastAsia="en-ZA"/>
              </w:rPr>
            </w:pPr>
            <w:r>
              <w:rPr>
                <w:rFonts w:ascii="Arial Narrow" w:hAnsi="Arial Narrow" w:cs="Arial"/>
                <w:b/>
                <w:color w:val="000000" w:themeColor="text1"/>
                <w:sz w:val="20"/>
                <w:szCs w:val="20"/>
                <w:lang w:val="en-ZA" w:eastAsia="en-ZA"/>
              </w:rPr>
              <w:t>%</w:t>
            </w:r>
          </w:p>
        </w:tc>
      </w:tr>
      <w:tr w:rsidR="00576D42" w:rsidRPr="00967595" w:rsidTr="00D178F1">
        <w:trPr>
          <w:trHeight w:val="290"/>
        </w:trPr>
        <w:tc>
          <w:tcPr>
            <w:tcW w:w="2684"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Northern Cape</w:t>
            </w:r>
          </w:p>
        </w:tc>
        <w:tc>
          <w:tcPr>
            <w:tcW w:w="2784" w:type="dxa"/>
            <w:tcBorders>
              <w:top w:val="nil"/>
              <w:left w:val="nil"/>
              <w:bottom w:val="single" w:sz="4" w:space="0" w:color="auto"/>
              <w:right w:val="single" w:sz="8" w:space="0" w:color="auto"/>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 xml:space="preserve">                                             10 </w:t>
            </w:r>
          </w:p>
        </w:tc>
        <w:tc>
          <w:tcPr>
            <w:tcW w:w="2597" w:type="dxa"/>
            <w:tcBorders>
              <w:top w:val="nil"/>
              <w:left w:val="nil"/>
              <w:bottom w:val="single" w:sz="4" w:space="0" w:color="auto"/>
              <w:right w:val="nil"/>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 xml:space="preserve">                                 95 124 </w:t>
            </w:r>
          </w:p>
        </w:tc>
        <w:tc>
          <w:tcPr>
            <w:tcW w:w="1359"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576D42" w:rsidRPr="00D178F1" w:rsidRDefault="00576D42" w:rsidP="00576D42">
            <w:pPr>
              <w:jc w:val="cente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0%</w:t>
            </w:r>
          </w:p>
        </w:tc>
      </w:tr>
      <w:tr w:rsidR="00576D42" w:rsidRPr="00967595" w:rsidTr="00D178F1">
        <w:trPr>
          <w:trHeight w:val="290"/>
        </w:trPr>
        <w:tc>
          <w:tcPr>
            <w:tcW w:w="2684"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Western Cape</w:t>
            </w:r>
          </w:p>
        </w:tc>
        <w:tc>
          <w:tcPr>
            <w:tcW w:w="2784" w:type="dxa"/>
            <w:tcBorders>
              <w:top w:val="nil"/>
              <w:left w:val="nil"/>
              <w:bottom w:val="single" w:sz="4" w:space="0" w:color="auto"/>
              <w:right w:val="single" w:sz="8" w:space="0" w:color="auto"/>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 xml:space="preserve">                                             95 </w:t>
            </w:r>
          </w:p>
        </w:tc>
        <w:tc>
          <w:tcPr>
            <w:tcW w:w="2597" w:type="dxa"/>
            <w:tcBorders>
              <w:top w:val="nil"/>
              <w:left w:val="nil"/>
              <w:bottom w:val="single" w:sz="4" w:space="0" w:color="auto"/>
              <w:right w:val="nil"/>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 xml:space="preserve">                         84 763 955 </w:t>
            </w:r>
          </w:p>
        </w:tc>
        <w:tc>
          <w:tcPr>
            <w:tcW w:w="1359"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576D42" w:rsidRPr="00D178F1" w:rsidRDefault="00576D42" w:rsidP="00576D42">
            <w:pPr>
              <w:jc w:val="cente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0%</w:t>
            </w:r>
          </w:p>
        </w:tc>
      </w:tr>
      <w:tr w:rsidR="00576D42" w:rsidRPr="00967595" w:rsidTr="00D178F1">
        <w:trPr>
          <w:trHeight w:val="290"/>
        </w:trPr>
        <w:tc>
          <w:tcPr>
            <w:tcW w:w="2684"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Limpopo</w:t>
            </w:r>
          </w:p>
        </w:tc>
        <w:tc>
          <w:tcPr>
            <w:tcW w:w="2784" w:type="dxa"/>
            <w:tcBorders>
              <w:top w:val="nil"/>
              <w:left w:val="nil"/>
              <w:bottom w:val="single" w:sz="4" w:space="0" w:color="auto"/>
              <w:right w:val="single" w:sz="8" w:space="0" w:color="auto"/>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 xml:space="preserve">                                           175 </w:t>
            </w:r>
          </w:p>
        </w:tc>
        <w:tc>
          <w:tcPr>
            <w:tcW w:w="2597" w:type="dxa"/>
            <w:tcBorders>
              <w:top w:val="nil"/>
              <w:left w:val="nil"/>
              <w:bottom w:val="single" w:sz="4" w:space="0" w:color="auto"/>
              <w:right w:val="nil"/>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 xml:space="preserve">                         19 002 927 </w:t>
            </w:r>
          </w:p>
        </w:tc>
        <w:tc>
          <w:tcPr>
            <w:tcW w:w="1359"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576D42" w:rsidRPr="00D178F1" w:rsidRDefault="00576D42" w:rsidP="00576D42">
            <w:pPr>
              <w:jc w:val="cente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0%</w:t>
            </w:r>
          </w:p>
        </w:tc>
      </w:tr>
      <w:tr w:rsidR="00576D42" w:rsidRPr="00967595" w:rsidTr="00D178F1">
        <w:trPr>
          <w:trHeight w:val="285"/>
        </w:trPr>
        <w:tc>
          <w:tcPr>
            <w:tcW w:w="2684"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Kwazulu-Natal</w:t>
            </w:r>
          </w:p>
        </w:tc>
        <w:tc>
          <w:tcPr>
            <w:tcW w:w="2784" w:type="dxa"/>
            <w:tcBorders>
              <w:top w:val="nil"/>
              <w:left w:val="nil"/>
              <w:bottom w:val="single" w:sz="4" w:space="0" w:color="auto"/>
              <w:right w:val="single" w:sz="8" w:space="0" w:color="auto"/>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 xml:space="preserve">                                           915 </w:t>
            </w:r>
          </w:p>
        </w:tc>
        <w:tc>
          <w:tcPr>
            <w:tcW w:w="2597" w:type="dxa"/>
            <w:tcBorders>
              <w:top w:val="nil"/>
              <w:left w:val="nil"/>
              <w:bottom w:val="single" w:sz="4" w:space="0" w:color="auto"/>
              <w:right w:val="nil"/>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 xml:space="preserve">                       451 527 061 </w:t>
            </w:r>
          </w:p>
        </w:tc>
        <w:tc>
          <w:tcPr>
            <w:tcW w:w="1359"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576D42" w:rsidRPr="00D178F1" w:rsidRDefault="00576D42" w:rsidP="00576D42">
            <w:pPr>
              <w:jc w:val="cente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2%</w:t>
            </w:r>
          </w:p>
        </w:tc>
      </w:tr>
      <w:tr w:rsidR="00576D42" w:rsidRPr="00967595" w:rsidTr="00D178F1">
        <w:trPr>
          <w:trHeight w:val="285"/>
        </w:trPr>
        <w:tc>
          <w:tcPr>
            <w:tcW w:w="2684"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Free State</w:t>
            </w:r>
          </w:p>
        </w:tc>
        <w:tc>
          <w:tcPr>
            <w:tcW w:w="2784" w:type="dxa"/>
            <w:tcBorders>
              <w:top w:val="nil"/>
              <w:left w:val="nil"/>
              <w:bottom w:val="single" w:sz="4" w:space="0" w:color="auto"/>
              <w:right w:val="single" w:sz="8" w:space="0" w:color="auto"/>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 xml:space="preserve">                                        1 010 </w:t>
            </w:r>
          </w:p>
        </w:tc>
        <w:tc>
          <w:tcPr>
            <w:tcW w:w="2597" w:type="dxa"/>
            <w:tcBorders>
              <w:top w:val="nil"/>
              <w:left w:val="nil"/>
              <w:bottom w:val="single" w:sz="4" w:space="0" w:color="auto"/>
              <w:right w:val="nil"/>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 xml:space="preserve">                         81 356 354 </w:t>
            </w:r>
          </w:p>
        </w:tc>
        <w:tc>
          <w:tcPr>
            <w:tcW w:w="1359"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576D42" w:rsidRPr="00D178F1" w:rsidRDefault="00576D42" w:rsidP="00576D42">
            <w:pPr>
              <w:jc w:val="cente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3%</w:t>
            </w:r>
          </w:p>
        </w:tc>
      </w:tr>
      <w:tr w:rsidR="00576D42" w:rsidRPr="00967595" w:rsidTr="00D178F1">
        <w:trPr>
          <w:trHeight w:val="285"/>
        </w:trPr>
        <w:tc>
          <w:tcPr>
            <w:tcW w:w="2684"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Gauteng</w:t>
            </w:r>
          </w:p>
        </w:tc>
        <w:tc>
          <w:tcPr>
            <w:tcW w:w="2784" w:type="dxa"/>
            <w:tcBorders>
              <w:top w:val="nil"/>
              <w:left w:val="nil"/>
              <w:bottom w:val="single" w:sz="4" w:space="0" w:color="auto"/>
              <w:right w:val="single" w:sz="8" w:space="0" w:color="auto"/>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 xml:space="preserve">                                        2 650 </w:t>
            </w:r>
          </w:p>
        </w:tc>
        <w:tc>
          <w:tcPr>
            <w:tcW w:w="2597" w:type="dxa"/>
            <w:tcBorders>
              <w:top w:val="nil"/>
              <w:left w:val="nil"/>
              <w:bottom w:val="single" w:sz="4" w:space="0" w:color="auto"/>
              <w:right w:val="nil"/>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 xml:space="preserve">                       313 956 082 </w:t>
            </w:r>
          </w:p>
        </w:tc>
        <w:tc>
          <w:tcPr>
            <w:tcW w:w="1359"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576D42" w:rsidRPr="00D178F1" w:rsidRDefault="00576D42" w:rsidP="00576D42">
            <w:pPr>
              <w:jc w:val="cente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7%</w:t>
            </w:r>
          </w:p>
        </w:tc>
      </w:tr>
      <w:tr w:rsidR="00576D42" w:rsidRPr="00967595" w:rsidTr="00D178F1">
        <w:trPr>
          <w:trHeight w:val="285"/>
        </w:trPr>
        <w:tc>
          <w:tcPr>
            <w:tcW w:w="2684"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Mpumalanga</w:t>
            </w:r>
          </w:p>
        </w:tc>
        <w:tc>
          <w:tcPr>
            <w:tcW w:w="2784" w:type="dxa"/>
            <w:tcBorders>
              <w:top w:val="nil"/>
              <w:left w:val="nil"/>
              <w:bottom w:val="single" w:sz="4" w:space="0" w:color="auto"/>
              <w:right w:val="single" w:sz="8" w:space="0" w:color="auto"/>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 xml:space="preserve">                                        2 738 </w:t>
            </w:r>
          </w:p>
        </w:tc>
        <w:tc>
          <w:tcPr>
            <w:tcW w:w="2597" w:type="dxa"/>
            <w:tcBorders>
              <w:top w:val="nil"/>
              <w:left w:val="nil"/>
              <w:bottom w:val="single" w:sz="4" w:space="0" w:color="auto"/>
              <w:right w:val="nil"/>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 xml:space="preserve">                       399 224 299 </w:t>
            </w:r>
          </w:p>
        </w:tc>
        <w:tc>
          <w:tcPr>
            <w:tcW w:w="1359"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576D42" w:rsidRPr="00D178F1" w:rsidRDefault="00576D42" w:rsidP="00576D42">
            <w:pPr>
              <w:jc w:val="cente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7%</w:t>
            </w:r>
          </w:p>
        </w:tc>
      </w:tr>
      <w:tr w:rsidR="00576D42" w:rsidRPr="00967595" w:rsidTr="00D178F1">
        <w:trPr>
          <w:trHeight w:val="290"/>
        </w:trPr>
        <w:tc>
          <w:tcPr>
            <w:tcW w:w="2684"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North West</w:t>
            </w:r>
          </w:p>
        </w:tc>
        <w:tc>
          <w:tcPr>
            <w:tcW w:w="2784" w:type="dxa"/>
            <w:tcBorders>
              <w:top w:val="nil"/>
              <w:left w:val="nil"/>
              <w:bottom w:val="single" w:sz="4" w:space="0" w:color="auto"/>
              <w:right w:val="single" w:sz="8" w:space="0" w:color="auto"/>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 xml:space="preserve">                                        5 691 </w:t>
            </w:r>
          </w:p>
        </w:tc>
        <w:tc>
          <w:tcPr>
            <w:tcW w:w="2597" w:type="dxa"/>
            <w:tcBorders>
              <w:top w:val="nil"/>
              <w:left w:val="nil"/>
              <w:bottom w:val="single" w:sz="4" w:space="0" w:color="auto"/>
              <w:right w:val="nil"/>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 xml:space="preserve">                       446 883 143 </w:t>
            </w:r>
          </w:p>
        </w:tc>
        <w:tc>
          <w:tcPr>
            <w:tcW w:w="1359"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576D42" w:rsidRPr="00D178F1" w:rsidRDefault="00576D42" w:rsidP="00576D42">
            <w:pPr>
              <w:jc w:val="cente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15%</w:t>
            </w:r>
          </w:p>
        </w:tc>
      </w:tr>
      <w:tr w:rsidR="00576D42" w:rsidRPr="00967595" w:rsidTr="00D178F1">
        <w:trPr>
          <w:trHeight w:val="300"/>
        </w:trPr>
        <w:tc>
          <w:tcPr>
            <w:tcW w:w="2684"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Eastern Cape</w:t>
            </w:r>
          </w:p>
        </w:tc>
        <w:tc>
          <w:tcPr>
            <w:tcW w:w="2784" w:type="dxa"/>
            <w:tcBorders>
              <w:top w:val="nil"/>
              <w:left w:val="nil"/>
              <w:bottom w:val="single" w:sz="8" w:space="0" w:color="auto"/>
              <w:right w:val="single" w:sz="8" w:space="0" w:color="auto"/>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 xml:space="preserve">                                     24 222 </w:t>
            </w:r>
          </w:p>
        </w:tc>
        <w:tc>
          <w:tcPr>
            <w:tcW w:w="2597" w:type="dxa"/>
            <w:tcBorders>
              <w:top w:val="nil"/>
              <w:left w:val="nil"/>
              <w:bottom w:val="single" w:sz="8" w:space="0" w:color="auto"/>
              <w:right w:val="nil"/>
            </w:tcBorders>
            <w:shd w:val="clear" w:color="auto" w:fill="FFFFFF" w:themeFill="background1"/>
            <w:noWrap/>
            <w:vAlign w:val="bottom"/>
            <w:hideMark/>
          </w:tcPr>
          <w:p w:rsidR="00576D42" w:rsidRPr="00D178F1" w:rsidRDefault="00576D42" w:rsidP="00576D42">
            <w:pP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 xml:space="preserve">                    3 522 284 900 </w:t>
            </w:r>
          </w:p>
        </w:tc>
        <w:tc>
          <w:tcPr>
            <w:tcW w:w="1359" w:type="dxa"/>
            <w:tcBorders>
              <w:top w:val="nil"/>
              <w:left w:val="single" w:sz="8" w:space="0" w:color="auto"/>
              <w:bottom w:val="nil"/>
              <w:right w:val="single" w:sz="8" w:space="0" w:color="auto"/>
            </w:tcBorders>
            <w:shd w:val="clear" w:color="auto" w:fill="FFFFFF" w:themeFill="background1"/>
            <w:noWrap/>
            <w:vAlign w:val="center"/>
            <w:hideMark/>
          </w:tcPr>
          <w:p w:rsidR="00576D42" w:rsidRPr="00D178F1" w:rsidRDefault="00576D42" w:rsidP="00576D42">
            <w:pPr>
              <w:jc w:val="center"/>
              <w:rPr>
                <w:rFonts w:ascii="Arial Narrow" w:hAnsi="Arial Narrow" w:cs="Arial"/>
                <w:color w:val="000000"/>
                <w:sz w:val="20"/>
                <w:szCs w:val="20"/>
                <w:lang w:val="en-ZA" w:eastAsia="en-ZA"/>
              </w:rPr>
            </w:pPr>
            <w:r w:rsidRPr="00D178F1">
              <w:rPr>
                <w:rFonts w:ascii="Arial Narrow" w:hAnsi="Arial Narrow" w:cs="Arial"/>
                <w:color w:val="000000"/>
                <w:sz w:val="20"/>
                <w:szCs w:val="20"/>
                <w:lang w:val="en-ZA" w:eastAsia="en-ZA"/>
              </w:rPr>
              <w:t>65%</w:t>
            </w:r>
          </w:p>
        </w:tc>
      </w:tr>
      <w:tr w:rsidR="00576D42" w:rsidRPr="00967595" w:rsidTr="00D178F1">
        <w:trPr>
          <w:trHeight w:val="300"/>
        </w:trPr>
        <w:tc>
          <w:tcPr>
            <w:tcW w:w="2684" w:type="dxa"/>
            <w:tcBorders>
              <w:top w:val="nil"/>
              <w:left w:val="single" w:sz="8" w:space="0" w:color="auto"/>
              <w:bottom w:val="single" w:sz="8" w:space="0" w:color="auto"/>
              <w:right w:val="nil"/>
            </w:tcBorders>
            <w:shd w:val="clear" w:color="auto" w:fill="D9D9D9" w:themeFill="background1" w:themeFillShade="D9"/>
            <w:noWrap/>
            <w:vAlign w:val="bottom"/>
            <w:hideMark/>
          </w:tcPr>
          <w:p w:rsidR="00576D42" w:rsidRPr="00D178F1" w:rsidRDefault="00576D42" w:rsidP="00576D42">
            <w:pPr>
              <w:rPr>
                <w:rFonts w:ascii="Arial Narrow" w:hAnsi="Arial Narrow" w:cs="Arial"/>
                <w:b/>
                <w:bCs/>
                <w:color w:val="000000" w:themeColor="text1"/>
                <w:sz w:val="20"/>
                <w:szCs w:val="20"/>
                <w:lang w:val="en-ZA" w:eastAsia="en-ZA"/>
              </w:rPr>
            </w:pPr>
            <w:r w:rsidRPr="00D178F1">
              <w:rPr>
                <w:rFonts w:ascii="Arial Narrow" w:hAnsi="Arial Narrow" w:cs="Arial"/>
                <w:b/>
                <w:bCs/>
                <w:color w:val="000000" w:themeColor="text1"/>
                <w:sz w:val="20"/>
                <w:szCs w:val="20"/>
                <w:lang w:val="en-ZA" w:eastAsia="en-ZA"/>
              </w:rPr>
              <w:t>Total</w:t>
            </w:r>
          </w:p>
        </w:tc>
        <w:tc>
          <w:tcPr>
            <w:tcW w:w="2784"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576D42" w:rsidRPr="00D178F1" w:rsidRDefault="00576D42" w:rsidP="00576D42">
            <w:pPr>
              <w:rPr>
                <w:rFonts w:ascii="Arial Narrow" w:hAnsi="Arial Narrow" w:cs="Arial"/>
                <w:b/>
                <w:bCs/>
                <w:color w:val="000000" w:themeColor="text1"/>
                <w:sz w:val="20"/>
                <w:szCs w:val="20"/>
                <w:lang w:val="en-ZA" w:eastAsia="en-ZA"/>
              </w:rPr>
            </w:pPr>
            <w:r w:rsidRPr="00D178F1">
              <w:rPr>
                <w:rFonts w:ascii="Arial Narrow" w:hAnsi="Arial Narrow" w:cs="Arial"/>
                <w:b/>
                <w:bCs/>
                <w:color w:val="000000" w:themeColor="text1"/>
                <w:sz w:val="20"/>
                <w:szCs w:val="20"/>
                <w:lang w:val="en-ZA" w:eastAsia="en-ZA"/>
              </w:rPr>
              <w:t xml:space="preserve">                                     37 506 </w:t>
            </w:r>
          </w:p>
        </w:tc>
        <w:tc>
          <w:tcPr>
            <w:tcW w:w="2597" w:type="dxa"/>
            <w:tcBorders>
              <w:top w:val="nil"/>
              <w:left w:val="nil"/>
              <w:bottom w:val="single" w:sz="8" w:space="0" w:color="auto"/>
              <w:right w:val="nil"/>
            </w:tcBorders>
            <w:shd w:val="clear" w:color="auto" w:fill="D9D9D9" w:themeFill="background1" w:themeFillShade="D9"/>
            <w:noWrap/>
            <w:vAlign w:val="bottom"/>
            <w:hideMark/>
          </w:tcPr>
          <w:p w:rsidR="00576D42" w:rsidRPr="00D178F1" w:rsidRDefault="00576D42" w:rsidP="00576D42">
            <w:pPr>
              <w:rPr>
                <w:rFonts w:ascii="Arial Narrow" w:hAnsi="Arial Narrow" w:cs="Arial"/>
                <w:b/>
                <w:bCs/>
                <w:color w:val="000000" w:themeColor="text1"/>
                <w:sz w:val="20"/>
                <w:szCs w:val="20"/>
                <w:lang w:val="en-ZA" w:eastAsia="en-ZA"/>
              </w:rPr>
            </w:pPr>
            <w:r w:rsidRPr="00D178F1">
              <w:rPr>
                <w:rFonts w:ascii="Arial Narrow" w:hAnsi="Arial Narrow" w:cs="Arial"/>
                <w:b/>
                <w:bCs/>
                <w:color w:val="000000" w:themeColor="text1"/>
                <w:sz w:val="20"/>
                <w:szCs w:val="20"/>
                <w:lang w:val="en-ZA" w:eastAsia="en-ZA"/>
              </w:rPr>
              <w:t xml:space="preserve">                    5 319 093 844 </w:t>
            </w:r>
          </w:p>
        </w:tc>
        <w:tc>
          <w:tcPr>
            <w:tcW w:w="135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576D42" w:rsidRPr="00D178F1" w:rsidRDefault="00576D42" w:rsidP="00576D42">
            <w:pPr>
              <w:jc w:val="center"/>
              <w:rPr>
                <w:rFonts w:ascii="Arial Narrow" w:hAnsi="Arial Narrow" w:cs="Arial"/>
                <w:b/>
                <w:color w:val="000000" w:themeColor="text1"/>
                <w:sz w:val="20"/>
                <w:szCs w:val="20"/>
                <w:lang w:val="en-ZA" w:eastAsia="en-ZA"/>
              </w:rPr>
            </w:pPr>
            <w:r w:rsidRPr="00D178F1">
              <w:rPr>
                <w:rFonts w:ascii="Arial Narrow" w:hAnsi="Arial Narrow" w:cs="Arial"/>
                <w:b/>
                <w:color w:val="000000" w:themeColor="text1"/>
                <w:sz w:val="20"/>
                <w:szCs w:val="20"/>
                <w:lang w:val="en-ZA" w:eastAsia="en-ZA"/>
              </w:rPr>
              <w:t>100%</w:t>
            </w:r>
          </w:p>
        </w:tc>
      </w:tr>
    </w:tbl>
    <w:p w:rsidR="000107D7" w:rsidRDefault="000107D7" w:rsidP="004C734C">
      <w:pPr>
        <w:pStyle w:val="ListParagraph"/>
        <w:rPr>
          <w:rFonts w:ascii="Arial" w:hAnsi="Arial" w:cs="Arial"/>
          <w:bCs/>
          <w:sz w:val="22"/>
          <w:szCs w:val="22"/>
          <w:lang w:val="en-ZA"/>
        </w:rPr>
      </w:pPr>
    </w:p>
    <w:p w:rsidR="00DE1F0D" w:rsidRPr="00DE1F0D" w:rsidRDefault="00DE1F0D" w:rsidP="00DE1F0D">
      <w:pPr>
        <w:rPr>
          <w:rFonts w:ascii="Arial" w:hAnsi="Arial" w:cs="Arial"/>
          <w:bCs/>
          <w:sz w:val="22"/>
          <w:szCs w:val="22"/>
          <w:lang w:val="en-ZA"/>
        </w:rPr>
      </w:pPr>
    </w:p>
    <w:p w:rsidR="00AF064B" w:rsidRDefault="00AF064B" w:rsidP="008A6103">
      <w:pPr>
        <w:pStyle w:val="ListParagraph"/>
        <w:rPr>
          <w:rFonts w:ascii="Arial" w:hAnsi="Arial" w:cs="Arial"/>
          <w:bCs/>
          <w:sz w:val="22"/>
          <w:szCs w:val="22"/>
          <w:lang w:val="en-ZA"/>
        </w:rPr>
      </w:pPr>
    </w:p>
    <w:p w:rsidR="00C061CF" w:rsidRPr="00553EDC" w:rsidRDefault="00C061CF" w:rsidP="00513885">
      <w:pPr>
        <w:rPr>
          <w:rFonts w:ascii="Arial" w:hAnsi="Arial" w:cs="Arial"/>
          <w:b/>
          <w:sz w:val="22"/>
          <w:szCs w:val="22"/>
        </w:rPr>
      </w:pPr>
    </w:p>
    <w:sectPr w:rsidR="00C061CF" w:rsidRPr="00553EDC" w:rsidSect="003B72D6">
      <w:footerReference w:type="default" r:id="rId9"/>
      <w:pgSz w:w="12240" w:h="15840" w:code="1"/>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8C5" w:rsidRDefault="002628C5" w:rsidP="00380E88">
      <w:r>
        <w:separator/>
      </w:r>
    </w:p>
  </w:endnote>
  <w:endnote w:type="continuationSeparator" w:id="0">
    <w:p w:rsidR="002628C5" w:rsidRDefault="002628C5"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73624F">
        <w:pPr>
          <w:pStyle w:val="Footer"/>
          <w:jc w:val="center"/>
        </w:pPr>
        <w:r>
          <w:fldChar w:fldCharType="begin"/>
        </w:r>
        <w:r w:rsidR="006C2B5C">
          <w:instrText xml:space="preserve"> PAGE   \* MERGEFORMAT </w:instrText>
        </w:r>
        <w:r>
          <w:fldChar w:fldCharType="separate"/>
        </w:r>
        <w:r w:rsidR="000609B4">
          <w:rPr>
            <w:noProof/>
          </w:rPr>
          <w:t>1</w:t>
        </w:r>
        <w:r>
          <w:rPr>
            <w:noProof/>
          </w:rPr>
          <w:fldChar w:fldCharType="end"/>
        </w:r>
      </w:p>
    </w:sdtContent>
  </w:sdt>
  <w:p w:rsidR="006C2B5C" w:rsidRDefault="006C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8C5" w:rsidRDefault="002628C5" w:rsidP="00380E88">
      <w:r>
        <w:separator/>
      </w:r>
    </w:p>
  </w:footnote>
  <w:footnote w:type="continuationSeparator" w:id="0">
    <w:p w:rsidR="002628C5" w:rsidRDefault="002628C5"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152"/>
    <w:multiLevelType w:val="hybridMultilevel"/>
    <w:tmpl w:val="465468C2"/>
    <w:lvl w:ilvl="0" w:tplc="3B966F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E72464"/>
    <w:multiLevelType w:val="hybridMultilevel"/>
    <w:tmpl w:val="67CA51F6"/>
    <w:lvl w:ilvl="0" w:tplc="D42634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C47F4"/>
    <w:multiLevelType w:val="hybridMultilevel"/>
    <w:tmpl w:val="5492D1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5780517"/>
    <w:multiLevelType w:val="multilevel"/>
    <w:tmpl w:val="2A62731C"/>
    <w:lvl w:ilvl="0">
      <w:start w:val="1"/>
      <w:numFmt w:val="decimal"/>
      <w:lvlText w:val="%1."/>
      <w:lvlJc w:val="left"/>
      <w:pPr>
        <w:ind w:left="720" w:hanging="360"/>
      </w:pPr>
      <w:rPr>
        <w:rFonts w:hint="default"/>
        <w:b w:val="0"/>
      </w:rPr>
    </w:lvl>
    <w:lvl w:ilvl="1">
      <w:start w:val="1"/>
      <w:numFmt w:val="decimal"/>
      <w:isLgl/>
      <w:lvlText w:val="%1.%2"/>
      <w:lvlJc w:val="left"/>
      <w:pPr>
        <w:ind w:left="1090" w:hanging="3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nsid w:val="402475CF"/>
    <w:multiLevelType w:val="hybridMultilevel"/>
    <w:tmpl w:val="A81E38E4"/>
    <w:lvl w:ilvl="0" w:tplc="CA8E5358">
      <w:start w:val="1"/>
      <w:numFmt w:val="lowerLetter"/>
      <w:lvlText w:val="(%1)"/>
      <w:lvlJc w:val="left"/>
      <w:pPr>
        <w:ind w:left="1080" w:hanging="360"/>
      </w:pPr>
      <w:rPr>
        <w:rFonts w:ascii="Arial" w:eastAsiaTheme="minorHAns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8">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1">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AD254D0"/>
    <w:multiLevelType w:val="hybridMultilevel"/>
    <w:tmpl w:val="E4262030"/>
    <w:lvl w:ilvl="0" w:tplc="EAE638E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F7C3DDE"/>
    <w:multiLevelType w:val="hybridMultilevel"/>
    <w:tmpl w:val="F7AC44A6"/>
    <w:lvl w:ilvl="0" w:tplc="B224C4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9">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7EDA38E3"/>
    <w:multiLevelType w:val="hybridMultilevel"/>
    <w:tmpl w:val="B6D21B9E"/>
    <w:lvl w:ilvl="0" w:tplc="C8B08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3"/>
  </w:num>
  <w:num w:numId="2">
    <w:abstractNumId w:val="14"/>
  </w:num>
  <w:num w:numId="3">
    <w:abstractNumId w:val="11"/>
  </w:num>
  <w:num w:numId="4">
    <w:abstractNumId w:val="8"/>
  </w:num>
  <w:num w:numId="5">
    <w:abstractNumId w:val="19"/>
  </w:num>
  <w:num w:numId="6">
    <w:abstractNumId w:val="7"/>
  </w:num>
  <w:num w:numId="7">
    <w:abstractNumId w:val="7"/>
  </w:num>
  <w:num w:numId="8">
    <w:abstractNumId w:val="21"/>
  </w:num>
  <w:num w:numId="9">
    <w:abstractNumId w:val="5"/>
  </w:num>
  <w:num w:numId="10">
    <w:abstractNumId w:val="10"/>
  </w:num>
  <w:num w:numId="11">
    <w:abstractNumId w:val="18"/>
  </w:num>
  <w:num w:numId="12">
    <w:abstractNumId w:val="12"/>
  </w:num>
  <w:num w:numId="13">
    <w:abstractNumId w:val="9"/>
  </w:num>
  <w:num w:numId="14">
    <w:abstractNumId w:val="2"/>
  </w:num>
  <w:num w:numId="15">
    <w:abstractNumId w:val="17"/>
  </w:num>
  <w:num w:numId="16">
    <w:abstractNumId w:val="3"/>
  </w:num>
  <w:num w:numId="17">
    <w:abstractNumId w:val="20"/>
  </w:num>
  <w:num w:numId="18">
    <w:abstractNumId w:val="1"/>
  </w:num>
  <w:num w:numId="19">
    <w:abstractNumId w:val="15"/>
  </w:num>
  <w:num w:numId="20">
    <w:abstractNumId w:val="6"/>
  </w:num>
  <w:num w:numId="21">
    <w:abstractNumId w:val="0"/>
  </w:num>
  <w:num w:numId="22">
    <w:abstractNumId w:val="16"/>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7E0MzE3tjQzsjS1NDRU0lEKTi0uzszPAykwqgUAuZD1yiwAAAA="/>
  </w:docVars>
  <w:rsids>
    <w:rsidRoot w:val="00063E28"/>
    <w:rsid w:val="000054AE"/>
    <w:rsid w:val="00005F25"/>
    <w:rsid w:val="000107D7"/>
    <w:rsid w:val="00011016"/>
    <w:rsid w:val="00012A82"/>
    <w:rsid w:val="000147EE"/>
    <w:rsid w:val="00016A41"/>
    <w:rsid w:val="00017563"/>
    <w:rsid w:val="00020C04"/>
    <w:rsid w:val="00022555"/>
    <w:rsid w:val="000235AD"/>
    <w:rsid w:val="00023BC3"/>
    <w:rsid w:val="00025170"/>
    <w:rsid w:val="00026160"/>
    <w:rsid w:val="0002634B"/>
    <w:rsid w:val="000319D5"/>
    <w:rsid w:val="00041437"/>
    <w:rsid w:val="00042E4A"/>
    <w:rsid w:val="00053303"/>
    <w:rsid w:val="0005383F"/>
    <w:rsid w:val="000609B4"/>
    <w:rsid w:val="00060E09"/>
    <w:rsid w:val="00063E28"/>
    <w:rsid w:val="0007743C"/>
    <w:rsid w:val="00080BD0"/>
    <w:rsid w:val="00082DDF"/>
    <w:rsid w:val="0008596C"/>
    <w:rsid w:val="00091852"/>
    <w:rsid w:val="000968CF"/>
    <w:rsid w:val="000A3C32"/>
    <w:rsid w:val="000A5567"/>
    <w:rsid w:val="000A57B1"/>
    <w:rsid w:val="000B16E9"/>
    <w:rsid w:val="000B51CC"/>
    <w:rsid w:val="000B555E"/>
    <w:rsid w:val="000C2BEF"/>
    <w:rsid w:val="000C3917"/>
    <w:rsid w:val="000C48D8"/>
    <w:rsid w:val="000D0973"/>
    <w:rsid w:val="000D33E9"/>
    <w:rsid w:val="000D5DF7"/>
    <w:rsid w:val="000E1B36"/>
    <w:rsid w:val="000E3AD1"/>
    <w:rsid w:val="000F0AF6"/>
    <w:rsid w:val="000F37A4"/>
    <w:rsid w:val="000F3B14"/>
    <w:rsid w:val="000F45A0"/>
    <w:rsid w:val="000F5178"/>
    <w:rsid w:val="00100CC2"/>
    <w:rsid w:val="00104BEC"/>
    <w:rsid w:val="001075F8"/>
    <w:rsid w:val="00110946"/>
    <w:rsid w:val="001166A0"/>
    <w:rsid w:val="00122C88"/>
    <w:rsid w:val="00123B87"/>
    <w:rsid w:val="00130348"/>
    <w:rsid w:val="00132CAF"/>
    <w:rsid w:val="00132CF0"/>
    <w:rsid w:val="001433AE"/>
    <w:rsid w:val="001436F1"/>
    <w:rsid w:val="0014441E"/>
    <w:rsid w:val="00147193"/>
    <w:rsid w:val="0015727B"/>
    <w:rsid w:val="00170407"/>
    <w:rsid w:val="00183EB5"/>
    <w:rsid w:val="00197576"/>
    <w:rsid w:val="001B0917"/>
    <w:rsid w:val="001B1E0F"/>
    <w:rsid w:val="001B5BD3"/>
    <w:rsid w:val="001B7C55"/>
    <w:rsid w:val="001B7F2A"/>
    <w:rsid w:val="001C1D4F"/>
    <w:rsid w:val="001C1E62"/>
    <w:rsid w:val="001C468F"/>
    <w:rsid w:val="001D24BA"/>
    <w:rsid w:val="001D267B"/>
    <w:rsid w:val="001D4937"/>
    <w:rsid w:val="001E1132"/>
    <w:rsid w:val="001E3FB5"/>
    <w:rsid w:val="001E58AC"/>
    <w:rsid w:val="001E6902"/>
    <w:rsid w:val="001F4B50"/>
    <w:rsid w:val="001F6D0E"/>
    <w:rsid w:val="001F7560"/>
    <w:rsid w:val="002065BA"/>
    <w:rsid w:val="00207912"/>
    <w:rsid w:val="00212588"/>
    <w:rsid w:val="00216997"/>
    <w:rsid w:val="00223863"/>
    <w:rsid w:val="0022502D"/>
    <w:rsid w:val="00230BF6"/>
    <w:rsid w:val="002314BC"/>
    <w:rsid w:val="00237B23"/>
    <w:rsid w:val="00251791"/>
    <w:rsid w:val="00260251"/>
    <w:rsid w:val="002628C5"/>
    <w:rsid w:val="00262F05"/>
    <w:rsid w:val="0026563C"/>
    <w:rsid w:val="00271C0F"/>
    <w:rsid w:val="0027436F"/>
    <w:rsid w:val="0028148D"/>
    <w:rsid w:val="00281A7C"/>
    <w:rsid w:val="002855CE"/>
    <w:rsid w:val="00285EA1"/>
    <w:rsid w:val="0028635F"/>
    <w:rsid w:val="002867DD"/>
    <w:rsid w:val="002927CD"/>
    <w:rsid w:val="00293E24"/>
    <w:rsid w:val="002A4157"/>
    <w:rsid w:val="002B3B25"/>
    <w:rsid w:val="002B7345"/>
    <w:rsid w:val="002D104B"/>
    <w:rsid w:val="002D10B3"/>
    <w:rsid w:val="002D2A4C"/>
    <w:rsid w:val="002D499A"/>
    <w:rsid w:val="002E4AA0"/>
    <w:rsid w:val="002F6E86"/>
    <w:rsid w:val="003005D2"/>
    <w:rsid w:val="00303E43"/>
    <w:rsid w:val="00303F4E"/>
    <w:rsid w:val="00312121"/>
    <w:rsid w:val="00326CF2"/>
    <w:rsid w:val="003421BD"/>
    <w:rsid w:val="00344553"/>
    <w:rsid w:val="00345531"/>
    <w:rsid w:val="00346695"/>
    <w:rsid w:val="003511D4"/>
    <w:rsid w:val="00351BF5"/>
    <w:rsid w:val="00354BA4"/>
    <w:rsid w:val="003707A7"/>
    <w:rsid w:val="0037088B"/>
    <w:rsid w:val="00374DCE"/>
    <w:rsid w:val="0037795E"/>
    <w:rsid w:val="00380E88"/>
    <w:rsid w:val="0038280B"/>
    <w:rsid w:val="003845EF"/>
    <w:rsid w:val="00391E6A"/>
    <w:rsid w:val="00392A86"/>
    <w:rsid w:val="00393919"/>
    <w:rsid w:val="003A5B00"/>
    <w:rsid w:val="003A6BD5"/>
    <w:rsid w:val="003A71CE"/>
    <w:rsid w:val="003B0336"/>
    <w:rsid w:val="003B0A2D"/>
    <w:rsid w:val="003B72D6"/>
    <w:rsid w:val="003D0E83"/>
    <w:rsid w:val="003D13A7"/>
    <w:rsid w:val="003D5A20"/>
    <w:rsid w:val="003D6E21"/>
    <w:rsid w:val="003E03B4"/>
    <w:rsid w:val="003E2711"/>
    <w:rsid w:val="003E6A8B"/>
    <w:rsid w:val="003F1329"/>
    <w:rsid w:val="003F6A56"/>
    <w:rsid w:val="003F77C9"/>
    <w:rsid w:val="00413ABE"/>
    <w:rsid w:val="00413C95"/>
    <w:rsid w:val="00422EC6"/>
    <w:rsid w:val="004260E9"/>
    <w:rsid w:val="0042645C"/>
    <w:rsid w:val="00426C51"/>
    <w:rsid w:val="00427ECA"/>
    <w:rsid w:val="0043065E"/>
    <w:rsid w:val="00435349"/>
    <w:rsid w:val="00435EA2"/>
    <w:rsid w:val="00453CF1"/>
    <w:rsid w:val="0046713E"/>
    <w:rsid w:val="004709BD"/>
    <w:rsid w:val="00472D86"/>
    <w:rsid w:val="00473446"/>
    <w:rsid w:val="00474BDC"/>
    <w:rsid w:val="00480D1F"/>
    <w:rsid w:val="00484737"/>
    <w:rsid w:val="00485B2E"/>
    <w:rsid w:val="00485F09"/>
    <w:rsid w:val="00490A00"/>
    <w:rsid w:val="004936B2"/>
    <w:rsid w:val="00495422"/>
    <w:rsid w:val="00496D69"/>
    <w:rsid w:val="004A078E"/>
    <w:rsid w:val="004A7866"/>
    <w:rsid w:val="004B1526"/>
    <w:rsid w:val="004B2329"/>
    <w:rsid w:val="004B6552"/>
    <w:rsid w:val="004B71C8"/>
    <w:rsid w:val="004C0E9B"/>
    <w:rsid w:val="004C0FCD"/>
    <w:rsid w:val="004C57A4"/>
    <w:rsid w:val="004C734C"/>
    <w:rsid w:val="004D3BF2"/>
    <w:rsid w:val="004D3D5A"/>
    <w:rsid w:val="004D51F0"/>
    <w:rsid w:val="004D568A"/>
    <w:rsid w:val="004E3098"/>
    <w:rsid w:val="004E6E7D"/>
    <w:rsid w:val="004F43FB"/>
    <w:rsid w:val="00503CF8"/>
    <w:rsid w:val="005062A3"/>
    <w:rsid w:val="00513747"/>
    <w:rsid w:val="00513885"/>
    <w:rsid w:val="00513A6D"/>
    <w:rsid w:val="005141B3"/>
    <w:rsid w:val="00522B65"/>
    <w:rsid w:val="005313B2"/>
    <w:rsid w:val="00532BB4"/>
    <w:rsid w:val="0053398C"/>
    <w:rsid w:val="00533BBC"/>
    <w:rsid w:val="00533C35"/>
    <w:rsid w:val="00546956"/>
    <w:rsid w:val="00547158"/>
    <w:rsid w:val="00547F39"/>
    <w:rsid w:val="0055290F"/>
    <w:rsid w:val="00553EDC"/>
    <w:rsid w:val="00566101"/>
    <w:rsid w:val="005706F1"/>
    <w:rsid w:val="00574E19"/>
    <w:rsid w:val="00576D42"/>
    <w:rsid w:val="005801E0"/>
    <w:rsid w:val="00583E9B"/>
    <w:rsid w:val="005853FD"/>
    <w:rsid w:val="005A3443"/>
    <w:rsid w:val="005A4B7A"/>
    <w:rsid w:val="005B6F0A"/>
    <w:rsid w:val="005D0154"/>
    <w:rsid w:val="005E21D9"/>
    <w:rsid w:val="005E32E0"/>
    <w:rsid w:val="005E415D"/>
    <w:rsid w:val="005F05C1"/>
    <w:rsid w:val="005F11A2"/>
    <w:rsid w:val="005F6B76"/>
    <w:rsid w:val="005F6B94"/>
    <w:rsid w:val="00613FC6"/>
    <w:rsid w:val="006239F1"/>
    <w:rsid w:val="00624D20"/>
    <w:rsid w:val="0062770E"/>
    <w:rsid w:val="00631CD4"/>
    <w:rsid w:val="0063324E"/>
    <w:rsid w:val="00641158"/>
    <w:rsid w:val="00641BED"/>
    <w:rsid w:val="0064275F"/>
    <w:rsid w:val="00642B16"/>
    <w:rsid w:val="0064512A"/>
    <w:rsid w:val="00646E7C"/>
    <w:rsid w:val="00647EF2"/>
    <w:rsid w:val="00651616"/>
    <w:rsid w:val="00653A85"/>
    <w:rsid w:val="00666668"/>
    <w:rsid w:val="00670B2F"/>
    <w:rsid w:val="00675635"/>
    <w:rsid w:val="00685058"/>
    <w:rsid w:val="00685F0E"/>
    <w:rsid w:val="00687D9E"/>
    <w:rsid w:val="00693A64"/>
    <w:rsid w:val="006951C6"/>
    <w:rsid w:val="006B61B0"/>
    <w:rsid w:val="006C1C02"/>
    <w:rsid w:val="006C2191"/>
    <w:rsid w:val="006C2B5C"/>
    <w:rsid w:val="006C2D5C"/>
    <w:rsid w:val="006D1766"/>
    <w:rsid w:val="006D1B36"/>
    <w:rsid w:val="006D2C61"/>
    <w:rsid w:val="006D2F61"/>
    <w:rsid w:val="006D39E9"/>
    <w:rsid w:val="00704493"/>
    <w:rsid w:val="00704DC7"/>
    <w:rsid w:val="007118EA"/>
    <w:rsid w:val="00712545"/>
    <w:rsid w:val="00712E95"/>
    <w:rsid w:val="007175DE"/>
    <w:rsid w:val="00726A9C"/>
    <w:rsid w:val="00732A53"/>
    <w:rsid w:val="007359BF"/>
    <w:rsid w:val="0073624F"/>
    <w:rsid w:val="00737375"/>
    <w:rsid w:val="00743F26"/>
    <w:rsid w:val="00751942"/>
    <w:rsid w:val="00751A1E"/>
    <w:rsid w:val="007540E0"/>
    <w:rsid w:val="007544A8"/>
    <w:rsid w:val="0075652D"/>
    <w:rsid w:val="0076668B"/>
    <w:rsid w:val="00767E8F"/>
    <w:rsid w:val="007749D9"/>
    <w:rsid w:val="00780F57"/>
    <w:rsid w:val="007839B2"/>
    <w:rsid w:val="00783E1A"/>
    <w:rsid w:val="0079022D"/>
    <w:rsid w:val="007914E0"/>
    <w:rsid w:val="0079284D"/>
    <w:rsid w:val="007A32AF"/>
    <w:rsid w:val="007A78C0"/>
    <w:rsid w:val="007B1BA1"/>
    <w:rsid w:val="007C3B62"/>
    <w:rsid w:val="007C44DF"/>
    <w:rsid w:val="007C4690"/>
    <w:rsid w:val="007C51AA"/>
    <w:rsid w:val="007C5A36"/>
    <w:rsid w:val="007C7EBA"/>
    <w:rsid w:val="007D25DF"/>
    <w:rsid w:val="007D4060"/>
    <w:rsid w:val="007E56A2"/>
    <w:rsid w:val="007F18AA"/>
    <w:rsid w:val="007F439B"/>
    <w:rsid w:val="007F5C89"/>
    <w:rsid w:val="00800B54"/>
    <w:rsid w:val="00803AC4"/>
    <w:rsid w:val="00807B52"/>
    <w:rsid w:val="00811367"/>
    <w:rsid w:val="008125F7"/>
    <w:rsid w:val="00813FF0"/>
    <w:rsid w:val="00814CE4"/>
    <w:rsid w:val="008223D4"/>
    <w:rsid w:val="008270A1"/>
    <w:rsid w:val="008321A4"/>
    <w:rsid w:val="0084121D"/>
    <w:rsid w:val="00852DC3"/>
    <w:rsid w:val="008600E0"/>
    <w:rsid w:val="008631A7"/>
    <w:rsid w:val="00866056"/>
    <w:rsid w:val="00876CBB"/>
    <w:rsid w:val="008779EA"/>
    <w:rsid w:val="00880EA8"/>
    <w:rsid w:val="00886053"/>
    <w:rsid w:val="0088688A"/>
    <w:rsid w:val="0088770D"/>
    <w:rsid w:val="00887A34"/>
    <w:rsid w:val="00891265"/>
    <w:rsid w:val="00893761"/>
    <w:rsid w:val="00897498"/>
    <w:rsid w:val="00897F0B"/>
    <w:rsid w:val="008A25B9"/>
    <w:rsid w:val="008A3396"/>
    <w:rsid w:val="008A4EBA"/>
    <w:rsid w:val="008A53E5"/>
    <w:rsid w:val="008A6103"/>
    <w:rsid w:val="008A6ECF"/>
    <w:rsid w:val="008C0D4C"/>
    <w:rsid w:val="008C2559"/>
    <w:rsid w:val="008C2974"/>
    <w:rsid w:val="008D3E86"/>
    <w:rsid w:val="008E01C3"/>
    <w:rsid w:val="008E1C5A"/>
    <w:rsid w:val="008E3D62"/>
    <w:rsid w:val="008E4142"/>
    <w:rsid w:val="008F2375"/>
    <w:rsid w:val="008F324E"/>
    <w:rsid w:val="008F616B"/>
    <w:rsid w:val="008F7690"/>
    <w:rsid w:val="00905110"/>
    <w:rsid w:val="00910B58"/>
    <w:rsid w:val="00911717"/>
    <w:rsid w:val="009163A5"/>
    <w:rsid w:val="00917C44"/>
    <w:rsid w:val="009203A2"/>
    <w:rsid w:val="00933C7B"/>
    <w:rsid w:val="0093680D"/>
    <w:rsid w:val="00945542"/>
    <w:rsid w:val="009508F2"/>
    <w:rsid w:val="00950F95"/>
    <w:rsid w:val="00953363"/>
    <w:rsid w:val="0096007E"/>
    <w:rsid w:val="00960B82"/>
    <w:rsid w:val="009612FC"/>
    <w:rsid w:val="00965E2A"/>
    <w:rsid w:val="00967595"/>
    <w:rsid w:val="009679C8"/>
    <w:rsid w:val="00972601"/>
    <w:rsid w:val="00975EC9"/>
    <w:rsid w:val="00976E83"/>
    <w:rsid w:val="0097786E"/>
    <w:rsid w:val="00977E9D"/>
    <w:rsid w:val="00986C1B"/>
    <w:rsid w:val="00987BC9"/>
    <w:rsid w:val="0099170A"/>
    <w:rsid w:val="009932FB"/>
    <w:rsid w:val="009965A4"/>
    <w:rsid w:val="009A18A7"/>
    <w:rsid w:val="009C45D6"/>
    <w:rsid w:val="009C72B2"/>
    <w:rsid w:val="009E1AB2"/>
    <w:rsid w:val="009E24E9"/>
    <w:rsid w:val="009F2415"/>
    <w:rsid w:val="009F480A"/>
    <w:rsid w:val="00A02200"/>
    <w:rsid w:val="00A02793"/>
    <w:rsid w:val="00A06A31"/>
    <w:rsid w:val="00A15D3C"/>
    <w:rsid w:val="00A1736D"/>
    <w:rsid w:val="00A17990"/>
    <w:rsid w:val="00A208E6"/>
    <w:rsid w:val="00A23A3E"/>
    <w:rsid w:val="00A25420"/>
    <w:rsid w:val="00A337C8"/>
    <w:rsid w:val="00A359DB"/>
    <w:rsid w:val="00A45496"/>
    <w:rsid w:val="00A45FE5"/>
    <w:rsid w:val="00A50B75"/>
    <w:rsid w:val="00A51243"/>
    <w:rsid w:val="00A51431"/>
    <w:rsid w:val="00A525F0"/>
    <w:rsid w:val="00A55CB3"/>
    <w:rsid w:val="00A566A2"/>
    <w:rsid w:val="00A56EC2"/>
    <w:rsid w:val="00A5731A"/>
    <w:rsid w:val="00A60DDB"/>
    <w:rsid w:val="00A61462"/>
    <w:rsid w:val="00A66C20"/>
    <w:rsid w:val="00A677C3"/>
    <w:rsid w:val="00A72B9B"/>
    <w:rsid w:val="00A7553A"/>
    <w:rsid w:val="00A75E66"/>
    <w:rsid w:val="00A84063"/>
    <w:rsid w:val="00A84F7F"/>
    <w:rsid w:val="00A85716"/>
    <w:rsid w:val="00A952EA"/>
    <w:rsid w:val="00A96A79"/>
    <w:rsid w:val="00A97C66"/>
    <w:rsid w:val="00AA4ED9"/>
    <w:rsid w:val="00AB5748"/>
    <w:rsid w:val="00AB5B28"/>
    <w:rsid w:val="00AD00CE"/>
    <w:rsid w:val="00AD1B6E"/>
    <w:rsid w:val="00AD5C9B"/>
    <w:rsid w:val="00AE07DE"/>
    <w:rsid w:val="00AF064B"/>
    <w:rsid w:val="00B03AF4"/>
    <w:rsid w:val="00B03DD6"/>
    <w:rsid w:val="00B1562B"/>
    <w:rsid w:val="00B1593D"/>
    <w:rsid w:val="00B20E37"/>
    <w:rsid w:val="00B234CB"/>
    <w:rsid w:val="00B31AAE"/>
    <w:rsid w:val="00B35E0C"/>
    <w:rsid w:val="00B432CA"/>
    <w:rsid w:val="00B447E6"/>
    <w:rsid w:val="00B46449"/>
    <w:rsid w:val="00B57527"/>
    <w:rsid w:val="00B62882"/>
    <w:rsid w:val="00B65F8F"/>
    <w:rsid w:val="00B70C7B"/>
    <w:rsid w:val="00B711CB"/>
    <w:rsid w:val="00B716A6"/>
    <w:rsid w:val="00B75BBC"/>
    <w:rsid w:val="00B76831"/>
    <w:rsid w:val="00B76B61"/>
    <w:rsid w:val="00B77F67"/>
    <w:rsid w:val="00B80E15"/>
    <w:rsid w:val="00B81176"/>
    <w:rsid w:val="00B83E8B"/>
    <w:rsid w:val="00B913C7"/>
    <w:rsid w:val="00B939E8"/>
    <w:rsid w:val="00B95452"/>
    <w:rsid w:val="00B96B34"/>
    <w:rsid w:val="00BA517C"/>
    <w:rsid w:val="00BA5C4D"/>
    <w:rsid w:val="00BB333E"/>
    <w:rsid w:val="00BB416B"/>
    <w:rsid w:val="00BC0A3B"/>
    <w:rsid w:val="00BC2B24"/>
    <w:rsid w:val="00BC3150"/>
    <w:rsid w:val="00BC450A"/>
    <w:rsid w:val="00BC4BEA"/>
    <w:rsid w:val="00BC5A3F"/>
    <w:rsid w:val="00BD05BC"/>
    <w:rsid w:val="00BD31C6"/>
    <w:rsid w:val="00BE533B"/>
    <w:rsid w:val="00BE64EB"/>
    <w:rsid w:val="00BE6DA0"/>
    <w:rsid w:val="00C061CF"/>
    <w:rsid w:val="00C06302"/>
    <w:rsid w:val="00C15374"/>
    <w:rsid w:val="00C223DB"/>
    <w:rsid w:val="00C22A1F"/>
    <w:rsid w:val="00C25C7E"/>
    <w:rsid w:val="00C26CCD"/>
    <w:rsid w:val="00C312EA"/>
    <w:rsid w:val="00C32942"/>
    <w:rsid w:val="00C3410D"/>
    <w:rsid w:val="00C375AF"/>
    <w:rsid w:val="00C401F8"/>
    <w:rsid w:val="00C41105"/>
    <w:rsid w:val="00C44C35"/>
    <w:rsid w:val="00C45C13"/>
    <w:rsid w:val="00C472D6"/>
    <w:rsid w:val="00C526D5"/>
    <w:rsid w:val="00C56D83"/>
    <w:rsid w:val="00C60822"/>
    <w:rsid w:val="00C60A55"/>
    <w:rsid w:val="00C61072"/>
    <w:rsid w:val="00C65A57"/>
    <w:rsid w:val="00C67221"/>
    <w:rsid w:val="00C77F83"/>
    <w:rsid w:val="00C87C5C"/>
    <w:rsid w:val="00C905A7"/>
    <w:rsid w:val="00CA176A"/>
    <w:rsid w:val="00CB034C"/>
    <w:rsid w:val="00CB4FDB"/>
    <w:rsid w:val="00CB51AD"/>
    <w:rsid w:val="00CC0640"/>
    <w:rsid w:val="00CC1D9C"/>
    <w:rsid w:val="00CC2F3E"/>
    <w:rsid w:val="00CC392D"/>
    <w:rsid w:val="00CC7673"/>
    <w:rsid w:val="00CE0468"/>
    <w:rsid w:val="00D01E04"/>
    <w:rsid w:val="00D05765"/>
    <w:rsid w:val="00D1433D"/>
    <w:rsid w:val="00D178F1"/>
    <w:rsid w:val="00D17D13"/>
    <w:rsid w:val="00D20E78"/>
    <w:rsid w:val="00D20F25"/>
    <w:rsid w:val="00D2338C"/>
    <w:rsid w:val="00D2724B"/>
    <w:rsid w:val="00D332C0"/>
    <w:rsid w:val="00D3397E"/>
    <w:rsid w:val="00D3403D"/>
    <w:rsid w:val="00D34050"/>
    <w:rsid w:val="00D356CF"/>
    <w:rsid w:val="00D363B6"/>
    <w:rsid w:val="00D37422"/>
    <w:rsid w:val="00D42FF3"/>
    <w:rsid w:val="00D4360B"/>
    <w:rsid w:val="00D46E69"/>
    <w:rsid w:val="00D61422"/>
    <w:rsid w:val="00D65933"/>
    <w:rsid w:val="00D709E4"/>
    <w:rsid w:val="00D74F80"/>
    <w:rsid w:val="00D761DC"/>
    <w:rsid w:val="00D90B3F"/>
    <w:rsid w:val="00D94696"/>
    <w:rsid w:val="00DB2463"/>
    <w:rsid w:val="00DC769E"/>
    <w:rsid w:val="00DC76EF"/>
    <w:rsid w:val="00DD0F3E"/>
    <w:rsid w:val="00DD2A0D"/>
    <w:rsid w:val="00DD5296"/>
    <w:rsid w:val="00DE122E"/>
    <w:rsid w:val="00DE1F0D"/>
    <w:rsid w:val="00DE3CBB"/>
    <w:rsid w:val="00DE56AD"/>
    <w:rsid w:val="00DE76CB"/>
    <w:rsid w:val="00DF0D26"/>
    <w:rsid w:val="00DF4200"/>
    <w:rsid w:val="00DF746E"/>
    <w:rsid w:val="00DF7D10"/>
    <w:rsid w:val="00E01FF6"/>
    <w:rsid w:val="00E0626A"/>
    <w:rsid w:val="00E103FB"/>
    <w:rsid w:val="00E150D2"/>
    <w:rsid w:val="00E1520C"/>
    <w:rsid w:val="00E35140"/>
    <w:rsid w:val="00E359AC"/>
    <w:rsid w:val="00E37A36"/>
    <w:rsid w:val="00E42AEE"/>
    <w:rsid w:val="00E43A5D"/>
    <w:rsid w:val="00E52BA0"/>
    <w:rsid w:val="00E533D0"/>
    <w:rsid w:val="00E55071"/>
    <w:rsid w:val="00E57DDD"/>
    <w:rsid w:val="00E60EE1"/>
    <w:rsid w:val="00E72F99"/>
    <w:rsid w:val="00E74D85"/>
    <w:rsid w:val="00E77DF6"/>
    <w:rsid w:val="00E8352B"/>
    <w:rsid w:val="00E85125"/>
    <w:rsid w:val="00E938DE"/>
    <w:rsid w:val="00E950AD"/>
    <w:rsid w:val="00EA468F"/>
    <w:rsid w:val="00EA6A49"/>
    <w:rsid w:val="00EA792E"/>
    <w:rsid w:val="00EB04E2"/>
    <w:rsid w:val="00EC21DD"/>
    <w:rsid w:val="00EC347E"/>
    <w:rsid w:val="00EC4BF6"/>
    <w:rsid w:val="00EC6B14"/>
    <w:rsid w:val="00ED0A98"/>
    <w:rsid w:val="00ED1050"/>
    <w:rsid w:val="00ED166D"/>
    <w:rsid w:val="00ED3A3C"/>
    <w:rsid w:val="00EE2E7B"/>
    <w:rsid w:val="00EE7DD6"/>
    <w:rsid w:val="00EF5BB4"/>
    <w:rsid w:val="00F01FD1"/>
    <w:rsid w:val="00F03C60"/>
    <w:rsid w:val="00F04D43"/>
    <w:rsid w:val="00F05CB1"/>
    <w:rsid w:val="00F06A25"/>
    <w:rsid w:val="00F1421B"/>
    <w:rsid w:val="00F201B8"/>
    <w:rsid w:val="00F33FD4"/>
    <w:rsid w:val="00F36709"/>
    <w:rsid w:val="00F4189C"/>
    <w:rsid w:val="00F41C86"/>
    <w:rsid w:val="00F42DFB"/>
    <w:rsid w:val="00F43C72"/>
    <w:rsid w:val="00F47FDD"/>
    <w:rsid w:val="00F51C17"/>
    <w:rsid w:val="00F5571A"/>
    <w:rsid w:val="00F6058B"/>
    <w:rsid w:val="00F6442E"/>
    <w:rsid w:val="00F65949"/>
    <w:rsid w:val="00F673A7"/>
    <w:rsid w:val="00F70594"/>
    <w:rsid w:val="00F754AB"/>
    <w:rsid w:val="00F76106"/>
    <w:rsid w:val="00F8147B"/>
    <w:rsid w:val="00F87EA6"/>
    <w:rsid w:val="00F903C3"/>
    <w:rsid w:val="00F938A0"/>
    <w:rsid w:val="00FB0A2F"/>
    <w:rsid w:val="00FB0ABC"/>
    <w:rsid w:val="00FB5217"/>
    <w:rsid w:val="00FC0785"/>
    <w:rsid w:val="00FC2064"/>
    <w:rsid w:val="00FC2209"/>
    <w:rsid w:val="00FC224A"/>
    <w:rsid w:val="00FC2A11"/>
    <w:rsid w:val="00FC4E03"/>
    <w:rsid w:val="00FD2E66"/>
    <w:rsid w:val="00FD4700"/>
    <w:rsid w:val="00FD595E"/>
    <w:rsid w:val="00FE4A54"/>
    <w:rsid w:val="00FE58EB"/>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66525109">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06278225">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51009634">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229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tx1"/>
                </a:solidFill>
                <a:effectLst>
                  <a:outerShdw blurRad="50800" dist="38100" dir="5400000" algn="t" rotWithShape="0">
                    <a:prstClr val="black">
                      <a:alpha val="40000"/>
                    </a:prstClr>
                  </a:outerShdw>
                </a:effectLst>
                <a:latin typeface="Arial Narrow" panose="020B0606020202030204" pitchFamily="34" charset="0"/>
                <a:ea typeface="+mn-ea"/>
                <a:cs typeface="Arial" panose="020B0604020202020204" pitchFamily="34" charset="0"/>
              </a:defRPr>
            </a:pPr>
            <a:r>
              <a:rPr lang="en-US" sz="1100">
                <a:latin typeface="Arial" panose="020B0604020202020204" pitchFamily="34" charset="0"/>
                <a:cs typeface="Arial" panose="020B0604020202020204" pitchFamily="34" charset="0"/>
              </a:rPr>
              <a:t>Provincial Departments</a:t>
            </a:r>
          </a:p>
          <a:p>
            <a:pPr>
              <a:defRPr sz="1600" b="1" i="0" u="none" strike="noStrike" kern="1200" spc="100" baseline="0">
                <a:solidFill>
                  <a:schemeClr val="tx1"/>
                </a:solidFill>
                <a:effectLst>
                  <a:outerShdw blurRad="50800" dist="38100" dir="5400000" algn="t" rotWithShape="0">
                    <a:prstClr val="black">
                      <a:alpha val="40000"/>
                    </a:prstClr>
                  </a:outerShdw>
                </a:effectLst>
                <a:latin typeface="Arial Narrow" panose="020B0606020202030204" pitchFamily="34" charset="0"/>
                <a:ea typeface="+mn-ea"/>
                <a:cs typeface="Arial" panose="020B0604020202020204" pitchFamily="34" charset="0"/>
              </a:defRPr>
            </a:pPr>
            <a:r>
              <a:rPr lang="en-US" sz="1100">
                <a:latin typeface="Arial" panose="020B0604020202020204" pitchFamily="34" charset="0"/>
                <a:cs typeface="Arial" panose="020B0604020202020204" pitchFamily="34" charset="0"/>
              </a:rPr>
              <a:t>Rand Value of Invoices Older than 30 Days and Not Paid</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'Data for Graphs'!$L$142</c:f>
              <c:strCache>
                <c:ptCount val="1"/>
                <c:pt idx="0">
                  <c:v>2020/21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tx>
                <c:rich>
                  <a:bodyPr/>
                  <a:lstStyle/>
                  <a:p>
                    <a:r>
                      <a:rPr lang="en-US"/>
                      <a:t>R4,3</a:t>
                    </a:r>
                    <a:r>
                      <a:rPr lang="en-US" baseline="0"/>
                      <a:t> bn</a:t>
                    </a:r>
                    <a:endParaRPr lang="en-US"/>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CDA-4A12-9103-E57CC28F64AE}"/>
                </c:ext>
              </c:extLst>
            </c:dLbl>
            <c:dLbl>
              <c:idx val="1"/>
              <c:tx>
                <c:rich>
                  <a:bodyPr/>
                  <a:lstStyle/>
                  <a:p>
                    <a:r>
                      <a:rPr lang="en-US"/>
                      <a:t>R3,6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CDA-4A12-9103-E57CC28F64AE}"/>
                </c:ext>
              </c:extLst>
            </c:dLbl>
            <c:dLbl>
              <c:idx val="2"/>
              <c:tx>
                <c:rich>
                  <a:bodyPr/>
                  <a:lstStyle/>
                  <a:p>
                    <a:r>
                      <a:rPr lang="en-US"/>
                      <a:t>R3,3</a:t>
                    </a:r>
                    <a:r>
                      <a:rPr lang="en-US" baseline="0"/>
                      <a:t> bn</a:t>
                    </a:r>
                    <a:endParaRPr lang="en-US"/>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CDA-4A12-9103-E57CC28F64AE}"/>
                </c:ext>
              </c:extLst>
            </c:dLbl>
            <c:dLbl>
              <c:idx val="3"/>
              <c:tx>
                <c:rich>
                  <a:bodyPr/>
                  <a:lstStyle/>
                  <a:p>
                    <a:r>
                      <a:rPr lang="en-US"/>
                      <a:t>R3,2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CDA-4A12-9103-E57CC28F64AE}"/>
                </c:ext>
              </c:extLst>
            </c:dLbl>
            <c:dLbl>
              <c:idx val="4"/>
              <c:tx>
                <c:rich>
                  <a:bodyPr/>
                  <a:lstStyle/>
                  <a:p>
                    <a:r>
                      <a:rPr lang="en-US"/>
                      <a:t>R3,3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CDA-4A12-9103-E57CC28F64AE}"/>
                </c:ext>
              </c:extLst>
            </c:dLbl>
            <c:dLbl>
              <c:idx val="5"/>
              <c:tx>
                <c:rich>
                  <a:bodyPr/>
                  <a:lstStyle/>
                  <a:p>
                    <a:r>
                      <a:rPr lang="en-US"/>
                      <a:t>R3,3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CDA-4A12-9103-E57CC28F64AE}"/>
                </c:ext>
              </c:extLst>
            </c:dLbl>
            <c:dLbl>
              <c:idx val="6"/>
              <c:tx>
                <c:rich>
                  <a:bodyPr/>
                  <a:lstStyle/>
                  <a:p>
                    <a:r>
                      <a:rPr lang="en-US"/>
                      <a:t>R3,9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CDA-4A12-9103-E57CC28F64AE}"/>
                </c:ext>
              </c:extLst>
            </c:dLbl>
            <c:dLbl>
              <c:idx val="7"/>
              <c:tx>
                <c:rich>
                  <a:bodyPr/>
                  <a:lstStyle/>
                  <a:p>
                    <a:r>
                      <a:rPr lang="en-US"/>
                      <a:t>R3,8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CDA-4A12-9103-E57CC28F64AE}"/>
                </c:ext>
              </c:extLst>
            </c:dLbl>
            <c:dLbl>
              <c:idx val="8"/>
              <c:tx>
                <c:rich>
                  <a:bodyPr/>
                  <a:lstStyle/>
                  <a:p>
                    <a:r>
                      <a:rPr lang="en-US"/>
                      <a:t>R3,2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CDA-4A12-9103-E57CC28F64AE}"/>
                </c:ext>
              </c:extLst>
            </c:dLbl>
            <c:dLbl>
              <c:idx val="9"/>
              <c:tx>
                <c:rich>
                  <a:bodyPr/>
                  <a:lstStyle/>
                  <a:p>
                    <a:r>
                      <a:rPr lang="en-US"/>
                      <a:t>R3,7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CDA-4A12-9103-E57CC28F64AE}"/>
                </c:ext>
              </c:extLst>
            </c:dLbl>
            <c:dLbl>
              <c:idx val="10"/>
              <c:tx>
                <c:rich>
                  <a:bodyPr/>
                  <a:lstStyle/>
                  <a:p>
                    <a:r>
                      <a:rPr lang="en-US"/>
                      <a:t>R4,7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CDA-4A12-9103-E57CC28F64AE}"/>
                </c:ext>
              </c:extLst>
            </c:dLbl>
            <c:dLbl>
              <c:idx val="11"/>
              <c:tx>
                <c:rich>
                  <a:bodyPr/>
                  <a:lstStyle/>
                  <a:p>
                    <a:r>
                      <a:rPr lang="en-US"/>
                      <a:t>R5,3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CDA-4A12-9103-E57CC28F64A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Narrow" panose="020B0606020202030204" pitchFamily="34" charset="0"/>
                    <a:ea typeface="+mn-ea"/>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'Data for Graphs'!$C$143:$C$154</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'Data for Graphs'!$L$143:$L$154</c:f>
              <c:numCache>
                <c:formatCode>_ "R"\ * #,##0_ ;_ "R"\ * \-#,##0_ ;_ "R"\ * "-"??_ ;_ @_ </c:formatCode>
                <c:ptCount val="12"/>
                <c:pt idx="0">
                  <c:v>4278610596.7399998</c:v>
                </c:pt>
                <c:pt idx="1">
                  <c:v>3570854692.4299998</c:v>
                </c:pt>
                <c:pt idx="2">
                  <c:v>3331845931.9700007</c:v>
                </c:pt>
                <c:pt idx="3">
                  <c:v>3203874873.6599998</c:v>
                </c:pt>
                <c:pt idx="4">
                  <c:v>3348680269.54</c:v>
                </c:pt>
                <c:pt idx="5">
                  <c:v>3341296268.7399998</c:v>
                </c:pt>
                <c:pt idx="6">
                  <c:v>3940096614.2199998</c:v>
                </c:pt>
                <c:pt idx="7">
                  <c:v>3846981116.8299999</c:v>
                </c:pt>
                <c:pt idx="8">
                  <c:v>3200679653.98</c:v>
                </c:pt>
                <c:pt idx="9">
                  <c:v>3650408838.5699987</c:v>
                </c:pt>
                <c:pt idx="10">
                  <c:v>4735522835.9400005</c:v>
                </c:pt>
                <c:pt idx="11">
                  <c:v>5319093844.1499996</c:v>
                </c:pt>
              </c:numCache>
            </c:numRef>
          </c:val>
          <c:extLst xmlns:c16r2="http://schemas.microsoft.com/office/drawing/2015/06/chart">
            <c:ext xmlns:c16="http://schemas.microsoft.com/office/drawing/2014/chart" uri="{C3380CC4-5D6E-409C-BE32-E72D297353CC}">
              <c16:uniqueId val="{00000000-1CA9-4D4A-9F7F-FD899AA12FD8}"/>
            </c:ext>
          </c:extLst>
        </c:ser>
        <c:ser>
          <c:idx val="1"/>
          <c:order val="1"/>
          <c:tx>
            <c:strRef>
              <c:f>'Data for Graphs'!$M$142</c:f>
              <c:strCache>
                <c:ptCount val="1"/>
                <c:pt idx="0">
                  <c:v>2019/20</c:v>
                </c:pt>
              </c:strCache>
            </c:strRef>
          </c:tx>
          <c:spPr>
            <a:solidFill>
              <a:srgbClr val="FFC000"/>
            </a:solidFill>
            <a:ln>
              <a:noFill/>
            </a:ln>
            <a:effectLst>
              <a:outerShdw blurRad="57150" dist="19050" dir="5400000" algn="ctr" rotWithShape="0">
                <a:srgbClr val="000000">
                  <a:alpha val="63000"/>
                </a:srgbClr>
              </a:outerShdw>
            </a:effectLst>
            <a:sp3d/>
          </c:spPr>
          <c:dLbls>
            <c:dLbl>
              <c:idx val="0"/>
              <c:tx>
                <c:rich>
                  <a:bodyPr/>
                  <a:lstStyle/>
                  <a:p>
                    <a:r>
                      <a:rPr lang="en-US"/>
                      <a:t>R6,7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CDA-4A12-9103-E57CC28F64AE}"/>
                </c:ext>
              </c:extLst>
            </c:dLbl>
            <c:dLbl>
              <c:idx val="1"/>
              <c:tx>
                <c:rich>
                  <a:bodyPr/>
                  <a:lstStyle/>
                  <a:p>
                    <a:r>
                      <a:rPr lang="en-US"/>
                      <a:t>R4,9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BCDA-4A12-9103-E57CC28F64AE}"/>
                </c:ext>
              </c:extLst>
            </c:dLbl>
            <c:dLbl>
              <c:idx val="2"/>
              <c:tx>
                <c:rich>
                  <a:bodyPr/>
                  <a:lstStyle/>
                  <a:p>
                    <a:r>
                      <a:rPr lang="en-US"/>
                      <a:t>R4,3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BCDA-4A12-9103-E57CC28F64AE}"/>
                </c:ext>
              </c:extLst>
            </c:dLbl>
            <c:dLbl>
              <c:idx val="3"/>
              <c:tx>
                <c:rich>
                  <a:bodyPr/>
                  <a:lstStyle/>
                  <a:p>
                    <a:r>
                      <a:rPr lang="en-US"/>
                      <a:t>R3,9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BCDA-4A12-9103-E57CC28F64AE}"/>
                </c:ext>
              </c:extLst>
            </c:dLbl>
            <c:dLbl>
              <c:idx val="4"/>
              <c:layout>
                <c:manualLayout>
                  <c:x val="0"/>
                  <c:y val="-1.113172541743971E-2"/>
                </c:manualLayout>
              </c:layout>
              <c:tx>
                <c:rich>
                  <a:bodyPr/>
                  <a:lstStyle/>
                  <a:p>
                    <a:r>
                      <a:rPr lang="en-US"/>
                      <a:t>R3,6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BCDA-4A12-9103-E57CC28F64AE}"/>
                </c:ext>
              </c:extLst>
            </c:dLbl>
            <c:dLbl>
              <c:idx val="5"/>
              <c:tx>
                <c:rich>
                  <a:bodyPr/>
                  <a:lstStyle/>
                  <a:p>
                    <a:r>
                      <a:rPr lang="en-US"/>
                      <a:t>R3,8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BCDA-4A12-9103-E57CC28F64AE}"/>
                </c:ext>
              </c:extLst>
            </c:dLbl>
            <c:dLbl>
              <c:idx val="6"/>
              <c:layout>
                <c:manualLayout>
                  <c:x val="0"/>
                  <c:y val="-1.8552875695732857E-2"/>
                </c:manualLayout>
              </c:layout>
              <c:tx>
                <c:rich>
                  <a:bodyPr/>
                  <a:lstStyle/>
                  <a:p>
                    <a:r>
                      <a:rPr lang="en-US"/>
                      <a:t>R4,2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BCDA-4A12-9103-E57CC28F64AE}"/>
                </c:ext>
              </c:extLst>
            </c:dLbl>
            <c:dLbl>
              <c:idx val="7"/>
              <c:tx>
                <c:rich>
                  <a:bodyPr/>
                  <a:lstStyle/>
                  <a:p>
                    <a:r>
                      <a:rPr lang="en-US"/>
                      <a:t>R6,5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BCDA-4A12-9103-E57CC28F64AE}"/>
                </c:ext>
              </c:extLst>
            </c:dLbl>
            <c:dLbl>
              <c:idx val="8"/>
              <c:tx>
                <c:rich>
                  <a:bodyPr/>
                  <a:lstStyle/>
                  <a:p>
                    <a:r>
                      <a:rPr lang="en-US"/>
                      <a:t>R4,1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BCDA-4A12-9103-E57CC28F64AE}"/>
                </c:ext>
              </c:extLst>
            </c:dLbl>
            <c:dLbl>
              <c:idx val="9"/>
              <c:layout>
                <c:manualLayout>
                  <c:x val="-1.0537407797681928E-2"/>
                  <c:y val="0"/>
                </c:manualLayout>
              </c:layout>
              <c:tx>
                <c:rich>
                  <a:bodyPr/>
                  <a:lstStyle/>
                  <a:p>
                    <a:r>
                      <a:rPr lang="en-US"/>
                      <a:t>R5,0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BCDA-4A12-9103-E57CC28F64AE}"/>
                </c:ext>
              </c:extLst>
            </c:dLbl>
            <c:dLbl>
              <c:idx val="10"/>
              <c:layout>
                <c:manualLayout>
                  <c:x val="8.4299262381452734E-3"/>
                  <c:y val="3.3395176252319116E-2"/>
                </c:manualLayout>
              </c:layout>
              <c:tx>
                <c:rich>
                  <a:bodyPr/>
                  <a:lstStyle/>
                  <a:p>
                    <a:r>
                      <a:rPr lang="en-US"/>
                      <a:t>R4,6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BCDA-4A12-9103-E57CC28F64AE}"/>
                </c:ext>
              </c:extLst>
            </c:dLbl>
            <c:dLbl>
              <c:idx val="11"/>
              <c:tx>
                <c:rich>
                  <a:bodyPr/>
                  <a:lstStyle/>
                  <a:p>
                    <a:r>
                      <a:rPr lang="en-US"/>
                      <a:t>R4,3 bn</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BCDA-4A12-9103-E57CC28F64A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Narrow" panose="020B0606020202030204" pitchFamily="34" charset="0"/>
                    <a:ea typeface="+mn-ea"/>
                    <a:cs typeface="Arial" panose="020B0604020202020204" pitchFamily="34"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'Data for Graphs'!$C$143:$C$154</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'Data for Graphs'!$M$143:$M$154</c:f>
              <c:numCache>
                <c:formatCode>_ "R"\ * #,##0_ ;_ "R"\ * \-#,##0_ ;_ "R"\ * "-"??_ ;_ @_ </c:formatCode>
                <c:ptCount val="12"/>
                <c:pt idx="0">
                  <c:v>6730153954.3800001</c:v>
                </c:pt>
                <c:pt idx="1">
                  <c:v>4913720106.1400003</c:v>
                </c:pt>
                <c:pt idx="2">
                  <c:v>4280827148.1199999</c:v>
                </c:pt>
                <c:pt idx="3">
                  <c:v>3965743058.8999996</c:v>
                </c:pt>
                <c:pt idx="4">
                  <c:v>3595360051.8200006</c:v>
                </c:pt>
                <c:pt idx="5">
                  <c:v>3775899637.98</c:v>
                </c:pt>
                <c:pt idx="6">
                  <c:v>4242954293.6499987</c:v>
                </c:pt>
                <c:pt idx="7">
                  <c:v>6540934311.3599997</c:v>
                </c:pt>
                <c:pt idx="8">
                  <c:v>4093287485.3800001</c:v>
                </c:pt>
                <c:pt idx="9">
                  <c:v>5020708018.1900024</c:v>
                </c:pt>
                <c:pt idx="10">
                  <c:v>4563392485.7799969</c:v>
                </c:pt>
                <c:pt idx="11">
                  <c:v>4292771971.9899993</c:v>
                </c:pt>
              </c:numCache>
            </c:numRef>
          </c:val>
          <c:extLst xmlns:c16r2="http://schemas.microsoft.com/office/drawing/2015/06/chart">
            <c:ext xmlns:c16="http://schemas.microsoft.com/office/drawing/2014/chart" uri="{C3380CC4-5D6E-409C-BE32-E72D297353CC}">
              <c16:uniqueId val="{00000001-1CA9-4D4A-9F7F-FD899AA12FD8}"/>
            </c:ext>
          </c:extLst>
        </c:ser>
        <c:shape val="cylinder"/>
        <c:axId val="84830080"/>
        <c:axId val="84831616"/>
        <c:axId val="0"/>
      </c:bar3DChart>
      <c:catAx>
        <c:axId val="84830080"/>
        <c:scaling>
          <c:orientation val="minMax"/>
        </c:scaling>
        <c:axPos val="b"/>
        <c:numFmt formatCode="General" sourceLinked="1"/>
        <c:majorTickMark val="none"/>
        <c:tickLblPos val="nextTo"/>
        <c:spPr>
          <a:noFill/>
          <a:ln>
            <a:noFill/>
          </a:ln>
          <a:effectLst/>
        </c:spPr>
        <c:txPr>
          <a:bodyPr rot="-2700000" spcFirstLastPara="1" vertOverflow="ellipsis" wrap="square" anchor="ctr" anchorCtr="1"/>
          <a:lstStyle/>
          <a:p>
            <a:pPr>
              <a:defRPr sz="900" b="1" i="0" u="none" strike="noStrike" kern="1200" baseline="0">
                <a:solidFill>
                  <a:schemeClr val="tx1"/>
                </a:solidFill>
                <a:latin typeface="Arial Narrow" panose="020B0606020202030204" pitchFamily="34" charset="0"/>
                <a:ea typeface="+mn-ea"/>
                <a:cs typeface="Arial" panose="020B0604020202020204" pitchFamily="34" charset="0"/>
              </a:defRPr>
            </a:pPr>
            <a:endParaRPr lang="en-US"/>
          </a:p>
        </c:txPr>
        <c:crossAx val="84831616"/>
        <c:crosses val="autoZero"/>
        <c:auto val="1"/>
        <c:lblAlgn val="ctr"/>
        <c:lblOffset val="100"/>
      </c:catAx>
      <c:valAx>
        <c:axId val="84831616"/>
        <c:scaling>
          <c:orientation val="minMax"/>
        </c:scaling>
        <c:axPos val="l"/>
        <c:majorGridlines>
          <c:spPr>
            <a:ln w="9525" cap="flat" cmpd="sng" algn="ctr">
              <a:solidFill>
                <a:schemeClr val="dk1">
                  <a:lumMod val="50000"/>
                  <a:lumOff val="50000"/>
                </a:schemeClr>
              </a:solidFill>
              <a:round/>
            </a:ln>
            <a:effectLst/>
          </c:spPr>
        </c:majorGridlines>
        <c:numFmt formatCode="&quot;R&quot;\ #,##0" sourceLinked="0"/>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Arial Narrow" panose="020B0606020202030204" pitchFamily="34" charset="0"/>
                <a:ea typeface="+mn-ea"/>
                <a:cs typeface="Arial" panose="020B0604020202020204" pitchFamily="34" charset="0"/>
              </a:defRPr>
            </a:pPr>
            <a:endParaRPr lang="en-US"/>
          </a:p>
        </c:txPr>
        <c:crossAx val="848300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Arial Narrow" panose="020B0606020202030204" pitchFamily="34" charset="0"/>
              <a:ea typeface="+mn-ea"/>
              <a:cs typeface="Arial" panose="020B0604020202020204" pitchFamily="34" charset="0"/>
            </a:defRPr>
          </a:pPr>
          <a:endParaRPr lang="en-US"/>
        </a:p>
      </c:txPr>
    </c:legend>
    <c:plotVisOnly val="1"/>
    <c:dispBlanksAs val="gap"/>
  </c:chart>
  <c:spPr>
    <a:solidFill>
      <a:sysClr val="window" lastClr="FFFFFF">
        <a:lumMod val="85000"/>
      </a:sysClr>
    </a:solidFill>
    <a:ln>
      <a:noFill/>
    </a:ln>
    <a:effectLst/>
  </c:spPr>
  <c:txPr>
    <a:bodyPr/>
    <a:lstStyle/>
    <a:p>
      <a:pPr>
        <a:defRPr>
          <a:solidFill>
            <a:schemeClr val="tx1"/>
          </a:solidFill>
          <a:latin typeface="Arial Narrow" panose="020B0606020202030204" pitchFamily="34" charset="0"/>
          <a:cs typeface="Arial" panose="020B0604020202020204" pitchFamily="34"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D79D-BE21-4B59-A478-CE3FB1E2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2021-10-25T05:11:00Z</dcterms:created>
  <dcterms:modified xsi:type="dcterms:W3CDTF">2021-10-25T05:11:00Z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