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4521F" w14:textId="638FAF8A" w:rsidR="00D6718E" w:rsidRDefault="007907DD" w:rsidP="000A053B">
      <w:pPr>
        <w:tabs>
          <w:tab w:val="right" w:pos="7548"/>
        </w:tabs>
        <w:ind w:left="-1276"/>
        <w:rPr>
          <w:rFonts w:ascii="Arial" w:hAnsi="Arial" w:cs="Arial"/>
          <w:b/>
        </w:rPr>
      </w:pPr>
      <w:bookmarkStart w:id="0" w:name="_GoBack"/>
      <w:bookmarkEnd w:id="0"/>
      <w:r>
        <w:t xml:space="preserve">                                                  </w:t>
      </w:r>
    </w:p>
    <w:p w14:paraId="645F66EC" w14:textId="77777777" w:rsidR="00D6718E" w:rsidRPr="00D6718E" w:rsidRDefault="00D6718E" w:rsidP="007907DD">
      <w:pPr>
        <w:tabs>
          <w:tab w:val="right" w:pos="7548"/>
        </w:tabs>
        <w:ind w:left="-1276"/>
        <w:rPr>
          <w:rFonts w:ascii="Arial" w:hAnsi="Arial" w:cs="Arial"/>
          <w:b/>
          <w:sz w:val="22"/>
          <w:szCs w:val="22"/>
        </w:rPr>
      </w:pPr>
      <w:r w:rsidRPr="00D6718E">
        <w:rPr>
          <w:rFonts w:ascii="Arial" w:hAnsi="Arial" w:cs="Arial"/>
          <w:b/>
          <w:sz w:val="22"/>
          <w:szCs w:val="22"/>
        </w:rPr>
        <w:t>National Assembly</w:t>
      </w:r>
    </w:p>
    <w:p w14:paraId="3AFC48A5" w14:textId="77777777" w:rsidR="00D6718E" w:rsidRPr="00D6718E" w:rsidRDefault="00D6718E" w:rsidP="007907DD">
      <w:pPr>
        <w:tabs>
          <w:tab w:val="right" w:pos="7548"/>
        </w:tabs>
        <w:ind w:left="-1276"/>
        <w:rPr>
          <w:rFonts w:ascii="Arial" w:hAnsi="Arial" w:cs="Arial"/>
          <w:b/>
          <w:sz w:val="22"/>
          <w:szCs w:val="22"/>
        </w:rPr>
      </w:pPr>
    </w:p>
    <w:p w14:paraId="7B7BC4C5" w14:textId="77777777" w:rsidR="00D6718E" w:rsidRPr="00D6718E" w:rsidRDefault="00D6718E" w:rsidP="00D6718E">
      <w:pPr>
        <w:tabs>
          <w:tab w:val="right" w:pos="7548"/>
        </w:tabs>
        <w:ind w:left="-1276"/>
        <w:rPr>
          <w:rFonts w:ascii="Arial" w:hAnsi="Arial" w:cs="Arial"/>
          <w:b/>
          <w:sz w:val="22"/>
          <w:szCs w:val="22"/>
        </w:rPr>
      </w:pPr>
      <w:r w:rsidRPr="00D6718E">
        <w:rPr>
          <w:rFonts w:ascii="Arial" w:hAnsi="Arial" w:cs="Arial"/>
          <w:b/>
          <w:sz w:val="22"/>
          <w:szCs w:val="22"/>
        </w:rPr>
        <w:t>Question No. 200</w:t>
      </w:r>
      <w:r w:rsidR="00D46D36">
        <w:rPr>
          <w:rFonts w:ascii="Arial" w:hAnsi="Arial" w:cs="Arial"/>
          <w:b/>
          <w:sz w:val="22"/>
          <w:szCs w:val="22"/>
        </w:rPr>
        <w:t>2</w:t>
      </w:r>
    </w:p>
    <w:p w14:paraId="5638A9CF" w14:textId="77777777" w:rsidR="00D6718E" w:rsidRPr="00D6718E" w:rsidRDefault="00D6718E" w:rsidP="00D6718E">
      <w:pPr>
        <w:tabs>
          <w:tab w:val="right" w:pos="7548"/>
        </w:tabs>
        <w:ind w:left="-1276"/>
        <w:rPr>
          <w:rFonts w:ascii="Arial" w:hAnsi="Arial" w:cs="Arial"/>
          <w:b/>
          <w:sz w:val="22"/>
          <w:szCs w:val="22"/>
        </w:rPr>
      </w:pPr>
    </w:p>
    <w:p w14:paraId="56D747EF" w14:textId="77777777" w:rsidR="00D46D36" w:rsidRDefault="00D6718E" w:rsidP="00D46D36">
      <w:pPr>
        <w:tabs>
          <w:tab w:val="right" w:pos="7548"/>
        </w:tabs>
        <w:ind w:left="-1276"/>
        <w:rPr>
          <w:rFonts w:ascii="Times New Roman" w:hAnsi="Times New Roman" w:cs="Times New Roman"/>
          <w:b/>
          <w:lang w:val="af-ZA"/>
        </w:rPr>
      </w:pPr>
      <w:r w:rsidRPr="00D6718E">
        <w:rPr>
          <w:rFonts w:ascii="Arial" w:hAnsi="Arial" w:cs="Arial"/>
          <w:b/>
          <w:sz w:val="22"/>
          <w:szCs w:val="22"/>
          <w:lang w:val="af-ZA"/>
        </w:rPr>
        <w:t>200</w:t>
      </w:r>
      <w:r w:rsidR="00D46D36">
        <w:rPr>
          <w:rFonts w:ascii="Arial" w:hAnsi="Arial" w:cs="Arial"/>
          <w:b/>
          <w:sz w:val="22"/>
          <w:szCs w:val="22"/>
          <w:lang w:val="af-ZA"/>
        </w:rPr>
        <w:t>2</w:t>
      </w:r>
      <w:r w:rsidRPr="00D6718E">
        <w:rPr>
          <w:rFonts w:ascii="Arial" w:hAnsi="Arial" w:cs="Arial"/>
          <w:b/>
          <w:sz w:val="22"/>
          <w:szCs w:val="22"/>
          <w:lang w:val="af-ZA"/>
        </w:rPr>
        <w:t>.</w:t>
      </w:r>
      <w:r>
        <w:rPr>
          <w:rFonts w:ascii="Arial" w:hAnsi="Arial" w:cs="Arial"/>
          <w:b/>
          <w:sz w:val="22"/>
          <w:szCs w:val="22"/>
          <w:lang w:val="af-ZA"/>
        </w:rPr>
        <w:t xml:space="preserve"> </w:t>
      </w:r>
      <w:r w:rsidRPr="00D6718E">
        <w:rPr>
          <w:rFonts w:ascii="Arial" w:hAnsi="Arial" w:cs="Arial"/>
          <w:b/>
          <w:sz w:val="22"/>
          <w:szCs w:val="22"/>
          <w:lang w:val="af-ZA"/>
        </w:rPr>
        <w:t>Mr C H H Hunsinger (DA) to ask the Minister of Transport</w:t>
      </w:r>
      <w:r w:rsidRPr="000151E1">
        <w:rPr>
          <w:rFonts w:ascii="Times New Roman" w:hAnsi="Times New Roman" w:cs="Times New Roman"/>
          <w:b/>
          <w:lang w:val="af-ZA"/>
        </w:rPr>
        <w:t>:</w:t>
      </w:r>
    </w:p>
    <w:p w14:paraId="1BEF7E95" w14:textId="77777777" w:rsidR="00D46D36" w:rsidRDefault="00D46D36" w:rsidP="00D46D36">
      <w:pPr>
        <w:tabs>
          <w:tab w:val="right" w:pos="7548"/>
        </w:tabs>
        <w:ind w:left="-1276"/>
        <w:rPr>
          <w:rFonts w:ascii="Times New Roman" w:hAnsi="Times New Roman" w:cs="Times New Roman"/>
        </w:rPr>
      </w:pPr>
    </w:p>
    <w:p w14:paraId="4DD7DD0A" w14:textId="77777777" w:rsidR="00D46D36" w:rsidRDefault="00D46D36" w:rsidP="00D46D36">
      <w:pPr>
        <w:tabs>
          <w:tab w:val="right" w:pos="7548"/>
        </w:tabs>
        <w:ind w:left="-1276"/>
        <w:jc w:val="both"/>
        <w:rPr>
          <w:rFonts w:ascii="Arial" w:hAnsi="Arial" w:cs="Arial"/>
          <w:noProof/>
          <w:sz w:val="22"/>
          <w:szCs w:val="22"/>
          <w:lang w:val="af-ZA"/>
        </w:rPr>
      </w:pPr>
      <w:r w:rsidRPr="00D46D36">
        <w:rPr>
          <w:rFonts w:ascii="Arial" w:hAnsi="Arial" w:cs="Arial"/>
          <w:sz w:val="22"/>
          <w:szCs w:val="22"/>
        </w:rPr>
        <w:t xml:space="preserve">What total amount was spent on the Road Accident Benefit Scheme (RABS) brand development with </w:t>
      </w:r>
      <w:r w:rsidRPr="00D46D36">
        <w:rPr>
          <w:rFonts w:ascii="Arial" w:eastAsia="Calibri" w:hAnsi="Arial" w:cs="Arial"/>
          <w:sz w:val="22"/>
          <w:szCs w:val="22"/>
        </w:rPr>
        <w:t>regard</w:t>
      </w:r>
      <w:r w:rsidRPr="00D46D36">
        <w:rPr>
          <w:rFonts w:ascii="Arial" w:hAnsi="Arial" w:cs="Arial"/>
          <w:sz w:val="22"/>
          <w:szCs w:val="22"/>
        </w:rPr>
        <w:t xml:space="preserve"> to (a) marketing and brand-promotion projects, (b) advertisements in the media, (c) billboards, (d) </w:t>
      </w:r>
      <w:r w:rsidRPr="00D46D36">
        <w:rPr>
          <w:rFonts w:ascii="Arial" w:hAnsi="Arial" w:cs="Arial"/>
          <w:noProof/>
          <w:sz w:val="22"/>
          <w:szCs w:val="22"/>
          <w:lang w:val="af-ZA"/>
        </w:rPr>
        <w:t>mounted</w:t>
      </w:r>
      <w:r w:rsidRPr="00D46D36">
        <w:rPr>
          <w:rFonts w:ascii="Arial" w:hAnsi="Arial" w:cs="Arial"/>
          <w:sz w:val="22"/>
          <w:szCs w:val="22"/>
        </w:rPr>
        <w:t xml:space="preserve"> stickers and advertisements in lifts and malls, (e) promotional articles such as key rings, (f) printed booklets and pamphlets and (g) the RABS website</w:t>
      </w:r>
      <w:r w:rsidRPr="00D46D36">
        <w:rPr>
          <w:rFonts w:ascii="Arial" w:hAnsi="Arial" w:cs="Arial"/>
          <w:noProof/>
          <w:sz w:val="22"/>
          <w:szCs w:val="22"/>
          <w:lang w:val="af-ZA"/>
        </w:rPr>
        <w:t>?</w:t>
      </w:r>
      <w:r>
        <w:rPr>
          <w:rFonts w:ascii="Arial" w:hAnsi="Arial" w:cs="Arial"/>
          <w:noProof/>
          <w:sz w:val="22"/>
          <w:szCs w:val="22"/>
          <w:lang w:val="af-ZA"/>
        </w:rPr>
        <w:t xml:space="preserve"> NW2217E</w:t>
      </w:r>
    </w:p>
    <w:p w14:paraId="6D47AA56" w14:textId="77777777" w:rsidR="00D46D36" w:rsidRDefault="00D46D36" w:rsidP="00D46D36">
      <w:pPr>
        <w:tabs>
          <w:tab w:val="right" w:pos="7548"/>
        </w:tabs>
        <w:ind w:left="-1276"/>
        <w:jc w:val="both"/>
        <w:rPr>
          <w:rFonts w:ascii="Arial" w:hAnsi="Arial" w:cs="Arial"/>
          <w:noProof/>
          <w:sz w:val="22"/>
          <w:szCs w:val="22"/>
          <w:lang w:val="af-ZA"/>
        </w:rPr>
      </w:pPr>
    </w:p>
    <w:p w14:paraId="715EA00C" w14:textId="77777777" w:rsidR="00D46D36" w:rsidRDefault="00D46D36" w:rsidP="00D46D36">
      <w:pPr>
        <w:tabs>
          <w:tab w:val="right" w:pos="7548"/>
        </w:tabs>
        <w:ind w:left="-1276"/>
        <w:jc w:val="both"/>
        <w:rPr>
          <w:rFonts w:ascii="Arial" w:hAnsi="Arial" w:cs="Arial"/>
          <w:noProof/>
          <w:sz w:val="22"/>
          <w:szCs w:val="22"/>
          <w:lang w:val="af-ZA"/>
        </w:rPr>
      </w:pPr>
    </w:p>
    <w:p w14:paraId="562EE179" w14:textId="77777777" w:rsidR="0044790E" w:rsidRDefault="00D46D36" w:rsidP="00D46D36">
      <w:pPr>
        <w:tabs>
          <w:tab w:val="right" w:pos="7548"/>
        </w:tabs>
        <w:ind w:left="-1276"/>
        <w:jc w:val="both"/>
        <w:rPr>
          <w:rFonts w:ascii="Arial" w:hAnsi="Arial" w:cs="Arial"/>
          <w:b/>
          <w:noProof/>
          <w:sz w:val="22"/>
          <w:szCs w:val="22"/>
          <w:lang w:val="af-ZA"/>
        </w:rPr>
      </w:pPr>
      <w:r w:rsidRPr="00D46D36">
        <w:rPr>
          <w:rFonts w:ascii="Arial" w:hAnsi="Arial" w:cs="Arial"/>
          <w:b/>
          <w:noProof/>
          <w:sz w:val="22"/>
          <w:szCs w:val="22"/>
          <w:lang w:val="af-ZA"/>
        </w:rPr>
        <w:t>REPLY</w:t>
      </w:r>
    </w:p>
    <w:p w14:paraId="64EDCCCB" w14:textId="77777777" w:rsidR="00280180" w:rsidRDefault="00280180" w:rsidP="00D46D36">
      <w:pPr>
        <w:tabs>
          <w:tab w:val="right" w:pos="7548"/>
        </w:tabs>
        <w:ind w:left="-1276"/>
        <w:jc w:val="both"/>
        <w:rPr>
          <w:rFonts w:ascii="Arial" w:hAnsi="Arial" w:cs="Arial"/>
          <w:b/>
          <w:noProof/>
          <w:sz w:val="22"/>
          <w:szCs w:val="22"/>
          <w:lang w:val="af-ZA"/>
        </w:rPr>
      </w:pPr>
    </w:p>
    <w:p w14:paraId="3C79B791" w14:textId="6C188820" w:rsidR="00280180" w:rsidRPr="00C054BE" w:rsidRDefault="00280180" w:rsidP="00280180">
      <w:pPr>
        <w:tabs>
          <w:tab w:val="right" w:pos="7548"/>
        </w:tabs>
        <w:ind w:left="-1276"/>
        <w:jc w:val="both"/>
        <w:rPr>
          <w:rFonts w:ascii="Arial" w:hAnsi="Arial" w:cs="Arial"/>
          <w:sz w:val="22"/>
          <w:szCs w:val="22"/>
        </w:rPr>
      </w:pPr>
      <w:r w:rsidRPr="00C054BE">
        <w:rPr>
          <w:rFonts w:ascii="Arial" w:hAnsi="Arial" w:cs="Arial"/>
          <w:sz w:val="22"/>
          <w:szCs w:val="22"/>
        </w:rPr>
        <w:t xml:space="preserve">Parliament has consistently over recent years, starting in 2014/15, approved, on the recommendation of the Portfolio Committee on Transport an objective in the Road Accident Fund’s </w:t>
      </w:r>
      <w:r w:rsidR="00B2328C">
        <w:rPr>
          <w:rFonts w:ascii="Arial" w:hAnsi="Arial" w:cs="Arial"/>
          <w:sz w:val="22"/>
          <w:szCs w:val="22"/>
        </w:rPr>
        <w:t xml:space="preserve">(RAF) </w:t>
      </w:r>
      <w:r w:rsidRPr="00C054BE">
        <w:rPr>
          <w:rFonts w:ascii="Arial" w:hAnsi="Arial" w:cs="Arial"/>
          <w:sz w:val="22"/>
          <w:szCs w:val="22"/>
        </w:rPr>
        <w:t xml:space="preserve">Strategic Plan and Annual Performance Plans, which objective provides for alignment of the RAF’s administrative dispensation with the RABS Bill, in order to prepare for the transition to RABS. </w:t>
      </w:r>
    </w:p>
    <w:p w14:paraId="2484107E" w14:textId="77777777" w:rsidR="00280180" w:rsidRPr="00C054BE" w:rsidRDefault="00280180" w:rsidP="00280180">
      <w:pPr>
        <w:tabs>
          <w:tab w:val="right" w:pos="7548"/>
        </w:tabs>
        <w:ind w:left="-1276"/>
        <w:jc w:val="both"/>
        <w:rPr>
          <w:rFonts w:ascii="Arial" w:hAnsi="Arial" w:cs="Arial"/>
          <w:sz w:val="22"/>
          <w:szCs w:val="22"/>
        </w:rPr>
      </w:pPr>
    </w:p>
    <w:p w14:paraId="79796AF1" w14:textId="77777777" w:rsidR="00280180" w:rsidRDefault="00280180" w:rsidP="00280180">
      <w:pPr>
        <w:tabs>
          <w:tab w:val="right" w:pos="7548"/>
        </w:tabs>
        <w:ind w:left="-1276"/>
        <w:jc w:val="both"/>
        <w:rPr>
          <w:rFonts w:ascii="Arial" w:hAnsi="Arial" w:cs="Arial"/>
          <w:sz w:val="22"/>
          <w:szCs w:val="22"/>
        </w:rPr>
      </w:pPr>
      <w:r w:rsidRPr="00C054BE">
        <w:rPr>
          <w:rFonts w:ascii="Arial" w:hAnsi="Arial" w:cs="Arial"/>
          <w:sz w:val="22"/>
          <w:szCs w:val="22"/>
        </w:rPr>
        <w:t xml:space="preserve">In addition to approving the objective, Parliament also approved, on the recommendation of the Portfolio Committee on Transport, the RAF’s annual budgets in relation to work to be performed in relation to the objective. </w:t>
      </w:r>
    </w:p>
    <w:p w14:paraId="42089018" w14:textId="77777777" w:rsidR="00280180" w:rsidRPr="00C054BE" w:rsidRDefault="00280180" w:rsidP="00280180">
      <w:pPr>
        <w:tabs>
          <w:tab w:val="right" w:pos="7548"/>
        </w:tabs>
        <w:ind w:left="-1276"/>
        <w:jc w:val="both"/>
        <w:rPr>
          <w:rFonts w:ascii="Arial" w:hAnsi="Arial" w:cs="Arial"/>
          <w:sz w:val="22"/>
          <w:szCs w:val="22"/>
        </w:rPr>
      </w:pPr>
    </w:p>
    <w:p w14:paraId="5D8CBBF6" w14:textId="77777777" w:rsidR="00280180" w:rsidRPr="00C054BE" w:rsidRDefault="00280180" w:rsidP="00280180">
      <w:pPr>
        <w:tabs>
          <w:tab w:val="right" w:pos="7548"/>
        </w:tabs>
        <w:ind w:left="-1276"/>
        <w:jc w:val="both"/>
        <w:rPr>
          <w:rFonts w:ascii="Arial" w:hAnsi="Arial" w:cs="Arial"/>
          <w:sz w:val="22"/>
          <w:szCs w:val="22"/>
        </w:rPr>
      </w:pPr>
      <w:r w:rsidRPr="00C054BE">
        <w:rPr>
          <w:rFonts w:ascii="Arial" w:hAnsi="Arial" w:cs="Arial"/>
          <w:sz w:val="22"/>
          <w:szCs w:val="22"/>
        </w:rPr>
        <w:t xml:space="preserve">The objective is sensitive to Parliament’s consideration of the Bill and the Department of Transport’s responsibility in respect of formulating legislation for consideration by Parliament. </w:t>
      </w:r>
    </w:p>
    <w:p w14:paraId="7B13C500" w14:textId="77777777" w:rsidR="00280180" w:rsidRPr="00C054BE" w:rsidRDefault="00280180" w:rsidP="00280180">
      <w:pPr>
        <w:tabs>
          <w:tab w:val="right" w:pos="7548"/>
        </w:tabs>
        <w:ind w:left="-1276"/>
        <w:jc w:val="both"/>
        <w:rPr>
          <w:rFonts w:ascii="Arial" w:hAnsi="Arial" w:cs="Arial"/>
          <w:sz w:val="22"/>
          <w:szCs w:val="22"/>
        </w:rPr>
      </w:pPr>
    </w:p>
    <w:p w14:paraId="40797BC6" w14:textId="77777777" w:rsidR="00280180" w:rsidRPr="00C054BE" w:rsidRDefault="00280180" w:rsidP="00280180">
      <w:pPr>
        <w:tabs>
          <w:tab w:val="right" w:pos="7548"/>
        </w:tabs>
        <w:ind w:left="-1276"/>
        <w:jc w:val="both"/>
        <w:rPr>
          <w:rFonts w:ascii="Arial" w:hAnsi="Arial" w:cs="Arial"/>
          <w:sz w:val="22"/>
          <w:szCs w:val="22"/>
        </w:rPr>
      </w:pPr>
      <w:r w:rsidRPr="00C054BE">
        <w:rPr>
          <w:rFonts w:ascii="Arial" w:hAnsi="Arial" w:cs="Arial"/>
          <w:sz w:val="22"/>
          <w:szCs w:val="22"/>
        </w:rPr>
        <w:t xml:space="preserve">In 2014/15 the objective was for the RAF to support the Department of Transport to draft the Bill, Rules and Regulations as per the approved RABS policy.  </w:t>
      </w:r>
    </w:p>
    <w:p w14:paraId="0F8E2EA1" w14:textId="77777777" w:rsidR="00280180" w:rsidRPr="00C054BE" w:rsidRDefault="00280180" w:rsidP="00280180">
      <w:pPr>
        <w:tabs>
          <w:tab w:val="right" w:pos="7548"/>
        </w:tabs>
        <w:ind w:left="-1276"/>
        <w:jc w:val="both"/>
        <w:rPr>
          <w:rFonts w:ascii="Arial" w:hAnsi="Arial" w:cs="Arial"/>
          <w:sz w:val="22"/>
          <w:szCs w:val="22"/>
        </w:rPr>
      </w:pPr>
    </w:p>
    <w:p w14:paraId="5C9F85D7" w14:textId="77777777" w:rsidR="00280180" w:rsidRPr="00C054BE" w:rsidRDefault="00280180" w:rsidP="00280180">
      <w:pPr>
        <w:tabs>
          <w:tab w:val="right" w:pos="7548"/>
        </w:tabs>
        <w:ind w:left="-1276"/>
        <w:jc w:val="both"/>
        <w:rPr>
          <w:rFonts w:ascii="Arial" w:hAnsi="Arial" w:cs="Arial"/>
          <w:sz w:val="22"/>
          <w:szCs w:val="22"/>
        </w:rPr>
      </w:pPr>
      <w:r w:rsidRPr="00C054BE">
        <w:rPr>
          <w:rFonts w:ascii="Arial" w:hAnsi="Arial" w:cs="Arial"/>
          <w:sz w:val="22"/>
          <w:szCs w:val="22"/>
        </w:rPr>
        <w:t>In 2015/16 the focus moved from the legislative process to readying the RAF to administer claims under the proposed Bill.  The focus was on internal readiness in terms of the business architecture and design.</w:t>
      </w:r>
    </w:p>
    <w:p w14:paraId="6EDE8183" w14:textId="77777777" w:rsidR="00280180" w:rsidRPr="00C054BE" w:rsidRDefault="00280180" w:rsidP="00280180">
      <w:pPr>
        <w:tabs>
          <w:tab w:val="right" w:pos="7548"/>
        </w:tabs>
        <w:ind w:left="-1276"/>
        <w:jc w:val="both"/>
        <w:rPr>
          <w:rFonts w:ascii="Arial" w:hAnsi="Arial" w:cs="Arial"/>
          <w:sz w:val="22"/>
          <w:szCs w:val="22"/>
        </w:rPr>
      </w:pPr>
    </w:p>
    <w:p w14:paraId="691B7AD2" w14:textId="77777777" w:rsidR="00280180" w:rsidRPr="00C054BE" w:rsidRDefault="00280180" w:rsidP="00280180">
      <w:pPr>
        <w:tabs>
          <w:tab w:val="right" w:pos="7548"/>
        </w:tabs>
        <w:ind w:left="-1276"/>
        <w:jc w:val="both"/>
        <w:rPr>
          <w:rFonts w:ascii="Arial" w:hAnsi="Arial" w:cs="Arial"/>
          <w:sz w:val="22"/>
          <w:szCs w:val="22"/>
        </w:rPr>
      </w:pPr>
      <w:r w:rsidRPr="00C054BE">
        <w:rPr>
          <w:rFonts w:ascii="Arial" w:hAnsi="Arial" w:cs="Arial"/>
          <w:sz w:val="22"/>
          <w:szCs w:val="22"/>
        </w:rPr>
        <w:t>In 2016/17 the focus was on developing a Transition Plan that is intended to assist the RAF in the transition. The plan is a conceptual document designed to enable the RAF to prepare for the administration of claims under the proposed Bill.  </w:t>
      </w:r>
    </w:p>
    <w:p w14:paraId="2BB7982C" w14:textId="77777777" w:rsidR="00280180" w:rsidRDefault="00280180" w:rsidP="00D46D36">
      <w:pPr>
        <w:tabs>
          <w:tab w:val="right" w:pos="7548"/>
        </w:tabs>
        <w:ind w:left="-1276"/>
        <w:jc w:val="both"/>
        <w:rPr>
          <w:rFonts w:ascii="Arial" w:hAnsi="Arial" w:cs="Arial"/>
          <w:b/>
          <w:noProof/>
          <w:sz w:val="22"/>
          <w:szCs w:val="22"/>
          <w:lang w:val="af-ZA"/>
        </w:rPr>
      </w:pPr>
    </w:p>
    <w:p w14:paraId="341041FD" w14:textId="29218FE6" w:rsidR="0044790E" w:rsidRDefault="0044790E" w:rsidP="004C55E2">
      <w:pPr>
        <w:tabs>
          <w:tab w:val="right" w:pos="7548"/>
        </w:tabs>
        <w:ind w:left="-1276"/>
        <w:jc w:val="both"/>
        <w:rPr>
          <w:rFonts w:ascii="Arial" w:hAnsi="Arial" w:cs="Arial"/>
          <w:sz w:val="22"/>
          <w:szCs w:val="22"/>
        </w:rPr>
      </w:pPr>
      <w:r w:rsidRPr="0044790E">
        <w:rPr>
          <w:rFonts w:ascii="Arial" w:hAnsi="Arial" w:cs="Arial"/>
          <w:noProof/>
          <w:sz w:val="22"/>
          <w:szCs w:val="22"/>
          <w:lang w:val="af-ZA"/>
        </w:rPr>
        <w:t xml:space="preserve">The </w:t>
      </w:r>
      <w:r>
        <w:rPr>
          <w:rFonts w:ascii="Arial" w:hAnsi="Arial" w:cs="Arial"/>
          <w:noProof/>
          <w:sz w:val="22"/>
          <w:szCs w:val="22"/>
          <w:lang w:val="af-ZA"/>
        </w:rPr>
        <w:t>R</w:t>
      </w:r>
      <w:r w:rsidR="004C55E2">
        <w:rPr>
          <w:rFonts w:ascii="Arial" w:hAnsi="Arial" w:cs="Arial"/>
          <w:noProof/>
          <w:sz w:val="22"/>
          <w:szCs w:val="22"/>
          <w:lang w:val="af-ZA"/>
        </w:rPr>
        <w:t xml:space="preserve">AF </w:t>
      </w:r>
      <w:r>
        <w:rPr>
          <w:rFonts w:ascii="Arial" w:hAnsi="Arial" w:cs="Arial"/>
          <w:noProof/>
          <w:sz w:val="22"/>
          <w:szCs w:val="22"/>
          <w:lang w:val="af-ZA"/>
        </w:rPr>
        <w:t xml:space="preserve">spent the following </w:t>
      </w:r>
      <w:r w:rsidRPr="00D46D36">
        <w:rPr>
          <w:rFonts w:ascii="Arial" w:hAnsi="Arial" w:cs="Arial"/>
          <w:sz w:val="22"/>
          <w:szCs w:val="22"/>
        </w:rPr>
        <w:t>amount</w:t>
      </w:r>
      <w:r>
        <w:rPr>
          <w:rFonts w:ascii="Arial" w:hAnsi="Arial" w:cs="Arial"/>
          <w:sz w:val="22"/>
          <w:szCs w:val="22"/>
        </w:rPr>
        <w:t>s</w:t>
      </w:r>
      <w:r w:rsidR="00B2328C">
        <w:rPr>
          <w:rFonts w:ascii="Arial" w:hAnsi="Arial" w:cs="Arial"/>
          <w:sz w:val="22"/>
          <w:szCs w:val="22"/>
        </w:rPr>
        <w:t xml:space="preserve"> in relation to </w:t>
      </w:r>
      <w:r w:rsidRPr="00D46D36">
        <w:rPr>
          <w:rFonts w:ascii="Arial" w:hAnsi="Arial" w:cs="Arial"/>
          <w:sz w:val="22"/>
          <w:szCs w:val="22"/>
        </w:rPr>
        <w:t>RABS</w:t>
      </w:r>
      <w:r w:rsidR="001C6CB2">
        <w:rPr>
          <w:rFonts w:ascii="Arial" w:hAnsi="Arial" w:cs="Arial"/>
          <w:sz w:val="22"/>
          <w:szCs w:val="22"/>
        </w:rPr>
        <w:t>,</w:t>
      </w:r>
      <w:r w:rsidR="004C55E2">
        <w:rPr>
          <w:rFonts w:ascii="Arial" w:hAnsi="Arial" w:cs="Arial"/>
          <w:sz w:val="22"/>
          <w:szCs w:val="22"/>
        </w:rPr>
        <w:t xml:space="preserve"> </w:t>
      </w:r>
      <w:r w:rsidR="001C6CB2" w:rsidRPr="003B2001">
        <w:rPr>
          <w:rFonts w:ascii="Arial" w:hAnsi="Arial" w:cs="Arial"/>
          <w:sz w:val="22"/>
          <w:szCs w:val="22"/>
        </w:rPr>
        <w:t xml:space="preserve">although not </w:t>
      </w:r>
      <w:r w:rsidR="00254497">
        <w:rPr>
          <w:rFonts w:ascii="Arial" w:hAnsi="Arial" w:cs="Arial"/>
          <w:sz w:val="22"/>
          <w:szCs w:val="22"/>
        </w:rPr>
        <w:t xml:space="preserve">necessarily </w:t>
      </w:r>
      <w:r w:rsidR="001C6CB2" w:rsidRPr="003B2001">
        <w:rPr>
          <w:rFonts w:ascii="Arial" w:hAnsi="Arial" w:cs="Arial"/>
          <w:sz w:val="22"/>
          <w:szCs w:val="22"/>
        </w:rPr>
        <w:t xml:space="preserve">in respect of </w:t>
      </w:r>
      <w:r w:rsidRPr="003B2001">
        <w:rPr>
          <w:rFonts w:ascii="Arial" w:hAnsi="Arial" w:cs="Arial"/>
          <w:sz w:val="22"/>
          <w:szCs w:val="22"/>
        </w:rPr>
        <w:t>brand development</w:t>
      </w:r>
      <w:r w:rsidR="004C55E2">
        <w:rPr>
          <w:rFonts w:ascii="Arial" w:hAnsi="Arial" w:cs="Arial"/>
          <w:sz w:val="22"/>
          <w:szCs w:val="22"/>
        </w:rPr>
        <w:t>:</w:t>
      </w:r>
      <w:r w:rsidRPr="00D46D36">
        <w:rPr>
          <w:rFonts w:ascii="Arial" w:hAnsi="Arial" w:cs="Arial"/>
          <w:sz w:val="22"/>
          <w:szCs w:val="22"/>
        </w:rPr>
        <w:t xml:space="preserve"> </w:t>
      </w:r>
    </w:p>
    <w:p w14:paraId="66212DDA" w14:textId="77777777" w:rsidR="00402089" w:rsidRDefault="00402089" w:rsidP="00D46D36">
      <w:pPr>
        <w:tabs>
          <w:tab w:val="right" w:pos="7548"/>
        </w:tabs>
        <w:ind w:left="-1276"/>
        <w:jc w:val="both"/>
        <w:rPr>
          <w:rFonts w:ascii="Arial" w:hAnsi="Arial" w:cs="Arial"/>
          <w:b/>
          <w:noProof/>
          <w:sz w:val="22"/>
          <w:szCs w:val="22"/>
          <w:lang w:val="af-ZA"/>
        </w:rPr>
      </w:pPr>
    </w:p>
    <w:tbl>
      <w:tblPr>
        <w:tblStyle w:val="TableGrid"/>
        <w:tblW w:w="8921" w:type="dxa"/>
        <w:tblInd w:w="-1276" w:type="dxa"/>
        <w:tblLook w:val="04A0" w:firstRow="1" w:lastRow="0" w:firstColumn="1" w:lastColumn="0" w:noHBand="0" w:noVBand="1"/>
      </w:tblPr>
      <w:tblGrid>
        <w:gridCol w:w="2981"/>
        <w:gridCol w:w="2160"/>
        <w:gridCol w:w="1950"/>
        <w:gridCol w:w="1830"/>
      </w:tblGrid>
      <w:tr w:rsidR="004C55E2" w14:paraId="22FAE64C" w14:textId="77777777" w:rsidTr="00450504">
        <w:tc>
          <w:tcPr>
            <w:tcW w:w="2981" w:type="dxa"/>
          </w:tcPr>
          <w:p w14:paraId="21E8DF89" w14:textId="77777777" w:rsidR="004C55E2" w:rsidRPr="00D46D36" w:rsidRDefault="004C55E2" w:rsidP="00402089">
            <w:pPr>
              <w:tabs>
                <w:tab w:val="right" w:pos="7548"/>
              </w:tabs>
              <w:jc w:val="both"/>
              <w:rPr>
                <w:rFonts w:ascii="Arial" w:hAnsi="Arial" w:cs="Arial"/>
              </w:rPr>
            </w:pPr>
            <w:r>
              <w:rPr>
                <w:rFonts w:ascii="Arial" w:hAnsi="Arial" w:cs="Arial"/>
              </w:rPr>
              <w:t>With regard to -</w:t>
            </w:r>
          </w:p>
        </w:tc>
        <w:tc>
          <w:tcPr>
            <w:tcW w:w="2160" w:type="dxa"/>
          </w:tcPr>
          <w:p w14:paraId="7DD44E5A" w14:textId="77777777" w:rsidR="004C55E2" w:rsidRPr="00D67BE5" w:rsidRDefault="004C55E2" w:rsidP="00402089">
            <w:pPr>
              <w:tabs>
                <w:tab w:val="right" w:pos="7548"/>
              </w:tabs>
              <w:jc w:val="both"/>
              <w:rPr>
                <w:rFonts w:ascii="Arial" w:hAnsi="Arial" w:cs="Arial"/>
                <w:noProof/>
                <w:lang w:val="af-ZA"/>
              </w:rPr>
            </w:pPr>
            <w:r w:rsidRPr="004C55E2">
              <w:rPr>
                <w:rFonts w:ascii="Arial" w:hAnsi="Arial" w:cs="Arial"/>
                <w:noProof/>
                <w:lang w:val="af-ZA"/>
              </w:rPr>
              <w:t>in the 2014-15</w:t>
            </w:r>
            <w:r>
              <w:rPr>
                <w:rFonts w:ascii="Arial" w:hAnsi="Arial" w:cs="Arial"/>
                <w:noProof/>
                <w:lang w:val="af-ZA"/>
              </w:rPr>
              <w:t>,</w:t>
            </w:r>
          </w:p>
        </w:tc>
        <w:tc>
          <w:tcPr>
            <w:tcW w:w="1950" w:type="dxa"/>
          </w:tcPr>
          <w:p w14:paraId="54CECCC1" w14:textId="77777777" w:rsidR="004C55E2" w:rsidRPr="00D67BE5" w:rsidRDefault="004C55E2" w:rsidP="00402089">
            <w:pPr>
              <w:tabs>
                <w:tab w:val="right" w:pos="7548"/>
              </w:tabs>
              <w:jc w:val="both"/>
              <w:rPr>
                <w:rFonts w:ascii="Arial" w:hAnsi="Arial" w:cs="Arial"/>
                <w:noProof/>
                <w:lang w:val="af-ZA"/>
              </w:rPr>
            </w:pPr>
            <w:r w:rsidRPr="004C55E2">
              <w:rPr>
                <w:rFonts w:ascii="Arial" w:hAnsi="Arial" w:cs="Arial"/>
                <w:noProof/>
                <w:lang w:val="af-ZA"/>
              </w:rPr>
              <w:t>2015-16</w:t>
            </w:r>
          </w:p>
        </w:tc>
        <w:tc>
          <w:tcPr>
            <w:tcW w:w="1830" w:type="dxa"/>
          </w:tcPr>
          <w:p w14:paraId="1C91DDE9" w14:textId="77777777" w:rsidR="004C55E2" w:rsidRPr="00D67BE5" w:rsidRDefault="004C55E2" w:rsidP="00402089">
            <w:pPr>
              <w:tabs>
                <w:tab w:val="right" w:pos="7548"/>
              </w:tabs>
              <w:jc w:val="both"/>
              <w:rPr>
                <w:rFonts w:ascii="Arial" w:hAnsi="Arial" w:cs="Arial"/>
                <w:noProof/>
                <w:lang w:val="af-ZA"/>
              </w:rPr>
            </w:pPr>
            <w:r w:rsidRPr="004C55E2">
              <w:rPr>
                <w:rFonts w:ascii="Arial" w:hAnsi="Arial" w:cs="Arial"/>
                <w:noProof/>
                <w:lang w:val="af-ZA"/>
              </w:rPr>
              <w:t>and 2016-17 financial years</w:t>
            </w:r>
            <w:r>
              <w:rPr>
                <w:rFonts w:ascii="Arial" w:hAnsi="Arial" w:cs="Arial"/>
                <w:noProof/>
                <w:lang w:val="af-ZA"/>
              </w:rPr>
              <w:t>:</w:t>
            </w:r>
          </w:p>
        </w:tc>
      </w:tr>
      <w:tr w:rsidR="00402089" w14:paraId="2FA16738" w14:textId="77777777" w:rsidTr="00450504">
        <w:tc>
          <w:tcPr>
            <w:tcW w:w="2981" w:type="dxa"/>
          </w:tcPr>
          <w:p w14:paraId="0E61C35C" w14:textId="77777777" w:rsidR="00402089" w:rsidRDefault="00402089" w:rsidP="00402089">
            <w:pPr>
              <w:tabs>
                <w:tab w:val="right" w:pos="7548"/>
              </w:tabs>
              <w:jc w:val="both"/>
              <w:rPr>
                <w:rFonts w:ascii="Arial" w:hAnsi="Arial" w:cs="Arial"/>
                <w:b/>
                <w:noProof/>
                <w:lang w:val="af-ZA"/>
              </w:rPr>
            </w:pPr>
            <w:r w:rsidRPr="00D46D36">
              <w:rPr>
                <w:rFonts w:ascii="Arial" w:hAnsi="Arial" w:cs="Arial"/>
              </w:rPr>
              <w:t>(a) marketing and brand-promotion projects</w:t>
            </w:r>
            <w:r>
              <w:rPr>
                <w:rFonts w:ascii="Arial" w:hAnsi="Arial" w:cs="Arial"/>
              </w:rPr>
              <w:t>,</w:t>
            </w:r>
          </w:p>
        </w:tc>
        <w:tc>
          <w:tcPr>
            <w:tcW w:w="2160" w:type="dxa"/>
          </w:tcPr>
          <w:p w14:paraId="57E984F9" w14:textId="335AE556" w:rsidR="00402089" w:rsidRPr="00280180" w:rsidRDefault="00402089" w:rsidP="00402089">
            <w:pPr>
              <w:tabs>
                <w:tab w:val="right" w:pos="7548"/>
              </w:tabs>
              <w:jc w:val="both"/>
              <w:rPr>
                <w:rFonts w:ascii="Arial" w:hAnsi="Arial" w:cs="Arial"/>
                <w:noProof/>
                <w:lang w:val="af-ZA"/>
              </w:rPr>
            </w:pPr>
            <w:r w:rsidRPr="00280180">
              <w:rPr>
                <w:rFonts w:ascii="Arial" w:hAnsi="Arial" w:cs="Arial"/>
                <w:noProof/>
                <w:lang w:val="af-ZA"/>
              </w:rPr>
              <w:t>R</w:t>
            </w:r>
            <w:r w:rsidR="00AF47F6" w:rsidRPr="00280180">
              <w:rPr>
                <w:rFonts w:ascii="Arial" w:hAnsi="Arial" w:cs="Arial"/>
                <w:noProof/>
                <w:lang w:val="af-ZA"/>
              </w:rPr>
              <w:t xml:space="preserve"> Nil</w:t>
            </w:r>
          </w:p>
        </w:tc>
        <w:tc>
          <w:tcPr>
            <w:tcW w:w="1950" w:type="dxa"/>
          </w:tcPr>
          <w:p w14:paraId="5B0BD0BB" w14:textId="0D1496BF" w:rsidR="00402089" w:rsidRPr="00280180" w:rsidRDefault="00402089" w:rsidP="00402089">
            <w:pPr>
              <w:tabs>
                <w:tab w:val="right" w:pos="7548"/>
              </w:tabs>
              <w:jc w:val="both"/>
              <w:rPr>
                <w:rFonts w:ascii="Arial" w:hAnsi="Arial" w:cs="Arial"/>
                <w:noProof/>
                <w:lang w:val="af-ZA"/>
              </w:rPr>
            </w:pPr>
            <w:r w:rsidRPr="00280180">
              <w:rPr>
                <w:rFonts w:ascii="Arial" w:hAnsi="Arial" w:cs="Arial"/>
                <w:noProof/>
                <w:lang w:val="af-ZA"/>
              </w:rPr>
              <w:t>R</w:t>
            </w:r>
            <w:r w:rsidR="00AF47F6" w:rsidRPr="00280180">
              <w:rPr>
                <w:rFonts w:ascii="Arial" w:hAnsi="Arial" w:cs="Arial"/>
                <w:noProof/>
                <w:lang w:val="af-ZA"/>
              </w:rPr>
              <w:t xml:space="preserve"> Nil</w:t>
            </w:r>
          </w:p>
        </w:tc>
        <w:tc>
          <w:tcPr>
            <w:tcW w:w="1830" w:type="dxa"/>
          </w:tcPr>
          <w:p w14:paraId="72AB45CB" w14:textId="5E5EEE46" w:rsidR="00402089" w:rsidRPr="00280180" w:rsidRDefault="00402089" w:rsidP="00DE1C29">
            <w:pPr>
              <w:tabs>
                <w:tab w:val="right" w:pos="7548"/>
              </w:tabs>
              <w:jc w:val="both"/>
              <w:rPr>
                <w:rFonts w:ascii="Arial" w:hAnsi="Arial" w:cs="Arial"/>
                <w:noProof/>
                <w:lang w:val="af-ZA"/>
              </w:rPr>
            </w:pPr>
            <w:r w:rsidRPr="00280180">
              <w:rPr>
                <w:rFonts w:ascii="Arial" w:hAnsi="Arial" w:cs="Arial"/>
                <w:noProof/>
                <w:lang w:val="af-ZA"/>
              </w:rPr>
              <w:t>R</w:t>
            </w:r>
            <w:r w:rsidR="00AF47F6" w:rsidRPr="00280180">
              <w:rPr>
                <w:rFonts w:ascii="Arial" w:hAnsi="Arial" w:cs="Arial"/>
                <w:noProof/>
                <w:lang w:val="af-ZA"/>
              </w:rPr>
              <w:t xml:space="preserve"> </w:t>
            </w:r>
            <w:r w:rsidR="00DE1C29">
              <w:rPr>
                <w:rFonts w:ascii="Arial" w:hAnsi="Arial" w:cs="Arial"/>
                <w:noProof/>
                <w:lang w:val="af-ZA"/>
              </w:rPr>
              <w:t>80 109.10</w:t>
            </w:r>
          </w:p>
        </w:tc>
      </w:tr>
      <w:tr w:rsidR="00402089" w14:paraId="75FDA160" w14:textId="77777777" w:rsidTr="00450504">
        <w:tc>
          <w:tcPr>
            <w:tcW w:w="2981" w:type="dxa"/>
          </w:tcPr>
          <w:p w14:paraId="5E01AD87" w14:textId="77777777" w:rsidR="00402089" w:rsidRDefault="00402089" w:rsidP="00402089">
            <w:pPr>
              <w:tabs>
                <w:tab w:val="right" w:pos="7548"/>
              </w:tabs>
              <w:jc w:val="both"/>
              <w:rPr>
                <w:rFonts w:ascii="Arial" w:hAnsi="Arial" w:cs="Arial"/>
                <w:b/>
                <w:noProof/>
                <w:lang w:val="af-ZA"/>
              </w:rPr>
            </w:pPr>
            <w:r w:rsidRPr="00D46D36">
              <w:rPr>
                <w:rFonts w:ascii="Arial" w:hAnsi="Arial" w:cs="Arial"/>
              </w:rPr>
              <w:t>(b) advertisements in the media</w:t>
            </w:r>
            <w:r>
              <w:rPr>
                <w:rFonts w:ascii="Arial" w:hAnsi="Arial" w:cs="Arial"/>
              </w:rPr>
              <w:t>,</w:t>
            </w:r>
          </w:p>
        </w:tc>
        <w:tc>
          <w:tcPr>
            <w:tcW w:w="2160" w:type="dxa"/>
          </w:tcPr>
          <w:p w14:paraId="000F1370" w14:textId="7AA56A39" w:rsidR="00402089" w:rsidRPr="00280180" w:rsidRDefault="00AF47F6" w:rsidP="003E5D45">
            <w:pPr>
              <w:tabs>
                <w:tab w:val="right" w:pos="7548"/>
              </w:tabs>
              <w:jc w:val="both"/>
              <w:rPr>
                <w:rFonts w:ascii="Arial" w:hAnsi="Arial" w:cs="Arial"/>
                <w:noProof/>
                <w:lang w:val="af-ZA"/>
              </w:rPr>
            </w:pPr>
            <w:r w:rsidRPr="00280180">
              <w:rPr>
                <w:rFonts w:ascii="Arial" w:hAnsi="Arial" w:cs="Arial"/>
                <w:noProof/>
                <w:lang w:val="af-ZA"/>
              </w:rPr>
              <w:t>R2 896 662</w:t>
            </w:r>
          </w:p>
        </w:tc>
        <w:tc>
          <w:tcPr>
            <w:tcW w:w="1950" w:type="dxa"/>
          </w:tcPr>
          <w:p w14:paraId="30922DF9" w14:textId="1A4CDF21" w:rsidR="00402089" w:rsidRPr="00280180" w:rsidRDefault="00AF47F6" w:rsidP="003E5D45">
            <w:pPr>
              <w:tabs>
                <w:tab w:val="right" w:pos="7548"/>
              </w:tabs>
              <w:jc w:val="both"/>
              <w:rPr>
                <w:rFonts w:ascii="Arial" w:hAnsi="Arial" w:cs="Arial"/>
                <w:noProof/>
                <w:lang w:val="af-ZA"/>
              </w:rPr>
            </w:pPr>
            <w:r w:rsidRPr="00280180">
              <w:rPr>
                <w:rFonts w:ascii="Arial" w:hAnsi="Arial" w:cs="Arial"/>
                <w:noProof/>
                <w:lang w:val="af-ZA"/>
              </w:rPr>
              <w:t>R5 404 190</w:t>
            </w:r>
          </w:p>
        </w:tc>
        <w:tc>
          <w:tcPr>
            <w:tcW w:w="1830" w:type="dxa"/>
          </w:tcPr>
          <w:p w14:paraId="0BA93908" w14:textId="601F447A" w:rsidR="00402089" w:rsidRPr="00280180" w:rsidRDefault="00AF47F6" w:rsidP="003E5D45">
            <w:pPr>
              <w:tabs>
                <w:tab w:val="right" w:pos="7548"/>
              </w:tabs>
              <w:jc w:val="both"/>
              <w:rPr>
                <w:rFonts w:ascii="Arial" w:hAnsi="Arial" w:cs="Arial"/>
                <w:noProof/>
                <w:lang w:val="af-ZA"/>
              </w:rPr>
            </w:pPr>
            <w:r w:rsidRPr="00280180">
              <w:rPr>
                <w:rFonts w:ascii="Arial" w:hAnsi="Arial" w:cs="Arial"/>
                <w:noProof/>
                <w:lang w:val="af-ZA"/>
              </w:rPr>
              <w:t>R6 365 666</w:t>
            </w:r>
            <w:r w:rsidRPr="00137AE0">
              <w:rPr>
                <w:rFonts w:ascii="Arial" w:hAnsi="Arial" w:cs="Arial"/>
                <w:noProof/>
                <w:lang w:val="af-ZA"/>
              </w:rPr>
              <w:t xml:space="preserve">                           </w:t>
            </w:r>
          </w:p>
        </w:tc>
      </w:tr>
      <w:tr w:rsidR="00402089" w:rsidRPr="000216B1" w14:paraId="1733CD66" w14:textId="77777777" w:rsidTr="00450504">
        <w:tc>
          <w:tcPr>
            <w:tcW w:w="2981" w:type="dxa"/>
          </w:tcPr>
          <w:p w14:paraId="1E24C5EE" w14:textId="77777777" w:rsidR="00402089" w:rsidRPr="000216B1" w:rsidRDefault="00402089" w:rsidP="00402089">
            <w:pPr>
              <w:tabs>
                <w:tab w:val="right" w:pos="7548"/>
              </w:tabs>
              <w:jc w:val="both"/>
              <w:rPr>
                <w:rFonts w:ascii="Arial" w:hAnsi="Arial" w:cs="Arial"/>
                <w:b/>
                <w:noProof/>
                <w:lang w:val="af-ZA"/>
              </w:rPr>
            </w:pPr>
            <w:r w:rsidRPr="000216B1">
              <w:rPr>
                <w:rFonts w:ascii="Arial" w:hAnsi="Arial" w:cs="Arial"/>
              </w:rPr>
              <w:t>(c) billboards,</w:t>
            </w:r>
          </w:p>
        </w:tc>
        <w:tc>
          <w:tcPr>
            <w:tcW w:w="2160" w:type="dxa"/>
          </w:tcPr>
          <w:p w14:paraId="772AA479" w14:textId="19E39689" w:rsidR="00402089" w:rsidRPr="000216B1" w:rsidRDefault="00AF47F6" w:rsidP="00AF47F6">
            <w:pPr>
              <w:tabs>
                <w:tab w:val="right" w:pos="7548"/>
              </w:tabs>
              <w:jc w:val="both"/>
              <w:rPr>
                <w:rFonts w:ascii="Arial" w:hAnsi="Arial" w:cs="Arial"/>
                <w:noProof/>
                <w:lang w:val="af-ZA"/>
              </w:rPr>
            </w:pPr>
            <w:r w:rsidRPr="000216B1">
              <w:rPr>
                <w:rFonts w:ascii="Arial" w:hAnsi="Arial" w:cs="Arial"/>
                <w:noProof/>
                <w:lang w:val="af-ZA"/>
              </w:rPr>
              <w:t>R Nil</w:t>
            </w:r>
          </w:p>
        </w:tc>
        <w:tc>
          <w:tcPr>
            <w:tcW w:w="1950" w:type="dxa"/>
          </w:tcPr>
          <w:p w14:paraId="7C6A4FB9" w14:textId="2CD18417" w:rsidR="00402089" w:rsidRPr="000216B1" w:rsidRDefault="00AF47F6" w:rsidP="00AF47F6">
            <w:pPr>
              <w:tabs>
                <w:tab w:val="right" w:pos="7548"/>
              </w:tabs>
              <w:jc w:val="both"/>
              <w:rPr>
                <w:rFonts w:ascii="Arial" w:hAnsi="Arial" w:cs="Arial"/>
                <w:noProof/>
                <w:lang w:val="af-ZA"/>
              </w:rPr>
            </w:pPr>
            <w:r w:rsidRPr="000216B1">
              <w:rPr>
                <w:rFonts w:ascii="Arial" w:hAnsi="Arial" w:cs="Arial"/>
                <w:noProof/>
                <w:lang w:val="af-ZA"/>
              </w:rPr>
              <w:t>R Nil</w:t>
            </w:r>
          </w:p>
        </w:tc>
        <w:tc>
          <w:tcPr>
            <w:tcW w:w="1830" w:type="dxa"/>
          </w:tcPr>
          <w:p w14:paraId="21AA2400" w14:textId="31D5C288" w:rsidR="00402089" w:rsidRPr="000216B1" w:rsidRDefault="00AF47F6" w:rsidP="00AF47F6">
            <w:pPr>
              <w:tabs>
                <w:tab w:val="right" w:pos="7548"/>
              </w:tabs>
              <w:jc w:val="both"/>
              <w:rPr>
                <w:rFonts w:ascii="Arial" w:hAnsi="Arial" w:cs="Arial"/>
                <w:noProof/>
                <w:lang w:val="af-ZA"/>
              </w:rPr>
            </w:pPr>
            <w:r w:rsidRPr="000216B1">
              <w:rPr>
                <w:rFonts w:ascii="Arial" w:hAnsi="Arial" w:cs="Arial"/>
                <w:noProof/>
                <w:lang w:val="af-ZA"/>
              </w:rPr>
              <w:t>R Nil</w:t>
            </w:r>
          </w:p>
        </w:tc>
      </w:tr>
      <w:tr w:rsidR="00402089" w:rsidRPr="000216B1" w14:paraId="59FF122E" w14:textId="77777777" w:rsidTr="00450504">
        <w:tc>
          <w:tcPr>
            <w:tcW w:w="2981" w:type="dxa"/>
          </w:tcPr>
          <w:p w14:paraId="395B7AC7" w14:textId="77777777" w:rsidR="00402089" w:rsidRPr="000216B1" w:rsidRDefault="00402089" w:rsidP="00402089">
            <w:pPr>
              <w:tabs>
                <w:tab w:val="right" w:pos="7548"/>
              </w:tabs>
              <w:jc w:val="both"/>
              <w:rPr>
                <w:rFonts w:ascii="Arial" w:hAnsi="Arial" w:cs="Arial"/>
                <w:b/>
                <w:noProof/>
                <w:lang w:val="af-ZA"/>
              </w:rPr>
            </w:pPr>
            <w:r w:rsidRPr="000216B1">
              <w:rPr>
                <w:rFonts w:ascii="Arial" w:hAnsi="Arial" w:cs="Arial"/>
              </w:rPr>
              <w:t xml:space="preserve">(d) </w:t>
            </w:r>
            <w:r w:rsidRPr="000216B1">
              <w:rPr>
                <w:rFonts w:ascii="Arial" w:hAnsi="Arial" w:cs="Arial"/>
                <w:noProof/>
                <w:lang w:val="af-ZA"/>
              </w:rPr>
              <w:t>mounted</w:t>
            </w:r>
            <w:r w:rsidRPr="000216B1">
              <w:rPr>
                <w:rFonts w:ascii="Arial" w:hAnsi="Arial" w:cs="Arial"/>
              </w:rPr>
              <w:t xml:space="preserve"> stickers and advertisements in lifts and malls,</w:t>
            </w:r>
          </w:p>
        </w:tc>
        <w:tc>
          <w:tcPr>
            <w:tcW w:w="2160" w:type="dxa"/>
          </w:tcPr>
          <w:p w14:paraId="64223100" w14:textId="148F7CD6" w:rsidR="00402089" w:rsidRPr="000216B1" w:rsidRDefault="00AF47F6" w:rsidP="00AF47F6">
            <w:pPr>
              <w:tabs>
                <w:tab w:val="right" w:pos="7548"/>
              </w:tabs>
              <w:jc w:val="both"/>
              <w:rPr>
                <w:rFonts w:ascii="Arial" w:hAnsi="Arial" w:cs="Arial"/>
                <w:noProof/>
                <w:lang w:val="af-ZA"/>
              </w:rPr>
            </w:pPr>
            <w:r w:rsidRPr="000216B1">
              <w:rPr>
                <w:rFonts w:ascii="Arial" w:hAnsi="Arial" w:cs="Arial"/>
                <w:noProof/>
                <w:lang w:val="af-ZA"/>
              </w:rPr>
              <w:t>R Nil</w:t>
            </w:r>
          </w:p>
        </w:tc>
        <w:tc>
          <w:tcPr>
            <w:tcW w:w="1950" w:type="dxa"/>
          </w:tcPr>
          <w:p w14:paraId="4543DE8F" w14:textId="3921081E" w:rsidR="00402089" w:rsidRPr="000216B1" w:rsidRDefault="00AF47F6" w:rsidP="00AF47F6">
            <w:pPr>
              <w:tabs>
                <w:tab w:val="right" w:pos="7548"/>
              </w:tabs>
              <w:jc w:val="both"/>
              <w:rPr>
                <w:rFonts w:ascii="Arial" w:hAnsi="Arial" w:cs="Arial"/>
                <w:noProof/>
                <w:lang w:val="af-ZA"/>
              </w:rPr>
            </w:pPr>
            <w:r w:rsidRPr="000216B1">
              <w:rPr>
                <w:rFonts w:ascii="Arial" w:hAnsi="Arial" w:cs="Arial"/>
                <w:noProof/>
                <w:lang w:val="af-ZA"/>
              </w:rPr>
              <w:t>R Nil</w:t>
            </w:r>
          </w:p>
        </w:tc>
        <w:tc>
          <w:tcPr>
            <w:tcW w:w="1830" w:type="dxa"/>
          </w:tcPr>
          <w:p w14:paraId="2C948D57" w14:textId="659076D0" w:rsidR="00402089" w:rsidRPr="000216B1" w:rsidRDefault="00AF47F6" w:rsidP="003E5D45">
            <w:pPr>
              <w:tabs>
                <w:tab w:val="right" w:pos="7548"/>
              </w:tabs>
              <w:jc w:val="both"/>
              <w:rPr>
                <w:rFonts w:ascii="Arial" w:hAnsi="Arial" w:cs="Arial"/>
                <w:noProof/>
                <w:lang w:val="af-ZA"/>
              </w:rPr>
            </w:pPr>
            <w:r w:rsidRPr="000216B1">
              <w:rPr>
                <w:rFonts w:ascii="Arial" w:hAnsi="Arial" w:cs="Arial"/>
                <w:noProof/>
                <w:lang w:val="af-ZA"/>
              </w:rPr>
              <w:t xml:space="preserve">R </w:t>
            </w:r>
            <w:r w:rsidR="000216B1" w:rsidRPr="000216B1">
              <w:rPr>
                <w:rFonts w:ascii="Arial" w:hAnsi="Arial" w:cs="Arial"/>
                <w:noProof/>
                <w:lang w:val="af-ZA"/>
              </w:rPr>
              <w:t>4 300</w:t>
            </w:r>
          </w:p>
        </w:tc>
      </w:tr>
      <w:tr w:rsidR="00402089" w:rsidRPr="003E5D45" w14:paraId="75FF7E4B" w14:textId="77777777" w:rsidTr="00450504">
        <w:tc>
          <w:tcPr>
            <w:tcW w:w="2981" w:type="dxa"/>
          </w:tcPr>
          <w:p w14:paraId="296944CE" w14:textId="11A579FC" w:rsidR="00402089" w:rsidRPr="000216B1" w:rsidRDefault="00402089" w:rsidP="005A1C78">
            <w:pPr>
              <w:tabs>
                <w:tab w:val="right" w:pos="7548"/>
              </w:tabs>
              <w:jc w:val="both"/>
              <w:rPr>
                <w:rFonts w:ascii="Arial" w:hAnsi="Arial" w:cs="Arial"/>
                <w:b/>
                <w:noProof/>
                <w:lang w:val="af-ZA"/>
              </w:rPr>
            </w:pPr>
            <w:r w:rsidRPr="000216B1">
              <w:rPr>
                <w:rFonts w:ascii="Arial" w:hAnsi="Arial" w:cs="Arial"/>
              </w:rPr>
              <w:lastRenderedPageBreak/>
              <w:t>e) promotional articles such as key rings</w:t>
            </w:r>
            <w:r w:rsidR="005A1C78">
              <w:rPr>
                <w:rFonts w:ascii="Arial" w:hAnsi="Arial" w:cs="Arial"/>
              </w:rPr>
              <w:t xml:space="preserve"> (although no costs was incurred in respect of key rings, but in relation to mouse pads, CD’s and T-Shirts)</w:t>
            </w:r>
            <w:r w:rsidRPr="000216B1">
              <w:rPr>
                <w:rFonts w:ascii="Arial" w:hAnsi="Arial" w:cs="Arial"/>
              </w:rPr>
              <w:t>,</w:t>
            </w:r>
          </w:p>
        </w:tc>
        <w:tc>
          <w:tcPr>
            <w:tcW w:w="2160" w:type="dxa"/>
          </w:tcPr>
          <w:p w14:paraId="6C80EE0C" w14:textId="2B977984" w:rsidR="00402089" w:rsidRPr="000216B1" w:rsidRDefault="00AF47F6" w:rsidP="003E5D45">
            <w:pPr>
              <w:tabs>
                <w:tab w:val="right" w:pos="7548"/>
              </w:tabs>
              <w:jc w:val="both"/>
              <w:rPr>
                <w:rFonts w:ascii="Arial" w:hAnsi="Arial" w:cs="Arial"/>
                <w:noProof/>
                <w:lang w:val="af-ZA"/>
              </w:rPr>
            </w:pPr>
            <w:r w:rsidRPr="000216B1">
              <w:rPr>
                <w:rFonts w:ascii="Arial" w:hAnsi="Arial" w:cs="Arial"/>
                <w:noProof/>
                <w:lang w:val="af-ZA"/>
              </w:rPr>
              <w:t xml:space="preserve">R </w:t>
            </w:r>
            <w:r w:rsidR="003E5D45" w:rsidRPr="003E5D45">
              <w:rPr>
                <w:rFonts w:ascii="Arial" w:hAnsi="Arial" w:cs="Arial"/>
                <w:noProof/>
                <w:lang w:val="af-ZA"/>
              </w:rPr>
              <w:t>363 126</w:t>
            </w:r>
          </w:p>
        </w:tc>
        <w:tc>
          <w:tcPr>
            <w:tcW w:w="1950" w:type="dxa"/>
          </w:tcPr>
          <w:p w14:paraId="102F3484" w14:textId="7445FC61" w:rsidR="00402089" w:rsidRPr="003E5D45" w:rsidRDefault="003E5D45" w:rsidP="003E5D45">
            <w:pPr>
              <w:tabs>
                <w:tab w:val="right" w:pos="7548"/>
              </w:tabs>
              <w:jc w:val="both"/>
              <w:rPr>
                <w:rFonts w:ascii="Arial" w:hAnsi="Arial" w:cs="Arial"/>
                <w:noProof/>
                <w:lang w:val="af-ZA"/>
              </w:rPr>
            </w:pPr>
            <w:r w:rsidRPr="003E5D45">
              <w:rPr>
                <w:rFonts w:ascii="Arial" w:hAnsi="Arial" w:cs="Arial"/>
                <w:noProof/>
                <w:lang w:val="af-ZA"/>
              </w:rPr>
              <w:t>R 27 103</w:t>
            </w:r>
          </w:p>
        </w:tc>
        <w:tc>
          <w:tcPr>
            <w:tcW w:w="1830" w:type="dxa"/>
          </w:tcPr>
          <w:p w14:paraId="21CDFA13" w14:textId="0A73B0E4" w:rsidR="003E5D45" w:rsidRPr="003E5D45" w:rsidRDefault="00AF47F6" w:rsidP="003E5D45">
            <w:pPr>
              <w:tabs>
                <w:tab w:val="right" w:pos="7548"/>
              </w:tabs>
              <w:jc w:val="both"/>
              <w:rPr>
                <w:rFonts w:ascii="Arial" w:hAnsi="Arial" w:cs="Arial"/>
                <w:noProof/>
                <w:lang w:val="af-ZA"/>
              </w:rPr>
            </w:pPr>
            <w:r w:rsidRPr="003E5D45">
              <w:rPr>
                <w:rFonts w:ascii="Arial" w:hAnsi="Arial" w:cs="Arial"/>
                <w:noProof/>
                <w:lang w:val="af-ZA"/>
              </w:rPr>
              <w:t xml:space="preserve">R </w:t>
            </w:r>
            <w:r w:rsidR="003E5D45">
              <w:rPr>
                <w:rFonts w:ascii="Arial" w:hAnsi="Arial" w:cs="Arial"/>
                <w:noProof/>
                <w:lang w:val="af-ZA"/>
              </w:rPr>
              <w:t>73 319</w:t>
            </w:r>
          </w:p>
        </w:tc>
      </w:tr>
      <w:tr w:rsidR="00402089" w14:paraId="37E2AD82" w14:textId="77777777" w:rsidTr="00450504">
        <w:tc>
          <w:tcPr>
            <w:tcW w:w="2981" w:type="dxa"/>
          </w:tcPr>
          <w:p w14:paraId="659D09D1" w14:textId="0CEBA849" w:rsidR="00402089" w:rsidRDefault="00402089" w:rsidP="00402089">
            <w:pPr>
              <w:tabs>
                <w:tab w:val="right" w:pos="7548"/>
              </w:tabs>
              <w:jc w:val="both"/>
              <w:rPr>
                <w:rFonts w:ascii="Arial" w:hAnsi="Arial" w:cs="Arial"/>
                <w:b/>
                <w:noProof/>
                <w:lang w:val="af-ZA"/>
              </w:rPr>
            </w:pPr>
            <w:r w:rsidRPr="00D46D36">
              <w:rPr>
                <w:rFonts w:ascii="Arial" w:hAnsi="Arial" w:cs="Arial"/>
              </w:rPr>
              <w:t>(f) printed booklets and pamphlets</w:t>
            </w:r>
            <w:r w:rsidR="00D8576E">
              <w:rPr>
                <w:rFonts w:ascii="Arial" w:hAnsi="Arial" w:cs="Arial"/>
              </w:rPr>
              <w:t>,</w:t>
            </w:r>
            <w:r w:rsidR="00AF6B39">
              <w:rPr>
                <w:rFonts w:ascii="Arial" w:hAnsi="Arial" w:cs="Arial"/>
              </w:rPr>
              <w:t xml:space="preserve"> and</w:t>
            </w:r>
          </w:p>
        </w:tc>
        <w:tc>
          <w:tcPr>
            <w:tcW w:w="2160" w:type="dxa"/>
          </w:tcPr>
          <w:p w14:paraId="78D651DF" w14:textId="13AD9ECE" w:rsidR="00402089" w:rsidRPr="00280180" w:rsidRDefault="00AF47F6" w:rsidP="00AF47F6">
            <w:pPr>
              <w:tabs>
                <w:tab w:val="right" w:pos="7548"/>
              </w:tabs>
              <w:jc w:val="both"/>
              <w:rPr>
                <w:rFonts w:ascii="Arial" w:hAnsi="Arial" w:cs="Arial"/>
                <w:noProof/>
                <w:lang w:val="af-ZA"/>
              </w:rPr>
            </w:pPr>
            <w:r w:rsidRPr="00280180">
              <w:rPr>
                <w:rFonts w:ascii="Arial" w:hAnsi="Arial" w:cs="Arial"/>
                <w:noProof/>
                <w:lang w:val="af-ZA"/>
              </w:rPr>
              <w:t>R Nil</w:t>
            </w:r>
          </w:p>
        </w:tc>
        <w:tc>
          <w:tcPr>
            <w:tcW w:w="1950" w:type="dxa"/>
          </w:tcPr>
          <w:p w14:paraId="652EE706" w14:textId="1F8F27D7" w:rsidR="00402089" w:rsidRPr="00280180" w:rsidRDefault="00AF47F6" w:rsidP="00AF47F6">
            <w:pPr>
              <w:tabs>
                <w:tab w:val="right" w:pos="7548"/>
              </w:tabs>
              <w:jc w:val="both"/>
              <w:rPr>
                <w:rFonts w:ascii="Arial" w:hAnsi="Arial" w:cs="Arial"/>
                <w:noProof/>
                <w:lang w:val="af-ZA"/>
              </w:rPr>
            </w:pPr>
            <w:r w:rsidRPr="00280180">
              <w:rPr>
                <w:rFonts w:ascii="Arial" w:hAnsi="Arial" w:cs="Arial"/>
                <w:noProof/>
                <w:lang w:val="af-ZA"/>
              </w:rPr>
              <w:t>R Nil</w:t>
            </w:r>
          </w:p>
        </w:tc>
        <w:tc>
          <w:tcPr>
            <w:tcW w:w="1830" w:type="dxa"/>
          </w:tcPr>
          <w:p w14:paraId="65DF057E" w14:textId="14381E11" w:rsidR="00402089" w:rsidRPr="00280180" w:rsidRDefault="00402089" w:rsidP="003E5D45">
            <w:pPr>
              <w:tabs>
                <w:tab w:val="right" w:pos="7548"/>
              </w:tabs>
              <w:jc w:val="both"/>
              <w:rPr>
                <w:rFonts w:ascii="Arial" w:hAnsi="Arial" w:cs="Arial"/>
                <w:noProof/>
                <w:lang w:val="af-ZA"/>
              </w:rPr>
            </w:pPr>
            <w:r w:rsidRPr="00280180">
              <w:rPr>
                <w:rFonts w:ascii="Arial" w:hAnsi="Arial" w:cs="Arial"/>
                <w:noProof/>
                <w:lang w:val="af-ZA"/>
              </w:rPr>
              <w:t xml:space="preserve"> </w:t>
            </w:r>
            <w:r w:rsidR="00AF47F6" w:rsidRPr="00280180">
              <w:rPr>
                <w:rFonts w:ascii="Arial" w:hAnsi="Arial" w:cs="Arial"/>
                <w:noProof/>
                <w:lang w:val="af-ZA"/>
              </w:rPr>
              <w:t>R47 982</w:t>
            </w:r>
          </w:p>
        </w:tc>
      </w:tr>
      <w:tr w:rsidR="00402089" w14:paraId="670CBC7B" w14:textId="77777777" w:rsidTr="00450504">
        <w:tc>
          <w:tcPr>
            <w:tcW w:w="2981" w:type="dxa"/>
          </w:tcPr>
          <w:p w14:paraId="0E271BF0" w14:textId="77777777" w:rsidR="00402089" w:rsidRPr="00D46D36" w:rsidRDefault="00402089" w:rsidP="00402089">
            <w:pPr>
              <w:tabs>
                <w:tab w:val="right" w:pos="7548"/>
              </w:tabs>
              <w:jc w:val="both"/>
              <w:rPr>
                <w:rFonts w:ascii="Arial" w:hAnsi="Arial" w:cs="Arial"/>
              </w:rPr>
            </w:pPr>
            <w:r w:rsidRPr="00D46D36">
              <w:rPr>
                <w:rFonts w:ascii="Arial" w:hAnsi="Arial" w:cs="Arial"/>
              </w:rPr>
              <w:t>(g) the RABS website</w:t>
            </w:r>
          </w:p>
        </w:tc>
        <w:tc>
          <w:tcPr>
            <w:tcW w:w="2160" w:type="dxa"/>
          </w:tcPr>
          <w:p w14:paraId="54B92BAE" w14:textId="70EF0E05" w:rsidR="00402089" w:rsidRPr="00280180" w:rsidRDefault="00AF47F6" w:rsidP="00AF47F6">
            <w:pPr>
              <w:tabs>
                <w:tab w:val="right" w:pos="7548"/>
              </w:tabs>
              <w:jc w:val="both"/>
              <w:rPr>
                <w:rFonts w:ascii="Arial" w:hAnsi="Arial" w:cs="Arial"/>
                <w:noProof/>
                <w:lang w:val="af-ZA"/>
              </w:rPr>
            </w:pPr>
            <w:r w:rsidRPr="00280180">
              <w:rPr>
                <w:rFonts w:ascii="Arial" w:hAnsi="Arial" w:cs="Arial"/>
                <w:noProof/>
                <w:lang w:val="af-ZA"/>
              </w:rPr>
              <w:t>R Nil</w:t>
            </w:r>
          </w:p>
        </w:tc>
        <w:tc>
          <w:tcPr>
            <w:tcW w:w="1950" w:type="dxa"/>
          </w:tcPr>
          <w:p w14:paraId="106E2A48" w14:textId="5612CEFB" w:rsidR="00402089" w:rsidRPr="00280180" w:rsidRDefault="00AF47F6" w:rsidP="00AF47F6">
            <w:pPr>
              <w:tabs>
                <w:tab w:val="right" w:pos="7548"/>
              </w:tabs>
              <w:jc w:val="both"/>
              <w:rPr>
                <w:rFonts w:ascii="Arial" w:hAnsi="Arial" w:cs="Arial"/>
                <w:noProof/>
                <w:lang w:val="af-ZA"/>
              </w:rPr>
            </w:pPr>
            <w:r w:rsidRPr="00280180">
              <w:rPr>
                <w:rFonts w:ascii="Arial" w:hAnsi="Arial" w:cs="Arial"/>
                <w:noProof/>
                <w:lang w:val="af-ZA"/>
              </w:rPr>
              <w:t>R Nil</w:t>
            </w:r>
          </w:p>
        </w:tc>
        <w:tc>
          <w:tcPr>
            <w:tcW w:w="1830" w:type="dxa"/>
          </w:tcPr>
          <w:p w14:paraId="044BB288" w14:textId="77777777" w:rsidR="00402089" w:rsidRPr="00280180" w:rsidRDefault="00AF47F6" w:rsidP="00AF47F6">
            <w:pPr>
              <w:tabs>
                <w:tab w:val="right" w:pos="7548"/>
              </w:tabs>
              <w:jc w:val="both"/>
              <w:rPr>
                <w:rFonts w:ascii="Arial" w:hAnsi="Arial" w:cs="Arial"/>
                <w:noProof/>
                <w:lang w:val="af-ZA"/>
              </w:rPr>
            </w:pPr>
            <w:r w:rsidRPr="00280180">
              <w:rPr>
                <w:rFonts w:ascii="Arial" w:hAnsi="Arial" w:cs="Arial"/>
                <w:noProof/>
                <w:lang w:val="af-ZA"/>
              </w:rPr>
              <w:t>R Nil</w:t>
            </w:r>
            <w:r w:rsidR="00402089" w:rsidRPr="00280180">
              <w:rPr>
                <w:rFonts w:ascii="Arial" w:hAnsi="Arial" w:cs="Arial"/>
                <w:noProof/>
                <w:lang w:val="af-ZA"/>
              </w:rPr>
              <w:t xml:space="preserve"> </w:t>
            </w:r>
          </w:p>
        </w:tc>
      </w:tr>
    </w:tbl>
    <w:p w14:paraId="6EA7B9E9" w14:textId="77777777" w:rsidR="00AF4F3C" w:rsidRDefault="00D46D36" w:rsidP="00D46D36">
      <w:pPr>
        <w:tabs>
          <w:tab w:val="right" w:pos="7548"/>
        </w:tabs>
        <w:ind w:left="-1276"/>
        <w:jc w:val="both"/>
        <w:rPr>
          <w:rFonts w:ascii="Arial" w:hAnsi="Arial" w:cs="Arial"/>
          <w:b/>
          <w:noProof/>
          <w:sz w:val="22"/>
          <w:szCs w:val="22"/>
          <w:lang w:val="af-ZA"/>
        </w:rPr>
      </w:pPr>
      <w:r w:rsidRPr="00D46D36">
        <w:rPr>
          <w:rFonts w:ascii="Arial" w:hAnsi="Arial" w:cs="Arial"/>
          <w:b/>
          <w:noProof/>
          <w:sz w:val="22"/>
          <w:szCs w:val="22"/>
          <w:lang w:val="af-ZA"/>
        </w:rPr>
        <w:tab/>
      </w:r>
    </w:p>
    <w:p w14:paraId="59574C24" w14:textId="77777777" w:rsidR="00280180" w:rsidRDefault="00280180" w:rsidP="00D46D36">
      <w:pPr>
        <w:tabs>
          <w:tab w:val="right" w:pos="7548"/>
        </w:tabs>
        <w:ind w:left="-1276"/>
        <w:jc w:val="both"/>
        <w:rPr>
          <w:rFonts w:ascii="Arial" w:hAnsi="Arial" w:cs="Arial"/>
          <w:b/>
          <w:noProof/>
          <w:sz w:val="22"/>
          <w:szCs w:val="22"/>
          <w:lang w:val="af-ZA"/>
        </w:rPr>
      </w:pPr>
      <w:r>
        <w:rPr>
          <w:rFonts w:ascii="Arial" w:hAnsi="Arial" w:cs="Arial"/>
          <w:sz w:val="22"/>
          <w:szCs w:val="22"/>
        </w:rPr>
        <w:t>Advertisements in the media were published on mass-reach media platforms, for example radio, print and television.</w:t>
      </w:r>
      <w:r w:rsidRPr="0047601B">
        <w:rPr>
          <w:rFonts w:ascii="Arial" w:hAnsi="Arial" w:cs="Arial"/>
          <w:sz w:val="22"/>
          <w:szCs w:val="22"/>
        </w:rPr>
        <w:t xml:space="preserve"> </w:t>
      </w:r>
      <w:r>
        <w:rPr>
          <w:rFonts w:ascii="Arial" w:hAnsi="Arial" w:cs="Arial"/>
          <w:sz w:val="22"/>
          <w:szCs w:val="22"/>
        </w:rPr>
        <w:t>All expenditure took place following procurement in accordance with the provisions the RAF’s policies and the PFMA.</w:t>
      </w:r>
      <w:r w:rsidR="00B5491E">
        <w:rPr>
          <w:rFonts w:ascii="Arial" w:hAnsi="Arial" w:cs="Arial"/>
          <w:sz w:val="22"/>
          <w:szCs w:val="22"/>
        </w:rPr>
        <w:tab/>
      </w:r>
      <w:r w:rsidR="0071357E">
        <w:rPr>
          <w:rFonts w:ascii="Arial" w:hAnsi="Arial" w:cs="Arial"/>
          <w:b/>
          <w:noProof/>
          <w:sz w:val="22"/>
          <w:szCs w:val="22"/>
          <w:lang w:val="af-ZA"/>
        </w:rPr>
        <w:t xml:space="preserve">   </w:t>
      </w:r>
    </w:p>
    <w:p w14:paraId="44C3D170" w14:textId="438A4053" w:rsidR="00D46D36" w:rsidRPr="00D46D36" w:rsidRDefault="00280180" w:rsidP="00D46D36">
      <w:pPr>
        <w:tabs>
          <w:tab w:val="right" w:pos="7548"/>
        </w:tabs>
        <w:ind w:left="-1276"/>
        <w:jc w:val="both"/>
        <w:rPr>
          <w:rFonts w:ascii="Arial" w:hAnsi="Arial" w:cs="Arial"/>
          <w:b/>
          <w:sz w:val="22"/>
          <w:szCs w:val="22"/>
          <w:lang w:val="af-ZA"/>
        </w:rPr>
      </w:pPr>
      <w:r>
        <w:rPr>
          <w:rFonts w:ascii="Arial" w:hAnsi="Arial" w:cs="Arial"/>
          <w:b/>
          <w:noProof/>
          <w:sz w:val="22"/>
          <w:szCs w:val="22"/>
          <w:lang w:val="af-ZA"/>
        </w:rPr>
        <w:tab/>
      </w:r>
    </w:p>
    <w:p w14:paraId="27468ABC" w14:textId="77777777" w:rsidR="00D46D36" w:rsidRPr="00D46D36" w:rsidRDefault="00D46D36" w:rsidP="00D46D36">
      <w:pPr>
        <w:tabs>
          <w:tab w:val="right" w:pos="7548"/>
        </w:tabs>
        <w:ind w:left="-1276"/>
        <w:jc w:val="both"/>
        <w:rPr>
          <w:rFonts w:ascii="Arial" w:hAnsi="Arial" w:cs="Arial"/>
          <w:b/>
          <w:sz w:val="22"/>
          <w:szCs w:val="22"/>
        </w:rPr>
      </w:pPr>
    </w:p>
    <w:p w14:paraId="584507FE" w14:textId="77777777" w:rsidR="00AF4F3C" w:rsidRDefault="00AF4F3C" w:rsidP="003B2001">
      <w:pPr>
        <w:rPr>
          <w:rFonts w:eastAsia="Times New Roman"/>
        </w:rPr>
      </w:pPr>
    </w:p>
    <w:sectPr w:rsidR="00AF4F3C" w:rsidSect="0088159D">
      <w:pgSz w:w="11900" w:h="16840"/>
      <w:pgMar w:top="1440" w:right="1800" w:bottom="1440" w:left="25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9D"/>
    <w:rsid w:val="000216B1"/>
    <w:rsid w:val="00042C95"/>
    <w:rsid w:val="000A053B"/>
    <w:rsid w:val="00137AE0"/>
    <w:rsid w:val="00174859"/>
    <w:rsid w:val="00187A39"/>
    <w:rsid w:val="001B0331"/>
    <w:rsid w:val="001B5361"/>
    <w:rsid w:val="001C6CB2"/>
    <w:rsid w:val="00210FDD"/>
    <w:rsid w:val="002217C0"/>
    <w:rsid w:val="00231E34"/>
    <w:rsid w:val="00254497"/>
    <w:rsid w:val="00280180"/>
    <w:rsid w:val="002B1B39"/>
    <w:rsid w:val="002E2E1B"/>
    <w:rsid w:val="003A6A3C"/>
    <w:rsid w:val="003B2001"/>
    <w:rsid w:val="003E5D45"/>
    <w:rsid w:val="00402089"/>
    <w:rsid w:val="0044790E"/>
    <w:rsid w:val="00450504"/>
    <w:rsid w:val="0047601B"/>
    <w:rsid w:val="00486201"/>
    <w:rsid w:val="00486218"/>
    <w:rsid w:val="004B7ACD"/>
    <w:rsid w:val="004C55E2"/>
    <w:rsid w:val="004F3D7B"/>
    <w:rsid w:val="0052274B"/>
    <w:rsid w:val="00522C32"/>
    <w:rsid w:val="005242EB"/>
    <w:rsid w:val="005855B7"/>
    <w:rsid w:val="005A1C78"/>
    <w:rsid w:val="005B6111"/>
    <w:rsid w:val="005C3080"/>
    <w:rsid w:val="005D62F5"/>
    <w:rsid w:val="005F48B3"/>
    <w:rsid w:val="00600F01"/>
    <w:rsid w:val="00606BE8"/>
    <w:rsid w:val="00624CE7"/>
    <w:rsid w:val="00685C59"/>
    <w:rsid w:val="0071357E"/>
    <w:rsid w:val="007907DD"/>
    <w:rsid w:val="007B7E4E"/>
    <w:rsid w:val="0088159D"/>
    <w:rsid w:val="008D01A2"/>
    <w:rsid w:val="008D65E5"/>
    <w:rsid w:val="00931DEB"/>
    <w:rsid w:val="009A4164"/>
    <w:rsid w:val="009E1009"/>
    <w:rsid w:val="009F70D9"/>
    <w:rsid w:val="00A02849"/>
    <w:rsid w:val="00A02AAA"/>
    <w:rsid w:val="00A04725"/>
    <w:rsid w:val="00A0678A"/>
    <w:rsid w:val="00AF47F6"/>
    <w:rsid w:val="00AF4F3C"/>
    <w:rsid w:val="00AF6B39"/>
    <w:rsid w:val="00B07A97"/>
    <w:rsid w:val="00B2328C"/>
    <w:rsid w:val="00B51E4C"/>
    <w:rsid w:val="00B5491E"/>
    <w:rsid w:val="00B5787C"/>
    <w:rsid w:val="00C054BE"/>
    <w:rsid w:val="00CB0412"/>
    <w:rsid w:val="00CD47A7"/>
    <w:rsid w:val="00CE2BD3"/>
    <w:rsid w:val="00CF7248"/>
    <w:rsid w:val="00D03664"/>
    <w:rsid w:val="00D46D36"/>
    <w:rsid w:val="00D6718E"/>
    <w:rsid w:val="00D67BE5"/>
    <w:rsid w:val="00D8576E"/>
    <w:rsid w:val="00DC3520"/>
    <w:rsid w:val="00DE1C29"/>
    <w:rsid w:val="00EC5D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22815"/>
  <w15:docId w15:val="{7E90D64E-A74D-4A79-A4F0-2144B873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8159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7907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7DD"/>
    <w:rPr>
      <w:rFonts w:eastAsiaTheme="minorEastAsia"/>
      <w:sz w:val="22"/>
      <w:szCs w:val="22"/>
    </w:rPr>
  </w:style>
  <w:style w:type="paragraph" w:styleId="ListParagraph">
    <w:name w:val="List Paragraph"/>
    <w:basedOn w:val="Normal"/>
    <w:uiPriority w:val="34"/>
    <w:qFormat/>
    <w:rsid w:val="005C3080"/>
    <w:pPr>
      <w:ind w:left="720"/>
      <w:contextualSpacing/>
    </w:pPr>
  </w:style>
  <w:style w:type="paragraph" w:styleId="BalloonText">
    <w:name w:val="Balloon Text"/>
    <w:basedOn w:val="Normal"/>
    <w:link w:val="BalloonTextChar"/>
    <w:uiPriority w:val="99"/>
    <w:semiHidden/>
    <w:unhideWhenUsed/>
    <w:rsid w:val="00AF6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B39"/>
    <w:rPr>
      <w:rFonts w:ascii="Segoe UI" w:hAnsi="Segoe UI" w:cs="Segoe UI"/>
      <w:sz w:val="18"/>
      <w:szCs w:val="18"/>
    </w:rPr>
  </w:style>
  <w:style w:type="character" w:customStyle="1" w:styleId="s13">
    <w:name w:val="s13"/>
    <w:basedOn w:val="DefaultParagraphFont"/>
    <w:rsid w:val="00685C59"/>
  </w:style>
  <w:style w:type="character" w:styleId="CommentReference">
    <w:name w:val="annotation reference"/>
    <w:basedOn w:val="DefaultParagraphFont"/>
    <w:uiPriority w:val="99"/>
    <w:semiHidden/>
    <w:unhideWhenUsed/>
    <w:rsid w:val="00137AE0"/>
    <w:rPr>
      <w:sz w:val="16"/>
      <w:szCs w:val="16"/>
    </w:rPr>
  </w:style>
  <w:style w:type="paragraph" w:styleId="CommentText">
    <w:name w:val="annotation text"/>
    <w:basedOn w:val="Normal"/>
    <w:link w:val="CommentTextChar"/>
    <w:uiPriority w:val="99"/>
    <w:semiHidden/>
    <w:unhideWhenUsed/>
    <w:rsid w:val="00137AE0"/>
    <w:rPr>
      <w:sz w:val="20"/>
      <w:szCs w:val="20"/>
    </w:rPr>
  </w:style>
  <w:style w:type="character" w:customStyle="1" w:styleId="CommentTextChar">
    <w:name w:val="Comment Text Char"/>
    <w:basedOn w:val="DefaultParagraphFont"/>
    <w:link w:val="CommentText"/>
    <w:uiPriority w:val="99"/>
    <w:semiHidden/>
    <w:rsid w:val="00137AE0"/>
    <w:rPr>
      <w:sz w:val="20"/>
      <w:szCs w:val="20"/>
    </w:rPr>
  </w:style>
  <w:style w:type="paragraph" w:styleId="CommentSubject">
    <w:name w:val="annotation subject"/>
    <w:basedOn w:val="CommentText"/>
    <w:next w:val="CommentText"/>
    <w:link w:val="CommentSubjectChar"/>
    <w:uiPriority w:val="99"/>
    <w:semiHidden/>
    <w:unhideWhenUsed/>
    <w:rsid w:val="00137AE0"/>
    <w:rPr>
      <w:b/>
      <w:bCs/>
    </w:rPr>
  </w:style>
  <w:style w:type="character" w:customStyle="1" w:styleId="CommentSubjectChar">
    <w:name w:val="Comment Subject Char"/>
    <w:basedOn w:val="CommentTextChar"/>
    <w:link w:val="CommentSubject"/>
    <w:uiPriority w:val="99"/>
    <w:semiHidden/>
    <w:rsid w:val="00137AE0"/>
    <w:rPr>
      <w:b/>
      <w:bCs/>
      <w:sz w:val="20"/>
      <w:szCs w:val="20"/>
    </w:rPr>
  </w:style>
  <w:style w:type="paragraph" w:styleId="Revision">
    <w:name w:val="Revision"/>
    <w:hidden/>
    <w:uiPriority w:val="99"/>
    <w:semiHidden/>
    <w:rsid w:val="0013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2363">
      <w:bodyDiv w:val="1"/>
      <w:marLeft w:val="0"/>
      <w:marRight w:val="0"/>
      <w:marTop w:val="0"/>
      <w:marBottom w:val="0"/>
      <w:divBdr>
        <w:top w:val="none" w:sz="0" w:space="0" w:color="auto"/>
        <w:left w:val="none" w:sz="0" w:space="0" w:color="auto"/>
        <w:bottom w:val="none" w:sz="0" w:space="0" w:color="auto"/>
        <w:right w:val="none" w:sz="0" w:space="0" w:color="auto"/>
      </w:divBdr>
    </w:div>
    <w:div w:id="667682697">
      <w:bodyDiv w:val="1"/>
      <w:marLeft w:val="0"/>
      <w:marRight w:val="0"/>
      <w:marTop w:val="0"/>
      <w:marBottom w:val="0"/>
      <w:divBdr>
        <w:top w:val="none" w:sz="0" w:space="0" w:color="auto"/>
        <w:left w:val="none" w:sz="0" w:space="0" w:color="auto"/>
        <w:bottom w:val="none" w:sz="0" w:space="0" w:color="auto"/>
        <w:right w:val="none" w:sz="0" w:space="0" w:color="auto"/>
      </w:divBdr>
    </w:div>
    <w:div w:id="964626299">
      <w:bodyDiv w:val="1"/>
      <w:marLeft w:val="0"/>
      <w:marRight w:val="0"/>
      <w:marTop w:val="0"/>
      <w:marBottom w:val="0"/>
      <w:divBdr>
        <w:top w:val="none" w:sz="0" w:space="0" w:color="auto"/>
        <w:left w:val="none" w:sz="0" w:space="0" w:color="auto"/>
        <w:bottom w:val="none" w:sz="0" w:space="0" w:color="auto"/>
        <w:right w:val="none" w:sz="0" w:space="0" w:color="auto"/>
      </w:divBdr>
    </w:div>
    <w:div w:id="1747150057">
      <w:bodyDiv w:val="1"/>
      <w:marLeft w:val="0"/>
      <w:marRight w:val="0"/>
      <w:marTop w:val="0"/>
      <w:marBottom w:val="0"/>
      <w:divBdr>
        <w:top w:val="none" w:sz="0" w:space="0" w:color="auto"/>
        <w:left w:val="none" w:sz="0" w:space="0" w:color="auto"/>
        <w:bottom w:val="none" w:sz="0" w:space="0" w:color="auto"/>
        <w:right w:val="none" w:sz="0" w:space="0" w:color="auto"/>
      </w:divBdr>
    </w:div>
    <w:div w:id="2104951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1C80929617446A548DA57D3E39F5E" ma:contentTypeVersion="0" ma:contentTypeDescription="Create a new document." ma:contentTypeScope="" ma:versionID="87735470b9e028ab23c4679e0267b3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63760-EAF3-46AC-B4F6-738A40FE2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8EC1B1-6C4F-4EE4-BBC6-53F0324B9187}">
  <ds:schemaRefs>
    <ds:schemaRef ds:uri="http://schemas.microsoft.com/sharepoint/v3/contenttype/forms"/>
  </ds:schemaRefs>
</ds:datastoreItem>
</file>

<file path=customXml/itemProps3.xml><?xml version="1.0" encoding="utf-8"?>
<ds:datastoreItem xmlns:ds="http://schemas.openxmlformats.org/officeDocument/2006/customXml" ds:itemID="{4575460B-B113-4AF3-A3A1-826B08B5E51A}">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jesselene pandaram</dc:creator>
  <cp:lastModifiedBy>Sehlabela Chuene</cp:lastModifiedBy>
  <cp:revision>2</cp:revision>
  <cp:lastPrinted>2017-07-03T12:10:00Z</cp:lastPrinted>
  <dcterms:created xsi:type="dcterms:W3CDTF">2017-07-10T08:41:00Z</dcterms:created>
  <dcterms:modified xsi:type="dcterms:W3CDTF">2017-07-10T08:41:00Z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0x0101005301C80929617446A548DA57D3E39F5E</vt:lpwstr>
  </property>
</Properties>
</file>