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433" w:rsidRPr="00F84C57" w:rsidRDefault="008F5433" w:rsidP="008F5433">
      <w:pPr>
        <w:spacing w:after="0" w:line="360" w:lineRule="auto"/>
        <w:ind w:left="993" w:hanging="851"/>
        <w:jc w:val="center"/>
        <w:rPr>
          <w:rFonts w:ascii="Arial" w:eastAsia="Times New Roman" w:hAnsi="Arial" w:cs="Arial"/>
          <w:b/>
          <w:color w:val="000000" w:themeColor="text1"/>
        </w:rPr>
      </w:pPr>
      <w:r w:rsidRPr="00F84C57">
        <w:rPr>
          <w:rFonts w:ascii="Arial" w:eastAsia="Times New Roman" w:hAnsi="Arial" w:cs="Arial"/>
          <w:b/>
          <w:color w:val="000000" w:themeColor="text1"/>
        </w:rPr>
        <w:t>THE NATIONAL ASSEMBLY</w:t>
      </w:r>
    </w:p>
    <w:p w:rsidR="008F5433" w:rsidRPr="00F84C57" w:rsidRDefault="008F5433" w:rsidP="008F5433">
      <w:pPr>
        <w:spacing w:after="0" w:line="360" w:lineRule="auto"/>
        <w:ind w:left="993" w:hanging="851"/>
        <w:jc w:val="center"/>
        <w:rPr>
          <w:rFonts w:ascii="Arial" w:eastAsia="Times New Roman" w:hAnsi="Arial" w:cs="Arial"/>
          <w:b/>
          <w:color w:val="000000" w:themeColor="text1"/>
        </w:rPr>
      </w:pPr>
    </w:p>
    <w:p w:rsidR="008F5433" w:rsidRPr="00F84C57" w:rsidRDefault="008F5433" w:rsidP="008F5433">
      <w:pPr>
        <w:spacing w:after="0" w:line="360" w:lineRule="auto"/>
        <w:ind w:left="993" w:hanging="851"/>
        <w:jc w:val="center"/>
        <w:rPr>
          <w:rFonts w:ascii="Arial" w:eastAsia="Times New Roman" w:hAnsi="Arial" w:cs="Arial"/>
          <w:b/>
          <w:color w:val="000000" w:themeColor="text1"/>
        </w:rPr>
      </w:pPr>
      <w:r w:rsidRPr="00F84C57">
        <w:rPr>
          <w:rFonts w:ascii="Arial" w:eastAsia="Times New Roman" w:hAnsi="Arial" w:cs="Arial"/>
          <w:b/>
          <w:color w:val="000000" w:themeColor="text1"/>
        </w:rPr>
        <w:t>QUESTION FOR WRITTEN REPLY</w:t>
      </w:r>
    </w:p>
    <w:p w:rsidR="008F5433" w:rsidRPr="00F84C57" w:rsidRDefault="008F5433" w:rsidP="008F5433">
      <w:pPr>
        <w:spacing w:after="0" w:line="360" w:lineRule="auto"/>
        <w:ind w:left="993" w:hanging="851"/>
        <w:jc w:val="center"/>
        <w:rPr>
          <w:rFonts w:ascii="Arial" w:eastAsia="Times New Roman" w:hAnsi="Arial" w:cs="Arial"/>
          <w:b/>
          <w:color w:val="000000" w:themeColor="text1"/>
        </w:rPr>
      </w:pPr>
    </w:p>
    <w:p w:rsidR="008F5433" w:rsidRPr="00F84C57" w:rsidRDefault="008F5433" w:rsidP="008F5433">
      <w:pPr>
        <w:spacing w:after="0" w:line="360" w:lineRule="auto"/>
        <w:ind w:left="993" w:hanging="993"/>
        <w:jc w:val="both"/>
        <w:rPr>
          <w:rFonts w:ascii="Arial" w:eastAsia="Times New Roman" w:hAnsi="Arial" w:cs="Arial"/>
          <w:b/>
          <w:lang w:val="en-US"/>
        </w:rPr>
      </w:pPr>
      <w:r>
        <w:rPr>
          <w:rFonts w:ascii="Arial" w:eastAsia="Times New Roman" w:hAnsi="Arial" w:cs="Arial"/>
          <w:b/>
          <w:lang w:val="en-US"/>
        </w:rPr>
        <w:t>20</w:t>
      </w:r>
      <w:r w:rsidRPr="00F84C57">
        <w:rPr>
          <w:rFonts w:ascii="Arial" w:eastAsia="Times New Roman" w:hAnsi="Arial" w:cs="Arial"/>
          <w:b/>
          <w:lang w:val="en-US"/>
        </w:rPr>
        <w:t>(1)</w:t>
      </w:r>
      <w:r w:rsidRPr="00F84C57">
        <w:rPr>
          <w:rFonts w:ascii="Arial" w:eastAsia="Times New Roman" w:hAnsi="Arial" w:cs="Arial"/>
          <w:b/>
          <w:lang w:val="en-US"/>
        </w:rPr>
        <w:tab/>
        <w:t>Whether her department has made an assessment on regulatory measures on (a) national, (b) provincial and (c) local government levels’ regulatory environment that might impact negatively on small, medium and micro-sized enterprises and cooperatives; if not, in each case, why not; if so, what are the (i) names and (ii) details of all (</w:t>
      </w:r>
      <w:proofErr w:type="spellStart"/>
      <w:r w:rsidRPr="00F84C57">
        <w:rPr>
          <w:rFonts w:ascii="Arial" w:eastAsia="Times New Roman" w:hAnsi="Arial" w:cs="Arial"/>
          <w:b/>
          <w:lang w:val="en-US"/>
        </w:rPr>
        <w:t>aa</w:t>
      </w:r>
      <w:proofErr w:type="spellEnd"/>
      <w:r w:rsidRPr="00F84C57">
        <w:rPr>
          <w:rFonts w:ascii="Arial" w:eastAsia="Times New Roman" w:hAnsi="Arial" w:cs="Arial"/>
          <w:b/>
          <w:lang w:val="en-US"/>
        </w:rPr>
        <w:t>) legislation and (bb) regulations assessed to date;</w:t>
      </w:r>
    </w:p>
    <w:p w:rsidR="008F5433" w:rsidRPr="00F84C57" w:rsidRDefault="008F5433" w:rsidP="008F5433">
      <w:pPr>
        <w:spacing w:after="0" w:line="360" w:lineRule="auto"/>
        <w:ind w:left="1418" w:hanging="425"/>
        <w:jc w:val="both"/>
        <w:rPr>
          <w:rFonts w:ascii="Arial" w:eastAsia="Times New Roman" w:hAnsi="Arial" w:cs="Arial"/>
          <w:b/>
          <w:lang w:val="en-US"/>
        </w:rPr>
      </w:pPr>
      <w:r w:rsidRPr="00F84C57">
        <w:rPr>
          <w:rFonts w:ascii="Arial" w:eastAsia="Times New Roman" w:hAnsi="Arial" w:cs="Arial"/>
          <w:b/>
          <w:lang w:val="en-US"/>
        </w:rPr>
        <w:t>(2)</w:t>
      </w:r>
      <w:r w:rsidRPr="00F84C57">
        <w:rPr>
          <w:rFonts w:ascii="Arial" w:eastAsia="Times New Roman" w:hAnsi="Arial" w:cs="Arial"/>
          <w:b/>
          <w:lang w:val="en-US"/>
        </w:rPr>
        <w:tab/>
        <w:t>whether her department has made an assessment to determine if the lack of gaining access to and procedures towards the (a) Small Enterprise Development Agency and (b) Small Enterprise Finance Agency by potential entrepreneurs are a contributing factor to the low success rate of small, medium and micro-sized enterprises to create sustainable jobs; if not, in each case, why not; if so, what were the outcomes of each assessment conducted in each case?”</w:t>
      </w:r>
      <w:r w:rsidRPr="00F84C57">
        <w:rPr>
          <w:rFonts w:ascii="Arial" w:eastAsia="Times New Roman" w:hAnsi="Arial" w:cs="Arial"/>
          <w:b/>
          <w:lang w:val="en-US"/>
        </w:rPr>
        <w:tab/>
      </w:r>
    </w:p>
    <w:p w:rsidR="008F5433" w:rsidRPr="00F84C57" w:rsidRDefault="008F5433" w:rsidP="008F5433">
      <w:pPr>
        <w:spacing w:after="0" w:line="360" w:lineRule="auto"/>
        <w:ind w:left="1701" w:hanging="993"/>
        <w:jc w:val="right"/>
        <w:rPr>
          <w:rFonts w:ascii="Arial" w:eastAsia="Times New Roman" w:hAnsi="Arial" w:cs="Arial"/>
          <w:b/>
          <w:color w:val="000000" w:themeColor="text1"/>
        </w:rPr>
      </w:pPr>
      <w:r w:rsidRPr="00F84C57">
        <w:rPr>
          <w:rFonts w:ascii="Arial" w:eastAsia="Times New Roman" w:hAnsi="Arial" w:cs="Arial"/>
          <w:b/>
          <w:lang w:val="en-US"/>
        </w:rPr>
        <w:t>NW</w:t>
      </w:r>
      <w:r w:rsidR="00212FE6">
        <w:rPr>
          <w:rFonts w:ascii="Arial" w:eastAsia="Times New Roman" w:hAnsi="Arial" w:cs="Arial"/>
          <w:b/>
          <w:lang w:val="en-US"/>
        </w:rPr>
        <w:t>23</w:t>
      </w:r>
      <w:bookmarkStart w:id="0" w:name="_GoBack"/>
      <w:bookmarkEnd w:id="0"/>
      <w:r w:rsidRPr="00F84C57">
        <w:rPr>
          <w:rFonts w:ascii="Arial" w:eastAsia="Times New Roman" w:hAnsi="Arial" w:cs="Arial"/>
          <w:b/>
          <w:lang w:val="en-US"/>
        </w:rPr>
        <w:t>E</w:t>
      </w:r>
    </w:p>
    <w:p w:rsidR="008F5433" w:rsidRPr="00F84C57" w:rsidRDefault="008F5433" w:rsidP="008F5433">
      <w:pPr>
        <w:spacing w:after="0" w:line="360" w:lineRule="auto"/>
        <w:ind w:left="992" w:hanging="992"/>
        <w:rPr>
          <w:rFonts w:ascii="Arial" w:eastAsia="Times New Roman" w:hAnsi="Arial" w:cs="Arial"/>
          <w:b/>
          <w:color w:val="000000" w:themeColor="text1"/>
        </w:rPr>
      </w:pPr>
      <w:r w:rsidRPr="00F84C57">
        <w:rPr>
          <w:rFonts w:ascii="Arial" w:eastAsia="Times New Roman" w:hAnsi="Arial" w:cs="Arial"/>
          <w:b/>
          <w:color w:val="000000" w:themeColor="text1"/>
        </w:rPr>
        <w:t xml:space="preserve">REPLY: </w:t>
      </w:r>
    </w:p>
    <w:p w:rsidR="008F5433" w:rsidRPr="00F84C57" w:rsidRDefault="008F5433" w:rsidP="008F5433">
      <w:pPr>
        <w:spacing w:after="0" w:line="360" w:lineRule="auto"/>
        <w:ind w:left="992" w:hanging="992"/>
        <w:rPr>
          <w:rFonts w:ascii="Arial" w:eastAsia="Times New Roman" w:hAnsi="Arial" w:cs="Arial"/>
          <w:b/>
          <w:color w:val="000000" w:themeColor="text1"/>
        </w:rPr>
      </w:pPr>
    </w:p>
    <w:p w:rsidR="008F5433" w:rsidRPr="00F84C57" w:rsidRDefault="008F5433" w:rsidP="008F5433">
      <w:pPr>
        <w:spacing w:after="0" w:line="360" w:lineRule="auto"/>
        <w:ind w:left="709" w:hanging="709"/>
        <w:jc w:val="both"/>
        <w:rPr>
          <w:rFonts w:ascii="Arial" w:hAnsi="Arial" w:cs="Arial"/>
        </w:rPr>
      </w:pPr>
      <w:r w:rsidRPr="00F84C57">
        <w:rPr>
          <w:rFonts w:ascii="Arial" w:hAnsi="Arial" w:cs="Arial"/>
        </w:rPr>
        <w:t>1.1.</w:t>
      </w:r>
      <w:r w:rsidRPr="00F84C57">
        <w:rPr>
          <w:rFonts w:ascii="Arial" w:hAnsi="Arial" w:cs="Arial"/>
        </w:rPr>
        <w:tab/>
        <w:t>The DSBD is conducting the national study on the regulatory and legislative protocols impeding small, micro and medium enterprises (SMMEs) and Co-operatives as one of the target for the 2016/17 financial year.  The research will combine analysis of the existing laws, which should point to the potential for unintended consequences, with evidence on SME experience of implementation.  For this reason, the approach to the studies has four main elements:</w:t>
      </w:r>
    </w:p>
    <w:p w:rsidR="008F5433" w:rsidRPr="00F84C57" w:rsidRDefault="008F5433" w:rsidP="008F5433">
      <w:pPr>
        <w:spacing w:after="0" w:line="360" w:lineRule="auto"/>
        <w:ind w:left="709" w:hanging="709"/>
        <w:jc w:val="both"/>
        <w:rPr>
          <w:rFonts w:ascii="Arial" w:hAnsi="Arial" w:cs="Arial"/>
        </w:rPr>
      </w:pPr>
    </w:p>
    <w:p w:rsidR="008F5433" w:rsidRPr="00F84C57" w:rsidRDefault="008F5433" w:rsidP="008F5433">
      <w:pPr>
        <w:pStyle w:val="ListParagraph"/>
        <w:numPr>
          <w:ilvl w:val="2"/>
          <w:numId w:val="1"/>
        </w:numPr>
        <w:spacing w:after="0" w:line="360" w:lineRule="auto"/>
        <w:ind w:left="1276" w:hanging="567"/>
        <w:jc w:val="both"/>
        <w:rPr>
          <w:rFonts w:ascii="Arial" w:hAnsi="Arial" w:cs="Arial"/>
        </w:rPr>
      </w:pPr>
      <w:r w:rsidRPr="00F84C57">
        <w:rPr>
          <w:rFonts w:ascii="Arial" w:hAnsi="Arial" w:cs="Arial"/>
        </w:rPr>
        <w:t>To identify practical and viable ways to reduce the administrative burden of legislation and regulations on SMMEs and Co-operatives;</w:t>
      </w:r>
    </w:p>
    <w:p w:rsidR="008F5433" w:rsidRPr="00F84C57" w:rsidRDefault="008F5433" w:rsidP="008F5433">
      <w:pPr>
        <w:pStyle w:val="ListParagraph"/>
        <w:numPr>
          <w:ilvl w:val="2"/>
          <w:numId w:val="1"/>
        </w:numPr>
        <w:spacing w:after="0" w:line="360" w:lineRule="auto"/>
        <w:ind w:left="1276" w:hanging="567"/>
        <w:jc w:val="both"/>
        <w:rPr>
          <w:rFonts w:ascii="Arial" w:hAnsi="Arial" w:cs="Arial"/>
        </w:rPr>
      </w:pPr>
      <w:r w:rsidRPr="00F84C57">
        <w:rPr>
          <w:rFonts w:ascii="Arial" w:hAnsi="Arial" w:cs="Arial"/>
        </w:rPr>
        <w:t>Analysis of the existing laws and regulations themselves in order to identify the likely costs, benefits and risks for small enterprises and other stakeholders;</w:t>
      </w:r>
    </w:p>
    <w:p w:rsidR="008F5433" w:rsidRPr="00F84C57" w:rsidRDefault="008F5433" w:rsidP="008F5433">
      <w:pPr>
        <w:pStyle w:val="ListParagraph"/>
        <w:numPr>
          <w:ilvl w:val="2"/>
          <w:numId w:val="1"/>
        </w:numPr>
        <w:spacing w:after="0" w:line="360" w:lineRule="auto"/>
        <w:ind w:left="1276" w:hanging="567"/>
        <w:jc w:val="both"/>
        <w:rPr>
          <w:rFonts w:ascii="Arial" w:hAnsi="Arial" w:cs="Arial"/>
        </w:rPr>
      </w:pPr>
      <w:r w:rsidRPr="00F84C57">
        <w:rPr>
          <w:rFonts w:ascii="Arial" w:hAnsi="Arial" w:cs="Arial"/>
        </w:rPr>
        <w:t>An evaluation of remedial options, including at least one option that would not require changes to the law or regulation; and</w:t>
      </w:r>
    </w:p>
    <w:p w:rsidR="008F5433" w:rsidRPr="00F84C57" w:rsidRDefault="008F5433" w:rsidP="008F5433">
      <w:pPr>
        <w:pStyle w:val="ListParagraph"/>
        <w:numPr>
          <w:ilvl w:val="2"/>
          <w:numId w:val="1"/>
        </w:numPr>
        <w:spacing w:after="0" w:line="360" w:lineRule="auto"/>
        <w:ind w:left="1276" w:hanging="567"/>
        <w:jc w:val="both"/>
        <w:rPr>
          <w:rFonts w:ascii="Arial" w:hAnsi="Arial" w:cs="Arial"/>
        </w:rPr>
      </w:pPr>
      <w:r w:rsidRPr="00F84C57">
        <w:rPr>
          <w:rFonts w:ascii="Arial" w:hAnsi="Arial" w:cs="Arial"/>
        </w:rPr>
        <w:lastRenderedPageBreak/>
        <w:t>An engagement strategy including the relevant departments and agencies to implement the preferred option.</w:t>
      </w:r>
    </w:p>
    <w:p w:rsidR="008F5433" w:rsidRPr="00F84C57" w:rsidRDefault="008F5433" w:rsidP="008F5433">
      <w:pPr>
        <w:pStyle w:val="ListParagraph"/>
        <w:spacing w:after="0" w:line="360" w:lineRule="auto"/>
        <w:ind w:left="1276"/>
        <w:jc w:val="both"/>
        <w:rPr>
          <w:rFonts w:ascii="Arial" w:hAnsi="Arial" w:cs="Arial"/>
        </w:rPr>
      </w:pPr>
    </w:p>
    <w:p w:rsidR="008F5433" w:rsidRPr="00F84C57" w:rsidRDefault="008F5433" w:rsidP="008F5433">
      <w:pPr>
        <w:spacing w:after="0" w:line="360" w:lineRule="auto"/>
        <w:ind w:left="709" w:hanging="709"/>
        <w:jc w:val="both"/>
        <w:rPr>
          <w:rFonts w:ascii="Arial" w:hAnsi="Arial" w:cs="Arial"/>
        </w:rPr>
      </w:pPr>
      <w:r w:rsidRPr="00F84C57">
        <w:rPr>
          <w:rFonts w:ascii="Arial" w:hAnsi="Arial" w:cs="Arial"/>
        </w:rPr>
        <w:t>1.2</w:t>
      </w:r>
      <w:r w:rsidRPr="00F84C57">
        <w:rPr>
          <w:rFonts w:ascii="Arial" w:hAnsi="Arial" w:cs="Arial"/>
        </w:rPr>
        <w:tab/>
        <w:t>The Department intends to commence with the Provincial study to assess regulations affecting SMMEs and Co-operatives within the 2017/18 financial year.</w:t>
      </w:r>
    </w:p>
    <w:p w:rsidR="008F5433" w:rsidRPr="00F84C57" w:rsidRDefault="008F5433" w:rsidP="008F5433">
      <w:pPr>
        <w:spacing w:after="0" w:line="360" w:lineRule="auto"/>
        <w:ind w:left="709" w:hanging="709"/>
        <w:jc w:val="both"/>
        <w:rPr>
          <w:rFonts w:ascii="Arial" w:hAnsi="Arial" w:cs="Arial"/>
        </w:rPr>
      </w:pPr>
    </w:p>
    <w:p w:rsidR="008F5433" w:rsidRPr="00F84C57" w:rsidRDefault="008F5433" w:rsidP="008F5433">
      <w:pPr>
        <w:pStyle w:val="ListParagraph"/>
        <w:spacing w:after="0" w:line="360" w:lineRule="auto"/>
        <w:ind w:left="709" w:hanging="709"/>
        <w:jc w:val="both"/>
        <w:rPr>
          <w:rFonts w:ascii="Arial" w:hAnsi="Arial" w:cs="Arial"/>
        </w:rPr>
      </w:pPr>
      <w:r w:rsidRPr="00F84C57">
        <w:rPr>
          <w:rFonts w:ascii="Arial" w:hAnsi="Arial" w:cs="Arial"/>
        </w:rPr>
        <w:t>1.3</w:t>
      </w:r>
      <w:r w:rsidRPr="00F84C57">
        <w:rPr>
          <w:rFonts w:ascii="Arial" w:hAnsi="Arial" w:cs="Arial"/>
        </w:rPr>
        <w:tab/>
        <w:t xml:space="preserve">The Department as part of the Local government Red Tape Reduction Programme has been conducting an assessment on the implementation of the National Red Tape Reduction Guidelines; this is currently being conducted in four municipalities in the Free State and KwaZulu-Natal.  The assessment was based on the critical red tape issues as listed on the National Red Tape Guidelines including, but not limited to: </w:t>
      </w:r>
    </w:p>
    <w:p w:rsidR="008F5433" w:rsidRPr="00F84C57" w:rsidRDefault="008F5433" w:rsidP="008F5433">
      <w:pPr>
        <w:pStyle w:val="ListParagraph"/>
        <w:spacing w:after="0" w:line="360" w:lineRule="auto"/>
        <w:ind w:left="709" w:hanging="709"/>
        <w:jc w:val="both"/>
        <w:rPr>
          <w:rFonts w:ascii="Arial" w:hAnsi="Arial" w:cs="Arial"/>
        </w:rPr>
      </w:pPr>
    </w:p>
    <w:p w:rsidR="008F5433" w:rsidRPr="00F84C57" w:rsidRDefault="008F5433" w:rsidP="008F5433">
      <w:pPr>
        <w:pStyle w:val="ListParagraph"/>
        <w:numPr>
          <w:ilvl w:val="2"/>
          <w:numId w:val="2"/>
        </w:numPr>
        <w:spacing w:after="0" w:line="360" w:lineRule="auto"/>
        <w:ind w:left="1276" w:hanging="567"/>
        <w:jc w:val="both"/>
        <w:rPr>
          <w:rFonts w:ascii="Arial" w:hAnsi="Arial" w:cs="Arial"/>
        </w:rPr>
      </w:pPr>
      <w:r w:rsidRPr="00F84C57">
        <w:rPr>
          <w:rFonts w:ascii="Arial" w:hAnsi="Arial" w:cs="Arial"/>
        </w:rPr>
        <w:t>Lengthy and inefficient supply chain management processes (which ultimately affects the 30-day payment system to SMMEs and Co-operatives and non-compliance with section 38 (1) (f) of the MFMA as aligned to the PFMA and Treasury Regulations 8.2.3);</w:t>
      </w:r>
    </w:p>
    <w:p w:rsidR="008F5433" w:rsidRPr="00F84C57" w:rsidRDefault="008F5433" w:rsidP="008F5433">
      <w:pPr>
        <w:pStyle w:val="ListParagraph"/>
        <w:numPr>
          <w:ilvl w:val="2"/>
          <w:numId w:val="2"/>
        </w:numPr>
        <w:spacing w:after="0" w:line="360" w:lineRule="auto"/>
        <w:ind w:left="1276" w:hanging="567"/>
        <w:jc w:val="both"/>
        <w:rPr>
          <w:rFonts w:ascii="Arial" w:hAnsi="Arial" w:cs="Arial"/>
        </w:rPr>
      </w:pPr>
      <w:r w:rsidRPr="00F84C57">
        <w:rPr>
          <w:rFonts w:ascii="Arial" w:hAnsi="Arial" w:cs="Arial"/>
        </w:rPr>
        <w:t>An assessment of existing municipal by-laws and which are relevant to SMMEs and Co-operatives. The municipalities need to review  by-laws every five year period as per Municipal Systems Act (MSA) (No. 32 of 2000); and</w:t>
      </w:r>
    </w:p>
    <w:p w:rsidR="008F5433" w:rsidRPr="00F84C57" w:rsidRDefault="008F5433" w:rsidP="008F5433">
      <w:pPr>
        <w:pStyle w:val="ListParagraph"/>
        <w:numPr>
          <w:ilvl w:val="2"/>
          <w:numId w:val="2"/>
        </w:numPr>
        <w:spacing w:after="0" w:line="360" w:lineRule="auto"/>
        <w:ind w:left="1276" w:hanging="567"/>
        <w:jc w:val="both"/>
        <w:rPr>
          <w:rFonts w:ascii="Arial" w:hAnsi="Arial" w:cs="Arial"/>
        </w:rPr>
      </w:pPr>
      <w:r w:rsidRPr="00F84C57">
        <w:rPr>
          <w:rFonts w:ascii="Arial" w:hAnsi="Arial" w:cs="Arial"/>
        </w:rPr>
        <w:t xml:space="preserve">Assessment of business registrations and permits in order to identify red tape issues in relation to starting the business and also the compliance with all the requirements as set out within the Business Act No. 71 of 1992 and as amended No. 186 of 1993. </w:t>
      </w:r>
    </w:p>
    <w:p w:rsidR="008F5433" w:rsidRPr="00F84C57" w:rsidRDefault="008F5433" w:rsidP="008F5433">
      <w:pPr>
        <w:pStyle w:val="ListParagraph"/>
        <w:spacing w:after="0" w:line="360" w:lineRule="auto"/>
        <w:ind w:left="1276"/>
        <w:jc w:val="both"/>
        <w:rPr>
          <w:rFonts w:ascii="Arial" w:hAnsi="Arial" w:cs="Arial"/>
        </w:rPr>
      </w:pPr>
    </w:p>
    <w:p w:rsidR="008F5433" w:rsidRPr="00F84C57" w:rsidRDefault="008F5433" w:rsidP="008F5433">
      <w:pPr>
        <w:tabs>
          <w:tab w:val="left" w:pos="709"/>
        </w:tabs>
        <w:spacing w:after="0" w:line="360" w:lineRule="auto"/>
        <w:ind w:left="709" w:hanging="709"/>
        <w:jc w:val="both"/>
        <w:rPr>
          <w:rFonts w:ascii="Arial" w:hAnsi="Arial" w:cs="Arial"/>
          <w:lang w:val="en-US"/>
        </w:rPr>
      </w:pPr>
      <w:r w:rsidRPr="00F84C57">
        <w:rPr>
          <w:rFonts w:ascii="Arial" w:hAnsi="Arial" w:cs="Arial"/>
        </w:rPr>
        <w:t>1.4</w:t>
      </w:r>
      <w:r w:rsidRPr="00F84C57">
        <w:rPr>
          <w:rFonts w:ascii="Arial" w:hAnsi="Arial" w:cs="Arial"/>
        </w:rPr>
        <w:tab/>
        <w:t xml:space="preserve">The department </w:t>
      </w:r>
      <w:r w:rsidRPr="00F84C57">
        <w:rPr>
          <w:rFonts w:ascii="Arial" w:hAnsi="Arial" w:cs="Arial"/>
          <w:lang w:val="en-US"/>
        </w:rPr>
        <w:t xml:space="preserve">of Trade and Industry working with the National Small Business Council has in its work during 2008 to 2010 </w:t>
      </w:r>
      <w:r w:rsidRPr="00F84C57">
        <w:rPr>
          <w:rFonts w:ascii="Arial" w:hAnsi="Arial" w:cs="Arial"/>
        </w:rPr>
        <w:t>been more involved in regulatory environment related work.</w:t>
      </w:r>
      <w:r w:rsidRPr="00F84C57">
        <w:rPr>
          <w:rFonts w:ascii="Arial" w:hAnsi="Arial" w:cs="Arial"/>
          <w:lang w:val="en-US"/>
        </w:rPr>
        <w:t xml:space="preserve"> This was upon the 2007 Cabinet’s approval of the Regulatory Impact Assessment (RIA) Framework followed by guidelines for RIA, a tool used to analyze objectives of regulatory proposals and respective unintended consequences.  Initially this focused on national and provincial regulatory regime.  Regulatory and administrative bureaucracy /red tape areas that received attention in this period and pertinent to the small business sector have been; business registration, access to finance and access to markets.  In the municipal ordinances and by-laws focus has been on trading licenses and business registration as well as street trading and trading hours.  No recent studies </w:t>
      </w:r>
      <w:r w:rsidRPr="00F84C57">
        <w:rPr>
          <w:rFonts w:ascii="Arial" w:hAnsi="Arial" w:cs="Arial"/>
          <w:lang w:val="en-US"/>
        </w:rPr>
        <w:lastRenderedPageBreak/>
        <w:t>have been done by the Department of Small Business Development, however, stakeholder engagements as recently held in the current process of the review of the Small Business Act have elicited input on regulatory impact areas that still need to be addressed.</w:t>
      </w:r>
    </w:p>
    <w:p w:rsidR="008F5433" w:rsidRPr="00F84C57" w:rsidRDefault="008F5433" w:rsidP="008F5433">
      <w:pPr>
        <w:tabs>
          <w:tab w:val="left" w:pos="709"/>
        </w:tabs>
        <w:spacing w:after="0" w:line="360" w:lineRule="auto"/>
        <w:ind w:left="709" w:hanging="709"/>
        <w:jc w:val="both"/>
        <w:rPr>
          <w:rFonts w:ascii="Arial" w:hAnsi="Arial" w:cs="Arial"/>
        </w:rPr>
      </w:pPr>
    </w:p>
    <w:p w:rsidR="008F5433" w:rsidRPr="00F84C57" w:rsidRDefault="008F5433" w:rsidP="008F5433">
      <w:pPr>
        <w:spacing w:after="0" w:line="360" w:lineRule="auto"/>
        <w:ind w:left="709" w:hanging="709"/>
        <w:jc w:val="both"/>
        <w:rPr>
          <w:rFonts w:ascii="Arial" w:eastAsia="Times New Roman" w:hAnsi="Arial" w:cs="Arial"/>
          <w:color w:val="000000" w:themeColor="text1"/>
        </w:rPr>
      </w:pPr>
      <w:r w:rsidRPr="00F84C57">
        <w:rPr>
          <w:rFonts w:ascii="Arial" w:eastAsia="Times New Roman" w:hAnsi="Arial" w:cs="Arial"/>
          <w:color w:val="000000" w:themeColor="text1"/>
        </w:rPr>
        <w:t>2.</w:t>
      </w:r>
      <w:r w:rsidRPr="00F84C57">
        <w:rPr>
          <w:rFonts w:ascii="Arial" w:eastAsia="Times New Roman" w:hAnsi="Arial" w:cs="Arial"/>
          <w:color w:val="000000" w:themeColor="text1"/>
        </w:rPr>
        <w:tab/>
        <w:t xml:space="preserve">The </w:t>
      </w:r>
      <w:r w:rsidRPr="00F84C57">
        <w:rPr>
          <w:rFonts w:ascii="Arial" w:hAnsi="Arial" w:cs="Arial"/>
        </w:rPr>
        <w:t xml:space="preserve">Department has not made an assessment of the possible impact that the lack of access to SEDA and SEFA by potential entrepreneurs may have on the success rate of small, medium and micro-sized enterprises to create sustainable jobs.  </w:t>
      </w:r>
    </w:p>
    <w:p w:rsidR="008F5433" w:rsidRPr="00F84C57" w:rsidRDefault="008F5433" w:rsidP="008F5433">
      <w:pPr>
        <w:pStyle w:val="ListParagraph"/>
        <w:spacing w:after="0" w:line="360" w:lineRule="auto"/>
        <w:ind w:left="1440"/>
        <w:jc w:val="both"/>
        <w:rPr>
          <w:rFonts w:ascii="Arial" w:eastAsia="Times New Roman" w:hAnsi="Arial" w:cs="Arial"/>
          <w:color w:val="000000" w:themeColor="text1"/>
        </w:rPr>
      </w:pPr>
    </w:p>
    <w:p w:rsidR="008F5433" w:rsidRPr="00F84C57" w:rsidRDefault="008F5433" w:rsidP="008F5433">
      <w:pPr>
        <w:spacing w:after="0" w:line="360" w:lineRule="auto"/>
        <w:ind w:left="1440" w:hanging="589"/>
        <w:jc w:val="both"/>
        <w:rPr>
          <w:rFonts w:ascii="Arial" w:eastAsia="Times New Roman" w:hAnsi="Arial" w:cs="Arial"/>
          <w:color w:val="000000" w:themeColor="text1"/>
        </w:rPr>
      </w:pPr>
      <w:r w:rsidRPr="00F84C57">
        <w:rPr>
          <w:rFonts w:ascii="Arial" w:eastAsia="Times New Roman" w:hAnsi="Arial" w:cs="Arial"/>
          <w:color w:val="000000" w:themeColor="text1"/>
        </w:rPr>
        <w:t>2.1</w:t>
      </w:r>
      <w:r w:rsidRPr="00F84C57">
        <w:rPr>
          <w:rFonts w:ascii="Arial" w:eastAsia="Times New Roman" w:hAnsi="Arial" w:cs="Arial"/>
          <w:color w:val="000000" w:themeColor="text1"/>
        </w:rPr>
        <w:tab/>
        <w:t xml:space="preserve">The DSBD has however conducted and concluded the 2014 Annual Review of SMMEs and Cooperatives in South Africa which assess the constraints and enablers for SMME and Cooperatives growth sector-wide and not just specifically on the role of SEDA and SEFA. </w:t>
      </w:r>
    </w:p>
    <w:p w:rsidR="008F5433" w:rsidRPr="00F84C57" w:rsidRDefault="008F5433" w:rsidP="008F5433">
      <w:pPr>
        <w:pStyle w:val="ListParagraph"/>
        <w:spacing w:after="0" w:line="360" w:lineRule="auto"/>
        <w:ind w:left="1440"/>
        <w:jc w:val="both"/>
        <w:rPr>
          <w:rFonts w:ascii="Arial" w:eastAsia="Times New Roman" w:hAnsi="Arial" w:cs="Arial"/>
          <w:color w:val="000000" w:themeColor="text1"/>
        </w:rPr>
      </w:pPr>
    </w:p>
    <w:p w:rsidR="008F5433" w:rsidRPr="00F84C57" w:rsidRDefault="008F5433" w:rsidP="008F5433">
      <w:pPr>
        <w:pStyle w:val="ListParagraph"/>
        <w:spacing w:after="0" w:line="360" w:lineRule="auto"/>
        <w:ind w:left="1440" w:hanging="589"/>
        <w:jc w:val="both"/>
        <w:rPr>
          <w:rFonts w:ascii="Arial" w:eastAsia="Times New Roman" w:hAnsi="Arial" w:cs="Arial"/>
          <w:color w:val="000000" w:themeColor="text1"/>
        </w:rPr>
      </w:pPr>
      <w:r w:rsidRPr="00F84C57">
        <w:rPr>
          <w:rFonts w:ascii="Arial" w:eastAsia="Times New Roman" w:hAnsi="Arial" w:cs="Arial"/>
          <w:color w:val="000000" w:themeColor="text1"/>
        </w:rPr>
        <w:t>2.2</w:t>
      </w:r>
      <w:r w:rsidRPr="00F84C57">
        <w:rPr>
          <w:rFonts w:ascii="Arial" w:eastAsia="Times New Roman" w:hAnsi="Arial" w:cs="Arial"/>
          <w:color w:val="000000" w:themeColor="text1"/>
        </w:rPr>
        <w:tab/>
        <w:t>The 2014 Annual SMME Review which the Department is yet to publish shows that:</w:t>
      </w:r>
    </w:p>
    <w:p w:rsidR="008F5433" w:rsidRPr="00F84C57" w:rsidRDefault="008F5433" w:rsidP="008F5433">
      <w:pPr>
        <w:pStyle w:val="ListParagraph"/>
        <w:spacing w:after="0" w:line="360" w:lineRule="auto"/>
        <w:ind w:left="1440"/>
        <w:jc w:val="both"/>
        <w:rPr>
          <w:rFonts w:ascii="Arial" w:eastAsia="Times New Roman" w:hAnsi="Arial" w:cs="Arial"/>
          <w:color w:val="000000" w:themeColor="text1"/>
        </w:rPr>
      </w:pPr>
    </w:p>
    <w:p w:rsidR="008F5433" w:rsidRPr="00F84C57" w:rsidRDefault="008F5433" w:rsidP="008F5433">
      <w:pPr>
        <w:pStyle w:val="ListParagraph"/>
        <w:numPr>
          <w:ilvl w:val="2"/>
          <w:numId w:val="3"/>
        </w:numPr>
        <w:spacing w:after="0" w:line="360" w:lineRule="auto"/>
        <w:ind w:left="2127" w:hanging="709"/>
        <w:jc w:val="both"/>
        <w:rPr>
          <w:rFonts w:ascii="Arial" w:hAnsi="Arial" w:cs="Arial"/>
        </w:rPr>
      </w:pPr>
      <w:r w:rsidRPr="00F84C57">
        <w:rPr>
          <w:rFonts w:ascii="Arial" w:hAnsi="Arial" w:cs="Arial"/>
        </w:rPr>
        <w:t>South Africa boasts a wide range of public and private sector small business support institutions, presently estimated at around 214 in total, providing a variety of support services.</w:t>
      </w:r>
    </w:p>
    <w:p w:rsidR="008F5433" w:rsidRPr="00F84C57" w:rsidRDefault="008F5433" w:rsidP="008F5433">
      <w:pPr>
        <w:pStyle w:val="ListParagraph"/>
        <w:numPr>
          <w:ilvl w:val="2"/>
          <w:numId w:val="3"/>
        </w:numPr>
        <w:spacing w:after="0" w:line="360" w:lineRule="auto"/>
        <w:ind w:left="2127" w:hanging="709"/>
        <w:jc w:val="both"/>
        <w:rPr>
          <w:rFonts w:ascii="Arial" w:hAnsi="Arial" w:cs="Arial"/>
        </w:rPr>
      </w:pPr>
      <w:r w:rsidRPr="00F84C57">
        <w:rPr>
          <w:rFonts w:ascii="Arial" w:hAnsi="Arial" w:cs="Arial"/>
        </w:rPr>
        <w:t xml:space="preserve">While the comprehensiveness of the range of support services is generally acknowledged, these services tend to be fragmented or unintegrated and the quality of some of the services, particularly business advisory services, is continuously being questioned.  </w:t>
      </w:r>
    </w:p>
    <w:p w:rsidR="008F5433" w:rsidRPr="00F84C57" w:rsidRDefault="008F5433" w:rsidP="008F5433">
      <w:pPr>
        <w:pStyle w:val="ListParagraph"/>
        <w:numPr>
          <w:ilvl w:val="2"/>
          <w:numId w:val="3"/>
        </w:numPr>
        <w:spacing w:after="0" w:line="360" w:lineRule="auto"/>
        <w:ind w:left="2127" w:hanging="709"/>
        <w:jc w:val="both"/>
        <w:rPr>
          <w:rFonts w:ascii="Arial" w:hAnsi="Arial" w:cs="Arial"/>
        </w:rPr>
      </w:pPr>
      <w:r w:rsidRPr="00F84C57">
        <w:rPr>
          <w:rFonts w:ascii="Arial" w:hAnsi="Arial" w:cs="Arial"/>
        </w:rPr>
        <w:t>The 2008-2014 period was characterised by considerably difficult external economic conditions, with generally subdued overall growth performance, high lending rates, falling business and consumer confidence resulting in slowing demand and weakened capacity utilisation in the private sector. These tough trading conditions undoubtedly have impacted the business prospects and performance of SMMEs.</w:t>
      </w:r>
    </w:p>
    <w:p w:rsidR="008F5433" w:rsidRPr="00F84C57" w:rsidRDefault="008F5433" w:rsidP="008F5433">
      <w:pPr>
        <w:pStyle w:val="ListParagraph"/>
        <w:numPr>
          <w:ilvl w:val="2"/>
          <w:numId w:val="3"/>
        </w:numPr>
        <w:spacing w:after="0" w:line="360" w:lineRule="auto"/>
        <w:ind w:left="2127" w:hanging="709"/>
        <w:jc w:val="both"/>
        <w:rPr>
          <w:rFonts w:ascii="Arial" w:hAnsi="Arial" w:cs="Arial"/>
        </w:rPr>
      </w:pPr>
      <w:r w:rsidRPr="00F84C57">
        <w:rPr>
          <w:rFonts w:ascii="Arial" w:hAnsi="Arial" w:cs="Arial"/>
        </w:rPr>
        <w:t>There has been an increase in the number of SMMEs and Cooperatives from 512 518 in 2007 to 1 155 854 in 2013, an overall growth rate of 14.4%.</w:t>
      </w:r>
    </w:p>
    <w:p w:rsidR="008F5433" w:rsidRPr="00F84C57" w:rsidRDefault="008F5433" w:rsidP="008F5433">
      <w:pPr>
        <w:pStyle w:val="ListParagraph"/>
        <w:numPr>
          <w:ilvl w:val="2"/>
          <w:numId w:val="3"/>
        </w:numPr>
        <w:spacing w:after="0" w:line="360" w:lineRule="auto"/>
        <w:ind w:left="2127" w:hanging="709"/>
        <w:jc w:val="both"/>
        <w:rPr>
          <w:rFonts w:ascii="Arial" w:hAnsi="Arial" w:cs="Arial"/>
        </w:rPr>
      </w:pPr>
      <w:r w:rsidRPr="00F84C57">
        <w:rPr>
          <w:rFonts w:ascii="Arial" w:hAnsi="Arial" w:cs="Arial"/>
        </w:rPr>
        <w:lastRenderedPageBreak/>
        <w:t xml:space="preserve">Bankruptcies, liquidations and insolvencies increased during the economic downturn from 2314 in 2007, to 4763 in 2008, 6078 in 2009; but have since dropped to 3189 in Q1 or 2013. </w:t>
      </w:r>
    </w:p>
    <w:p w:rsidR="008F5433" w:rsidRPr="00F84C57" w:rsidRDefault="008F5433" w:rsidP="008F5433">
      <w:pPr>
        <w:pStyle w:val="ListParagraph"/>
        <w:numPr>
          <w:ilvl w:val="2"/>
          <w:numId w:val="3"/>
        </w:numPr>
        <w:spacing w:after="0" w:line="360" w:lineRule="auto"/>
        <w:ind w:left="2127" w:hanging="709"/>
        <w:jc w:val="both"/>
        <w:rPr>
          <w:rFonts w:ascii="Arial" w:hAnsi="Arial" w:cs="Arial"/>
          <w:lang w:val="en-US"/>
        </w:rPr>
      </w:pPr>
      <w:r w:rsidRPr="00F84C57">
        <w:rPr>
          <w:rFonts w:ascii="Arial" w:hAnsi="Arial" w:cs="Arial"/>
        </w:rPr>
        <w:t>Lack of skilled staff are the main challenges faced by all SMMEs, followed by lack of finance and burdensome regulations.</w:t>
      </w:r>
    </w:p>
    <w:p w:rsidR="008F5433" w:rsidRPr="00F84C57" w:rsidRDefault="008F5433" w:rsidP="008F5433">
      <w:pPr>
        <w:pStyle w:val="ListParagraph"/>
        <w:spacing w:after="0" w:line="360" w:lineRule="auto"/>
        <w:ind w:left="2127" w:hanging="709"/>
        <w:jc w:val="both"/>
        <w:rPr>
          <w:rFonts w:ascii="Arial" w:eastAsia="Times New Roman" w:hAnsi="Arial" w:cs="Arial"/>
          <w:color w:val="000000" w:themeColor="text1"/>
        </w:rPr>
      </w:pPr>
    </w:p>
    <w:p w:rsidR="008F5433" w:rsidRPr="00F84C57" w:rsidRDefault="008F5433" w:rsidP="008F5433">
      <w:pPr>
        <w:spacing w:after="0" w:line="360" w:lineRule="auto"/>
        <w:ind w:left="1418" w:hanging="567"/>
        <w:jc w:val="both"/>
        <w:rPr>
          <w:rFonts w:ascii="Arial" w:hAnsi="Arial" w:cs="Arial"/>
        </w:rPr>
      </w:pPr>
      <w:r w:rsidRPr="00F84C57">
        <w:rPr>
          <w:rFonts w:ascii="Arial" w:hAnsi="Arial" w:cs="Arial"/>
        </w:rPr>
        <w:t>2.3</w:t>
      </w:r>
      <w:r w:rsidRPr="00F84C57">
        <w:rPr>
          <w:rFonts w:ascii="Arial" w:hAnsi="Arial" w:cs="Arial"/>
        </w:rPr>
        <w:tab/>
        <w:t>The Department’s application for its ‘Integrated Strategy for the Promotion of Entrepreneurship and Enterprise Development’ to be included in the National Evaluation Programme has been approved by DPME.  The evaluation of the Integrated Strategy will enable the Department to assess the impact of the interventions outlined in the Strategy as well as the impact of the Institutions, (particularly SEDA) that were to implement these interventions and programmes.</w:t>
      </w:r>
    </w:p>
    <w:p w:rsidR="008F5433" w:rsidRPr="00F84C57" w:rsidRDefault="008F5433" w:rsidP="008F5433">
      <w:pPr>
        <w:pStyle w:val="ListParagraph"/>
        <w:spacing w:after="0" w:line="360" w:lineRule="auto"/>
        <w:ind w:left="1440"/>
        <w:jc w:val="both"/>
        <w:rPr>
          <w:rFonts w:ascii="Arial" w:hAnsi="Arial" w:cs="Arial"/>
        </w:rPr>
      </w:pPr>
    </w:p>
    <w:p w:rsidR="008F5433" w:rsidRPr="00F84C57" w:rsidRDefault="008F5433" w:rsidP="008F5433">
      <w:pPr>
        <w:pStyle w:val="ListParagraph"/>
        <w:spacing w:after="0" w:line="360" w:lineRule="auto"/>
        <w:ind w:left="1418" w:hanging="567"/>
        <w:jc w:val="both"/>
        <w:rPr>
          <w:rFonts w:ascii="Arial" w:hAnsi="Arial" w:cs="Arial"/>
        </w:rPr>
      </w:pPr>
      <w:r w:rsidRPr="00F84C57">
        <w:rPr>
          <w:rFonts w:ascii="Arial" w:hAnsi="Arial" w:cs="Arial"/>
        </w:rPr>
        <w:t>2.4</w:t>
      </w:r>
      <w:r w:rsidRPr="00F84C57">
        <w:rPr>
          <w:rFonts w:ascii="Arial" w:hAnsi="Arial" w:cs="Arial"/>
        </w:rPr>
        <w:tab/>
        <w:t xml:space="preserve">The Department together with SEDA and SEFA has also embarked on the 2016 Annual Review of Small Business and Cooperatives in South Africa and may also use this study to focus on the accessibility and procedures of SEDA and SEFA by potential entrepreneurs to determine if this is a </w:t>
      </w:r>
      <w:r w:rsidRPr="00F84C57">
        <w:rPr>
          <w:rFonts w:ascii="Arial" w:eastAsia="Calibri" w:hAnsi="Arial" w:cs="Arial"/>
        </w:rPr>
        <w:t>contributing</w:t>
      </w:r>
      <w:r w:rsidRPr="00F84C57">
        <w:rPr>
          <w:rFonts w:ascii="Arial" w:hAnsi="Arial" w:cs="Arial"/>
        </w:rPr>
        <w:t xml:space="preserve"> factor to the low success rate of small, medium and micro-sized enterprises to create sustainable jobs. </w:t>
      </w:r>
    </w:p>
    <w:p w:rsidR="008F5433" w:rsidRPr="00F84C57" w:rsidRDefault="008F5433" w:rsidP="008F5433">
      <w:pPr>
        <w:pStyle w:val="ListParagraph"/>
        <w:spacing w:after="0" w:line="360" w:lineRule="auto"/>
        <w:ind w:left="1418" w:hanging="567"/>
        <w:jc w:val="both"/>
        <w:rPr>
          <w:rFonts w:ascii="Arial" w:hAnsi="Arial" w:cs="Arial"/>
        </w:rPr>
      </w:pPr>
    </w:p>
    <w:p w:rsidR="008F5433" w:rsidRPr="00F84C57" w:rsidRDefault="008F5433" w:rsidP="008F5433">
      <w:pPr>
        <w:pStyle w:val="ListParagraph"/>
        <w:spacing w:after="0" w:line="360" w:lineRule="auto"/>
        <w:ind w:left="851" w:hanging="851"/>
        <w:jc w:val="both"/>
        <w:rPr>
          <w:rFonts w:ascii="Arial" w:hAnsi="Arial" w:cs="Arial"/>
        </w:rPr>
      </w:pPr>
      <w:proofErr w:type="gramStart"/>
      <w:r w:rsidRPr="00F84C57">
        <w:rPr>
          <w:rFonts w:ascii="Arial" w:hAnsi="Arial" w:cs="Arial"/>
        </w:rPr>
        <w:t>2.(</w:t>
      </w:r>
      <w:proofErr w:type="gramEnd"/>
      <w:r w:rsidRPr="00F84C57">
        <w:rPr>
          <w:rFonts w:ascii="Arial" w:hAnsi="Arial" w:cs="Arial"/>
        </w:rPr>
        <w:t>a)</w:t>
      </w:r>
      <w:r w:rsidRPr="00F84C57">
        <w:rPr>
          <w:rFonts w:ascii="Arial" w:hAnsi="Arial" w:cs="Arial"/>
        </w:rPr>
        <w:tab/>
        <w:t xml:space="preserve">There is extensive literature on factors resulting in the low success rate of small enterprises. </w:t>
      </w:r>
      <w:proofErr w:type="spellStart"/>
      <w:r w:rsidRPr="00F84C57">
        <w:rPr>
          <w:rFonts w:ascii="Arial" w:hAnsi="Arial" w:cs="Arial"/>
        </w:rPr>
        <w:t>Seda</w:t>
      </w:r>
      <w:proofErr w:type="spellEnd"/>
      <w:r w:rsidRPr="00F84C57">
        <w:rPr>
          <w:rFonts w:ascii="Arial" w:hAnsi="Arial" w:cs="Arial"/>
        </w:rPr>
        <w:t xml:space="preserve"> continues to contribute to research work in this regard, especially through its annual contribution to the research focus on South Africa in the GEM report (</w:t>
      </w:r>
      <w:proofErr w:type="spellStart"/>
      <w:r w:rsidRPr="00F84C57">
        <w:rPr>
          <w:rFonts w:ascii="Arial" w:hAnsi="Arial" w:cs="Arial"/>
        </w:rPr>
        <w:t>Seda</w:t>
      </w:r>
      <w:proofErr w:type="spellEnd"/>
      <w:r w:rsidRPr="00F84C57">
        <w:rPr>
          <w:rFonts w:ascii="Arial" w:hAnsi="Arial" w:cs="Arial"/>
        </w:rPr>
        <w:t xml:space="preserve"> is one of the main funders).  Findings in this report cite access to non-financial and financial business development support as well as access to markets as the key critical success factors for small businesses.  The recommendations from these periodic reviews highlight the need for coordinated support and utilising other means toward better access to support, such as; co-location among development support agencies to increase their geographical coverage and pool resources for office presence in as many needy parts within a district municipality jurisdiction.  Provision of infrastructure resources in municipality infrastructure plans as part of their Local Economic Development plans and exploring possibilities for partnership with the private sector as part of their Enterprise Support Initiatives to accommodate development support agencies.</w:t>
      </w:r>
    </w:p>
    <w:p w:rsidR="008F5433" w:rsidRPr="00F84C57" w:rsidRDefault="008F5433" w:rsidP="008F5433">
      <w:pPr>
        <w:pStyle w:val="ListParagraph"/>
        <w:spacing w:after="0" w:line="360" w:lineRule="auto"/>
        <w:ind w:left="851" w:hanging="851"/>
        <w:jc w:val="both"/>
        <w:rPr>
          <w:rFonts w:ascii="Arial" w:hAnsi="Arial" w:cs="Arial"/>
        </w:rPr>
      </w:pPr>
    </w:p>
    <w:p w:rsidR="008F5433" w:rsidRPr="00F84C57" w:rsidRDefault="008F5433" w:rsidP="008F5433">
      <w:pPr>
        <w:pStyle w:val="ListParagraph"/>
        <w:spacing w:after="0" w:line="360" w:lineRule="auto"/>
        <w:ind w:left="851"/>
        <w:jc w:val="both"/>
        <w:rPr>
          <w:rFonts w:ascii="Arial" w:hAnsi="Arial" w:cs="Arial"/>
        </w:rPr>
      </w:pPr>
      <w:r w:rsidRPr="00F84C57">
        <w:rPr>
          <w:rFonts w:ascii="Arial" w:hAnsi="Arial" w:cs="Arial"/>
        </w:rPr>
        <w:t xml:space="preserve">SEDA currently proactively identifies partners to pool resources in order to expand its co-location points.  As at the end of June 2016, SEDA has established a network of 55 branches, and 35 co-location points.  In 2017, SEDA will conduct a study to identify underserviced areas in order to plan for new access points and support modalities.  In 2016, SEDA has done a study on the township SMME environment as is currently piloting a model of how to assist rural &amp; township enterprises in </w:t>
      </w:r>
      <w:proofErr w:type="spellStart"/>
      <w:r w:rsidRPr="00F84C57">
        <w:rPr>
          <w:rFonts w:ascii="Arial" w:hAnsi="Arial" w:cs="Arial"/>
        </w:rPr>
        <w:t>Hartwater</w:t>
      </w:r>
      <w:proofErr w:type="spellEnd"/>
      <w:r w:rsidRPr="00F84C57">
        <w:rPr>
          <w:rFonts w:ascii="Arial" w:hAnsi="Arial" w:cs="Arial"/>
        </w:rPr>
        <w:t xml:space="preserve"> (</w:t>
      </w:r>
      <w:proofErr w:type="spellStart"/>
      <w:r w:rsidRPr="00F84C57">
        <w:rPr>
          <w:rFonts w:ascii="Arial" w:hAnsi="Arial" w:cs="Arial"/>
        </w:rPr>
        <w:t>PhokwaneMunicipality</w:t>
      </w:r>
      <w:proofErr w:type="spellEnd"/>
      <w:r w:rsidRPr="00F84C57">
        <w:rPr>
          <w:rFonts w:ascii="Arial" w:hAnsi="Arial" w:cs="Arial"/>
        </w:rPr>
        <w:t xml:space="preserve">), </w:t>
      </w:r>
      <w:proofErr w:type="spellStart"/>
      <w:r w:rsidRPr="00F84C57">
        <w:rPr>
          <w:rFonts w:ascii="Arial" w:hAnsi="Arial" w:cs="Arial"/>
        </w:rPr>
        <w:t>Phillipi</w:t>
      </w:r>
      <w:proofErr w:type="spellEnd"/>
      <w:r w:rsidRPr="00F84C57">
        <w:rPr>
          <w:rFonts w:ascii="Arial" w:hAnsi="Arial" w:cs="Arial"/>
        </w:rPr>
        <w:t xml:space="preserve">, </w:t>
      </w:r>
      <w:proofErr w:type="spellStart"/>
      <w:r w:rsidRPr="00F84C57">
        <w:rPr>
          <w:rFonts w:ascii="Arial" w:hAnsi="Arial" w:cs="Arial"/>
        </w:rPr>
        <w:t>KwaNobuhle</w:t>
      </w:r>
      <w:proofErr w:type="spellEnd"/>
      <w:r w:rsidRPr="00F84C57">
        <w:rPr>
          <w:rFonts w:ascii="Arial" w:hAnsi="Arial" w:cs="Arial"/>
        </w:rPr>
        <w:t xml:space="preserve"> (</w:t>
      </w:r>
      <w:proofErr w:type="spellStart"/>
      <w:r w:rsidRPr="00F84C57">
        <w:rPr>
          <w:rFonts w:ascii="Arial" w:hAnsi="Arial" w:cs="Arial"/>
        </w:rPr>
        <w:t>Uitenhage</w:t>
      </w:r>
      <w:proofErr w:type="spellEnd"/>
      <w:r w:rsidRPr="00F84C57">
        <w:rPr>
          <w:rFonts w:ascii="Arial" w:hAnsi="Arial" w:cs="Arial"/>
        </w:rPr>
        <w:t xml:space="preserve">) and </w:t>
      </w:r>
      <w:proofErr w:type="spellStart"/>
      <w:r w:rsidRPr="00F84C57">
        <w:rPr>
          <w:rFonts w:ascii="Arial" w:hAnsi="Arial" w:cs="Arial"/>
        </w:rPr>
        <w:t>Oakney</w:t>
      </w:r>
      <w:proofErr w:type="spellEnd"/>
      <w:r w:rsidRPr="00F84C57">
        <w:rPr>
          <w:rFonts w:ascii="Arial" w:hAnsi="Arial" w:cs="Arial"/>
        </w:rPr>
        <w:t xml:space="preserve"> (</w:t>
      </w:r>
      <w:proofErr w:type="spellStart"/>
      <w:r w:rsidRPr="00F84C57">
        <w:rPr>
          <w:rFonts w:ascii="Arial" w:hAnsi="Arial" w:cs="Arial"/>
        </w:rPr>
        <w:t>Matlosana</w:t>
      </w:r>
      <w:proofErr w:type="spellEnd"/>
      <w:r w:rsidRPr="00F84C57">
        <w:rPr>
          <w:rFonts w:ascii="Arial" w:hAnsi="Arial" w:cs="Arial"/>
        </w:rPr>
        <w:t xml:space="preserve"> municipality).  SEDA is also looking for funding for cadet programmes in order to increase human resource capacity trained to service more clients.</w:t>
      </w:r>
    </w:p>
    <w:p w:rsidR="008F5433" w:rsidRPr="00F84C57" w:rsidRDefault="008F5433" w:rsidP="008F5433">
      <w:pPr>
        <w:pStyle w:val="ListParagraph"/>
        <w:spacing w:after="0" w:line="360" w:lineRule="auto"/>
        <w:ind w:left="851" w:hanging="851"/>
        <w:jc w:val="both"/>
        <w:rPr>
          <w:rFonts w:ascii="Arial" w:hAnsi="Arial" w:cs="Arial"/>
          <w:lang w:val="en-US"/>
        </w:rPr>
      </w:pPr>
      <w:proofErr w:type="gramStart"/>
      <w:r w:rsidRPr="00F84C57">
        <w:rPr>
          <w:rFonts w:ascii="Arial" w:hAnsi="Arial" w:cs="Arial"/>
        </w:rPr>
        <w:t>2.(</w:t>
      </w:r>
      <w:proofErr w:type="gramEnd"/>
      <w:r w:rsidRPr="00F84C57">
        <w:rPr>
          <w:rFonts w:ascii="Arial" w:hAnsi="Arial" w:cs="Arial"/>
        </w:rPr>
        <w:t>b)</w:t>
      </w:r>
      <w:r w:rsidRPr="00F84C57">
        <w:rPr>
          <w:rFonts w:ascii="Arial" w:hAnsi="Arial" w:cs="Arial"/>
        </w:rPr>
        <w:tab/>
      </w:r>
      <w:r w:rsidRPr="00F84C57">
        <w:rPr>
          <w:rFonts w:ascii="Arial" w:hAnsi="Arial" w:cs="Arial"/>
          <w:lang w:val="en-US"/>
        </w:rPr>
        <w:t>During the 2015/16 financial year, the Small Enterprise Finance Agency (SEFA) commissioned a study through an external market research organisation to:</w:t>
      </w:r>
    </w:p>
    <w:p w:rsidR="008F5433" w:rsidRPr="00F84C57" w:rsidRDefault="008F5433" w:rsidP="008F5433">
      <w:pPr>
        <w:pStyle w:val="ListParagraph"/>
        <w:spacing w:line="360" w:lineRule="auto"/>
        <w:ind w:left="851" w:hanging="851"/>
        <w:rPr>
          <w:rFonts w:ascii="Arial" w:hAnsi="Arial" w:cs="Arial"/>
          <w:lang w:val="en-US"/>
        </w:rPr>
      </w:pPr>
    </w:p>
    <w:p w:rsidR="008F5433" w:rsidRPr="00F84C57" w:rsidRDefault="008F5433" w:rsidP="008F5433">
      <w:pPr>
        <w:pStyle w:val="ListParagraph"/>
        <w:numPr>
          <w:ilvl w:val="2"/>
          <w:numId w:val="4"/>
        </w:numPr>
        <w:spacing w:after="0" w:line="360" w:lineRule="auto"/>
        <w:ind w:left="1560" w:hanging="709"/>
        <w:jc w:val="both"/>
        <w:rPr>
          <w:rFonts w:ascii="Arial" w:hAnsi="Arial" w:cs="Arial"/>
        </w:rPr>
      </w:pPr>
      <w:r w:rsidRPr="00F84C57">
        <w:rPr>
          <w:rFonts w:ascii="Arial" w:hAnsi="Arial" w:cs="Arial"/>
        </w:rPr>
        <w:t xml:space="preserve">Review the products and services offered by the SEFA to determine whether they are aligned to the mandates of the DSBD and the </w:t>
      </w:r>
      <w:proofErr w:type="spellStart"/>
      <w:r w:rsidRPr="00F84C57">
        <w:rPr>
          <w:rFonts w:ascii="Arial" w:hAnsi="Arial" w:cs="Arial"/>
        </w:rPr>
        <w:t>sefa</w:t>
      </w:r>
      <w:proofErr w:type="spellEnd"/>
      <w:r w:rsidRPr="00F84C57">
        <w:rPr>
          <w:rFonts w:ascii="Arial" w:hAnsi="Arial" w:cs="Arial"/>
        </w:rPr>
        <w:t xml:space="preserve">; </w:t>
      </w:r>
    </w:p>
    <w:p w:rsidR="008F5433" w:rsidRPr="00F84C57" w:rsidRDefault="008F5433" w:rsidP="008F5433">
      <w:pPr>
        <w:pStyle w:val="ListParagraph"/>
        <w:numPr>
          <w:ilvl w:val="2"/>
          <w:numId w:val="4"/>
        </w:numPr>
        <w:spacing w:after="0" w:line="360" w:lineRule="auto"/>
        <w:ind w:left="1560" w:hanging="709"/>
        <w:jc w:val="both"/>
        <w:rPr>
          <w:rFonts w:ascii="Arial" w:hAnsi="Arial" w:cs="Arial"/>
        </w:rPr>
      </w:pPr>
      <w:r w:rsidRPr="00F84C57">
        <w:rPr>
          <w:rFonts w:ascii="Arial" w:hAnsi="Arial" w:cs="Arial"/>
        </w:rPr>
        <w:t xml:space="preserve">Review the </w:t>
      </w:r>
      <w:proofErr w:type="spellStart"/>
      <w:r w:rsidRPr="00F84C57">
        <w:rPr>
          <w:rFonts w:ascii="Arial" w:hAnsi="Arial" w:cs="Arial"/>
        </w:rPr>
        <w:t>sefa</w:t>
      </w:r>
      <w:proofErr w:type="spellEnd"/>
      <w:r w:rsidRPr="00F84C57">
        <w:rPr>
          <w:rFonts w:ascii="Arial" w:hAnsi="Arial" w:cs="Arial"/>
        </w:rPr>
        <w:t xml:space="preserve"> products with respect to their effectiveness, efficiency and relevance, ensuring that they are aligned to the mandates of the DSBD and the </w:t>
      </w:r>
      <w:r w:rsidRPr="00F84C57">
        <w:rPr>
          <w:rFonts w:ascii="Arial" w:hAnsi="Arial" w:cs="Arial"/>
          <w:lang w:val="en-US"/>
        </w:rPr>
        <w:t>SEFA</w:t>
      </w:r>
      <w:r w:rsidRPr="00F84C57">
        <w:rPr>
          <w:rFonts w:ascii="Arial" w:hAnsi="Arial" w:cs="Arial"/>
        </w:rPr>
        <w:t xml:space="preserve">; </w:t>
      </w:r>
    </w:p>
    <w:p w:rsidR="008F5433" w:rsidRPr="00F84C57" w:rsidRDefault="008F5433" w:rsidP="008F5433">
      <w:pPr>
        <w:pStyle w:val="ListParagraph"/>
        <w:spacing w:line="360" w:lineRule="auto"/>
        <w:ind w:left="851" w:hanging="851"/>
        <w:rPr>
          <w:rFonts w:ascii="Arial" w:hAnsi="Arial" w:cs="Arial"/>
        </w:rPr>
      </w:pPr>
    </w:p>
    <w:p w:rsidR="008F5433" w:rsidRPr="00F84C57" w:rsidRDefault="008F5433" w:rsidP="008F5433">
      <w:pPr>
        <w:pStyle w:val="ListParagraph"/>
        <w:spacing w:after="0" w:line="360" w:lineRule="auto"/>
        <w:ind w:left="851"/>
        <w:rPr>
          <w:rFonts w:ascii="Arial" w:hAnsi="Arial" w:cs="Arial"/>
        </w:rPr>
      </w:pPr>
      <w:r w:rsidRPr="00F84C57">
        <w:rPr>
          <w:rFonts w:ascii="Arial" w:hAnsi="Arial" w:cs="Arial"/>
        </w:rPr>
        <w:t>A 360-degree approach was adopted to conduct the review which comprised of the following:</w:t>
      </w:r>
    </w:p>
    <w:p w:rsidR="008F5433" w:rsidRPr="00F84C57" w:rsidRDefault="008F5433" w:rsidP="008F5433">
      <w:pPr>
        <w:pStyle w:val="ListParagraph"/>
        <w:spacing w:after="0" w:line="360" w:lineRule="auto"/>
        <w:ind w:left="851" w:hanging="851"/>
        <w:rPr>
          <w:rFonts w:ascii="Arial" w:hAnsi="Arial" w:cs="Arial"/>
        </w:rPr>
      </w:pPr>
    </w:p>
    <w:p w:rsidR="008F5433" w:rsidRPr="00F84C57" w:rsidRDefault="008F5433" w:rsidP="008F5433">
      <w:pPr>
        <w:pStyle w:val="ListParagraph"/>
        <w:numPr>
          <w:ilvl w:val="2"/>
          <w:numId w:val="5"/>
        </w:numPr>
        <w:spacing w:after="0" w:line="360" w:lineRule="auto"/>
        <w:ind w:left="1560" w:hanging="709"/>
        <w:jc w:val="both"/>
        <w:rPr>
          <w:rFonts w:ascii="Arial" w:hAnsi="Arial" w:cs="Arial"/>
        </w:rPr>
      </w:pPr>
      <w:r w:rsidRPr="00F84C57">
        <w:rPr>
          <w:rFonts w:ascii="Arial" w:hAnsi="Arial" w:cs="Arial"/>
        </w:rPr>
        <w:t xml:space="preserve">Desktop research - This included an extensive literature review as well as an examination of relevant documents to assist in providing context to the review process; </w:t>
      </w:r>
    </w:p>
    <w:p w:rsidR="008F5433" w:rsidRPr="00F84C57" w:rsidRDefault="008F5433" w:rsidP="008F5433">
      <w:pPr>
        <w:pStyle w:val="ListParagraph"/>
        <w:numPr>
          <w:ilvl w:val="2"/>
          <w:numId w:val="5"/>
        </w:numPr>
        <w:spacing w:after="0" w:line="360" w:lineRule="auto"/>
        <w:ind w:left="1560" w:hanging="709"/>
        <w:jc w:val="both"/>
        <w:rPr>
          <w:rFonts w:ascii="Arial" w:hAnsi="Arial" w:cs="Arial"/>
        </w:rPr>
      </w:pPr>
      <w:r w:rsidRPr="00F84C57">
        <w:rPr>
          <w:rFonts w:ascii="Arial" w:hAnsi="Arial" w:cs="Arial"/>
        </w:rPr>
        <w:t xml:space="preserve">Interviews with </w:t>
      </w:r>
      <w:r w:rsidRPr="00F84C57">
        <w:rPr>
          <w:rFonts w:ascii="Arial" w:hAnsi="Arial" w:cs="Arial"/>
          <w:lang w:val="en-US"/>
        </w:rPr>
        <w:t>SEFA</w:t>
      </w:r>
      <w:r w:rsidRPr="00F84C57">
        <w:rPr>
          <w:rFonts w:ascii="Arial" w:hAnsi="Arial" w:cs="Arial"/>
        </w:rPr>
        <w:t xml:space="preserve">’s key stakeholders were undertaken; and </w:t>
      </w:r>
    </w:p>
    <w:p w:rsidR="008F5433" w:rsidRPr="00F84C57" w:rsidRDefault="008F5433" w:rsidP="008F5433">
      <w:pPr>
        <w:pStyle w:val="ListParagraph"/>
        <w:numPr>
          <w:ilvl w:val="2"/>
          <w:numId w:val="5"/>
        </w:numPr>
        <w:spacing w:after="0" w:line="360" w:lineRule="auto"/>
        <w:ind w:left="1560" w:hanging="709"/>
        <w:jc w:val="both"/>
        <w:rPr>
          <w:rFonts w:ascii="Arial" w:hAnsi="Arial" w:cs="Arial"/>
        </w:rPr>
      </w:pPr>
      <w:r w:rsidRPr="00F84C57">
        <w:rPr>
          <w:rFonts w:ascii="Arial" w:hAnsi="Arial" w:cs="Arial"/>
        </w:rPr>
        <w:t xml:space="preserve">Surveys with beneficiaries and non-beneficiaries of the </w:t>
      </w:r>
      <w:r w:rsidRPr="00F84C57">
        <w:rPr>
          <w:rFonts w:ascii="Arial" w:hAnsi="Arial" w:cs="Arial"/>
          <w:lang w:val="en-US"/>
        </w:rPr>
        <w:t>SEFA</w:t>
      </w:r>
      <w:r w:rsidRPr="00F84C57">
        <w:rPr>
          <w:rFonts w:ascii="Arial" w:hAnsi="Arial" w:cs="Arial"/>
        </w:rPr>
        <w:t xml:space="preserve"> products and services were conducted to solicit their views. (Beneficiaries are described as 'Approved SMMEs and Cooperatives'. These are SMMEs and Cooperatives that were successful in their applications for funding from </w:t>
      </w:r>
      <w:r w:rsidRPr="00F84C57">
        <w:rPr>
          <w:rFonts w:ascii="Arial" w:hAnsi="Arial" w:cs="Arial"/>
          <w:lang w:val="en-US"/>
        </w:rPr>
        <w:t>SEFA</w:t>
      </w:r>
      <w:r w:rsidRPr="00F84C57">
        <w:rPr>
          <w:rFonts w:ascii="Arial" w:hAnsi="Arial" w:cs="Arial"/>
        </w:rPr>
        <w:t xml:space="preserve">. The non-beneficiaries are those that were not successful in their applications for funding from </w:t>
      </w:r>
      <w:r w:rsidRPr="00F84C57">
        <w:rPr>
          <w:rFonts w:ascii="Arial" w:hAnsi="Arial" w:cs="Arial"/>
          <w:lang w:val="en-US"/>
        </w:rPr>
        <w:t>SEFA</w:t>
      </w:r>
      <w:r w:rsidRPr="00F84C57">
        <w:rPr>
          <w:rFonts w:ascii="Arial" w:hAnsi="Arial" w:cs="Arial"/>
        </w:rPr>
        <w:t xml:space="preserve">. </w:t>
      </w:r>
    </w:p>
    <w:p w:rsidR="008F5433" w:rsidRPr="00F84C57" w:rsidRDefault="008F5433" w:rsidP="008F5433">
      <w:pPr>
        <w:pStyle w:val="ListParagraph"/>
        <w:spacing w:after="0" w:line="360" w:lineRule="auto"/>
        <w:ind w:left="851" w:hanging="851"/>
        <w:rPr>
          <w:rFonts w:ascii="Arial" w:hAnsi="Arial" w:cs="Arial"/>
        </w:rPr>
      </w:pPr>
    </w:p>
    <w:p w:rsidR="008F5433" w:rsidRPr="00F84C57" w:rsidRDefault="008F5433" w:rsidP="008F5433">
      <w:pPr>
        <w:pStyle w:val="ListParagraph"/>
        <w:spacing w:line="360" w:lineRule="auto"/>
        <w:ind w:left="851"/>
        <w:jc w:val="both"/>
        <w:rPr>
          <w:rFonts w:ascii="Arial" w:hAnsi="Arial" w:cs="Arial"/>
        </w:rPr>
      </w:pPr>
      <w:r w:rsidRPr="00F84C57">
        <w:rPr>
          <w:rFonts w:ascii="Arial" w:hAnsi="Arial" w:cs="Arial"/>
        </w:rPr>
        <w:lastRenderedPageBreak/>
        <w:t>The review focused on determining the extent to which the products and services are relevant (appropriate) and whether they are provided effectively and efficiently (i.e., whether or not the products have improved the sustainability and growth of the target beneficiaries).</w:t>
      </w:r>
    </w:p>
    <w:p w:rsidR="008F5433" w:rsidRPr="00F84C57" w:rsidRDefault="008F5433" w:rsidP="008F5433">
      <w:pPr>
        <w:pStyle w:val="ListParagraph"/>
        <w:spacing w:line="360" w:lineRule="auto"/>
        <w:ind w:left="851"/>
        <w:jc w:val="both"/>
        <w:rPr>
          <w:rFonts w:ascii="Arial" w:hAnsi="Arial" w:cs="Arial"/>
        </w:rPr>
      </w:pPr>
    </w:p>
    <w:p w:rsidR="008F5433" w:rsidRPr="00F84C57" w:rsidRDefault="008F5433" w:rsidP="008F5433">
      <w:pPr>
        <w:pStyle w:val="ListParagraph"/>
        <w:spacing w:line="360" w:lineRule="auto"/>
        <w:ind w:left="851"/>
        <w:jc w:val="both"/>
        <w:rPr>
          <w:rFonts w:ascii="Arial" w:hAnsi="Arial" w:cs="Arial"/>
        </w:rPr>
      </w:pPr>
      <w:r w:rsidRPr="00F84C57">
        <w:rPr>
          <w:rFonts w:ascii="Arial" w:hAnsi="Arial" w:cs="Arial"/>
        </w:rPr>
        <w:t xml:space="preserve">The study results concluded that </w:t>
      </w:r>
      <w:r w:rsidRPr="00F84C57">
        <w:rPr>
          <w:rFonts w:ascii="Arial" w:hAnsi="Arial" w:cs="Arial"/>
          <w:lang w:val="en-US"/>
        </w:rPr>
        <w:t>SEFA</w:t>
      </w:r>
      <w:r w:rsidRPr="00F84C57">
        <w:rPr>
          <w:rFonts w:ascii="Arial" w:hAnsi="Arial" w:cs="Arial"/>
        </w:rPr>
        <w:t xml:space="preserve"> is reaching its target market and that its reach is extending well into rural, semi-urban and urban areas. Furthermore, the study found that </w:t>
      </w:r>
      <w:r w:rsidRPr="00F84C57">
        <w:rPr>
          <w:rFonts w:ascii="Arial" w:hAnsi="Arial" w:cs="Arial"/>
          <w:lang w:val="en-US"/>
        </w:rPr>
        <w:t>SEFA</w:t>
      </w:r>
      <w:r w:rsidRPr="00F84C57">
        <w:rPr>
          <w:rFonts w:ascii="Arial" w:hAnsi="Arial" w:cs="Arial"/>
        </w:rPr>
        <w:t xml:space="preserve"> products and services broadly address the needs of small businesses in a way that is consistent with policies and priorities of the government.</w:t>
      </w:r>
    </w:p>
    <w:p w:rsidR="008F5433" w:rsidRPr="00F84C57" w:rsidRDefault="008F5433" w:rsidP="008F5433">
      <w:pPr>
        <w:pStyle w:val="ListParagraph"/>
        <w:spacing w:line="360" w:lineRule="auto"/>
        <w:ind w:left="851"/>
        <w:jc w:val="both"/>
        <w:rPr>
          <w:rFonts w:ascii="Arial" w:hAnsi="Arial" w:cs="Arial"/>
        </w:rPr>
      </w:pPr>
    </w:p>
    <w:p w:rsidR="008F5433" w:rsidRPr="00F84C57" w:rsidRDefault="008F5433" w:rsidP="008F5433">
      <w:pPr>
        <w:pStyle w:val="ListParagraph"/>
        <w:spacing w:line="360" w:lineRule="auto"/>
        <w:ind w:left="851"/>
        <w:jc w:val="both"/>
        <w:rPr>
          <w:rFonts w:ascii="Arial" w:hAnsi="Arial" w:cs="Arial"/>
        </w:rPr>
      </w:pPr>
      <w:r w:rsidRPr="00F84C57">
        <w:rPr>
          <w:rFonts w:ascii="Arial" w:hAnsi="Arial" w:cs="Arial"/>
        </w:rPr>
        <w:t xml:space="preserve">Seventy-three percent (73%) of the SMMEs and Co-operatives indicated that </w:t>
      </w:r>
      <w:r w:rsidRPr="00F84C57">
        <w:rPr>
          <w:rFonts w:ascii="Arial" w:hAnsi="Arial" w:cs="Arial"/>
          <w:lang w:val="en-US"/>
        </w:rPr>
        <w:t>SEFA</w:t>
      </w:r>
      <w:r w:rsidRPr="00F84C57">
        <w:rPr>
          <w:rFonts w:ascii="Arial" w:hAnsi="Arial" w:cs="Arial"/>
        </w:rPr>
        <w:t xml:space="preserve"> funding interventions enabled them to achieve their long-term objectives of profitability, growth, job creation and sustainability.</w:t>
      </w:r>
    </w:p>
    <w:p w:rsidR="008F5433" w:rsidRPr="00F84C57" w:rsidRDefault="008F5433" w:rsidP="008F5433">
      <w:pPr>
        <w:pStyle w:val="ListParagraph"/>
        <w:spacing w:line="360" w:lineRule="auto"/>
        <w:ind w:left="851" w:hanging="851"/>
        <w:rPr>
          <w:rFonts w:ascii="Arial" w:hAnsi="Arial" w:cs="Arial"/>
        </w:rPr>
      </w:pPr>
    </w:p>
    <w:p w:rsidR="008F5433" w:rsidRPr="00F84C57" w:rsidRDefault="008F5433" w:rsidP="008F5433">
      <w:pPr>
        <w:pStyle w:val="ListParagraph"/>
        <w:numPr>
          <w:ilvl w:val="2"/>
          <w:numId w:val="6"/>
        </w:numPr>
        <w:spacing w:after="0" w:line="360" w:lineRule="auto"/>
        <w:ind w:left="1560" w:hanging="709"/>
        <w:jc w:val="both"/>
        <w:rPr>
          <w:rFonts w:ascii="Arial" w:hAnsi="Arial" w:cs="Arial"/>
        </w:rPr>
      </w:pPr>
      <w:r w:rsidRPr="00F84C57">
        <w:rPr>
          <w:rFonts w:ascii="Arial" w:hAnsi="Arial" w:cs="Arial"/>
        </w:rPr>
        <w:t xml:space="preserve">Change in turnover – 87% of SMMEs and Co-operative Enterprises indicated that </w:t>
      </w:r>
      <w:r w:rsidRPr="00F84C57">
        <w:rPr>
          <w:rFonts w:ascii="Arial" w:hAnsi="Arial" w:cs="Arial"/>
          <w:lang w:val="en-US"/>
        </w:rPr>
        <w:t>SEFA</w:t>
      </w:r>
      <w:r w:rsidRPr="00F84C57">
        <w:rPr>
          <w:rFonts w:ascii="Arial" w:hAnsi="Arial" w:cs="Arial"/>
        </w:rPr>
        <w:t xml:space="preserve"> funding enabled a positive percentage change in their turnovers </w:t>
      </w:r>
    </w:p>
    <w:p w:rsidR="008F5433" w:rsidRPr="00F84C57" w:rsidRDefault="008F5433" w:rsidP="008F5433">
      <w:pPr>
        <w:pStyle w:val="ListParagraph"/>
        <w:numPr>
          <w:ilvl w:val="2"/>
          <w:numId w:val="6"/>
        </w:numPr>
        <w:spacing w:after="0" w:line="360" w:lineRule="auto"/>
        <w:ind w:left="1560" w:hanging="709"/>
        <w:jc w:val="both"/>
        <w:rPr>
          <w:rFonts w:ascii="Arial" w:hAnsi="Arial" w:cs="Arial"/>
        </w:rPr>
      </w:pPr>
      <w:r w:rsidRPr="00F84C57">
        <w:rPr>
          <w:rFonts w:ascii="Arial" w:hAnsi="Arial" w:cs="Arial"/>
        </w:rPr>
        <w:t xml:space="preserve">Change in employees – 92% of SMMEs and Co-operative Enterprises indicated that  </w:t>
      </w:r>
      <w:r w:rsidRPr="00F84C57">
        <w:rPr>
          <w:rFonts w:ascii="Arial" w:hAnsi="Arial" w:cs="Arial"/>
          <w:lang w:val="en-US"/>
        </w:rPr>
        <w:t>SEFA</w:t>
      </w:r>
      <w:r w:rsidRPr="00F84C57">
        <w:rPr>
          <w:rFonts w:ascii="Arial" w:hAnsi="Arial" w:cs="Arial"/>
        </w:rPr>
        <w:t xml:space="preserve"> funding enabled a positive change in the number of employees </w:t>
      </w:r>
    </w:p>
    <w:p w:rsidR="008F5433" w:rsidRPr="00F84C57" w:rsidRDefault="008F5433" w:rsidP="008F5433">
      <w:pPr>
        <w:pStyle w:val="ListParagraph"/>
        <w:numPr>
          <w:ilvl w:val="2"/>
          <w:numId w:val="6"/>
        </w:numPr>
        <w:spacing w:after="0" w:line="360" w:lineRule="auto"/>
        <w:ind w:left="1560" w:hanging="709"/>
        <w:jc w:val="both"/>
        <w:rPr>
          <w:rFonts w:ascii="Arial" w:hAnsi="Arial" w:cs="Arial"/>
        </w:rPr>
      </w:pPr>
      <w:r w:rsidRPr="00F84C57">
        <w:rPr>
          <w:rFonts w:ascii="Arial" w:hAnsi="Arial" w:cs="Arial"/>
        </w:rPr>
        <w:t xml:space="preserve">Benefits derived from </w:t>
      </w:r>
      <w:proofErr w:type="spellStart"/>
      <w:r w:rsidRPr="00F84C57">
        <w:rPr>
          <w:rFonts w:ascii="Arial" w:hAnsi="Arial" w:cs="Arial"/>
        </w:rPr>
        <w:t>sefa</w:t>
      </w:r>
      <w:proofErr w:type="spellEnd"/>
      <w:r w:rsidRPr="00F84C57">
        <w:rPr>
          <w:rFonts w:ascii="Arial" w:hAnsi="Arial" w:cs="Arial"/>
        </w:rPr>
        <w:t xml:space="preserve"> funding - 94% of SMMEs indicated that overall, </w:t>
      </w:r>
      <w:r w:rsidRPr="00F84C57">
        <w:rPr>
          <w:rFonts w:ascii="Arial" w:hAnsi="Arial" w:cs="Arial"/>
          <w:lang w:val="en-US"/>
        </w:rPr>
        <w:t>SEFA</w:t>
      </w:r>
      <w:r w:rsidRPr="00F84C57">
        <w:rPr>
          <w:rFonts w:ascii="Arial" w:hAnsi="Arial" w:cs="Arial"/>
        </w:rPr>
        <w:t xml:space="preserve"> funding was beneficial to their businesses. </w:t>
      </w:r>
    </w:p>
    <w:p w:rsidR="008F5433" w:rsidRPr="00F84C57" w:rsidRDefault="008F5433" w:rsidP="008F5433">
      <w:pPr>
        <w:pStyle w:val="ListParagraph"/>
        <w:spacing w:line="360" w:lineRule="auto"/>
        <w:ind w:left="851" w:hanging="851"/>
        <w:jc w:val="both"/>
        <w:rPr>
          <w:rFonts w:ascii="Arial" w:hAnsi="Arial" w:cs="Arial"/>
        </w:rPr>
      </w:pPr>
    </w:p>
    <w:p w:rsidR="008F5433" w:rsidRPr="00F84C57" w:rsidRDefault="008F5433" w:rsidP="008F5433">
      <w:pPr>
        <w:pStyle w:val="ListParagraph"/>
        <w:spacing w:line="360" w:lineRule="auto"/>
        <w:ind w:left="851" w:hanging="851"/>
        <w:jc w:val="both"/>
        <w:rPr>
          <w:rFonts w:ascii="Arial" w:hAnsi="Arial" w:cs="Arial"/>
        </w:rPr>
      </w:pPr>
      <w:r w:rsidRPr="00F84C57">
        <w:rPr>
          <w:rFonts w:ascii="Arial" w:hAnsi="Arial" w:cs="Arial"/>
        </w:rPr>
        <w:t xml:space="preserve">The table below indicates the audited results of </w:t>
      </w:r>
      <w:r w:rsidRPr="00F84C57">
        <w:rPr>
          <w:rFonts w:ascii="Arial" w:hAnsi="Arial" w:cs="Arial"/>
          <w:lang w:val="en-US"/>
        </w:rPr>
        <w:t>SEFA</w:t>
      </w:r>
      <w:r w:rsidRPr="00F84C57">
        <w:rPr>
          <w:rFonts w:ascii="Arial" w:hAnsi="Arial" w:cs="Arial"/>
        </w:rPr>
        <w:t xml:space="preserve"> funding intervention.</w:t>
      </w:r>
    </w:p>
    <w:tbl>
      <w:tblPr>
        <w:tblStyle w:val="TableGrid"/>
        <w:tblW w:w="0" w:type="auto"/>
        <w:tblInd w:w="108" w:type="dxa"/>
        <w:tblLook w:val="04A0"/>
      </w:tblPr>
      <w:tblGrid>
        <w:gridCol w:w="2661"/>
        <w:gridCol w:w="1358"/>
        <w:gridCol w:w="1243"/>
        <w:gridCol w:w="1495"/>
        <w:gridCol w:w="1495"/>
        <w:gridCol w:w="1216"/>
      </w:tblGrid>
      <w:tr w:rsidR="008F5433" w:rsidRPr="00C57388" w:rsidTr="00EA7591">
        <w:tc>
          <w:tcPr>
            <w:tcW w:w="2835" w:type="dxa"/>
          </w:tcPr>
          <w:p w:rsidR="008F5433" w:rsidRPr="00C57388" w:rsidRDefault="008F5433" w:rsidP="00EA7591">
            <w:pPr>
              <w:pStyle w:val="ListParagraph"/>
              <w:spacing w:line="360" w:lineRule="auto"/>
              <w:ind w:left="851" w:hanging="851"/>
              <w:jc w:val="both"/>
              <w:rPr>
                <w:rFonts w:ascii="Arial" w:hAnsi="Arial" w:cs="Arial"/>
                <w:b/>
                <w:sz w:val="20"/>
                <w:szCs w:val="20"/>
              </w:rPr>
            </w:pPr>
            <w:r w:rsidRPr="00C57388">
              <w:rPr>
                <w:rFonts w:ascii="Arial" w:hAnsi="Arial" w:cs="Arial"/>
                <w:b/>
                <w:sz w:val="20"/>
                <w:szCs w:val="20"/>
              </w:rPr>
              <w:t>Financial Year</w:t>
            </w:r>
          </w:p>
        </w:tc>
        <w:tc>
          <w:tcPr>
            <w:tcW w:w="1418" w:type="dxa"/>
          </w:tcPr>
          <w:p w:rsidR="008F5433" w:rsidRPr="00C57388" w:rsidRDefault="008F5433" w:rsidP="00EA7591">
            <w:pPr>
              <w:pStyle w:val="ListParagraph"/>
              <w:spacing w:line="360" w:lineRule="auto"/>
              <w:ind w:left="851" w:hanging="851"/>
              <w:jc w:val="both"/>
              <w:rPr>
                <w:rFonts w:ascii="Arial" w:hAnsi="Arial" w:cs="Arial"/>
                <w:b/>
                <w:sz w:val="20"/>
                <w:szCs w:val="20"/>
              </w:rPr>
            </w:pPr>
            <w:r w:rsidRPr="00C57388">
              <w:rPr>
                <w:rFonts w:ascii="Arial" w:hAnsi="Arial" w:cs="Arial"/>
                <w:b/>
                <w:sz w:val="20"/>
                <w:szCs w:val="20"/>
              </w:rPr>
              <w:t>2013</w:t>
            </w:r>
          </w:p>
        </w:tc>
        <w:tc>
          <w:tcPr>
            <w:tcW w:w="1276" w:type="dxa"/>
          </w:tcPr>
          <w:p w:rsidR="008F5433" w:rsidRPr="00C57388" w:rsidRDefault="008F5433" w:rsidP="00EA7591">
            <w:pPr>
              <w:pStyle w:val="ListParagraph"/>
              <w:spacing w:line="360" w:lineRule="auto"/>
              <w:ind w:left="851" w:hanging="851"/>
              <w:jc w:val="both"/>
              <w:rPr>
                <w:rFonts w:ascii="Arial" w:hAnsi="Arial" w:cs="Arial"/>
                <w:b/>
                <w:sz w:val="20"/>
                <w:szCs w:val="20"/>
              </w:rPr>
            </w:pPr>
            <w:r w:rsidRPr="00C57388">
              <w:rPr>
                <w:rFonts w:ascii="Arial" w:hAnsi="Arial" w:cs="Arial"/>
                <w:b/>
                <w:sz w:val="20"/>
                <w:szCs w:val="20"/>
              </w:rPr>
              <w:t>2014</w:t>
            </w:r>
          </w:p>
        </w:tc>
        <w:tc>
          <w:tcPr>
            <w:tcW w:w="1559" w:type="dxa"/>
          </w:tcPr>
          <w:p w:rsidR="008F5433" w:rsidRPr="00C57388" w:rsidRDefault="008F5433" w:rsidP="00EA7591">
            <w:pPr>
              <w:pStyle w:val="ListParagraph"/>
              <w:spacing w:line="360" w:lineRule="auto"/>
              <w:ind w:left="851" w:hanging="851"/>
              <w:jc w:val="both"/>
              <w:rPr>
                <w:rFonts w:ascii="Arial" w:hAnsi="Arial" w:cs="Arial"/>
                <w:b/>
                <w:sz w:val="20"/>
                <w:szCs w:val="20"/>
              </w:rPr>
            </w:pPr>
            <w:r w:rsidRPr="00C57388">
              <w:rPr>
                <w:rFonts w:ascii="Arial" w:hAnsi="Arial" w:cs="Arial"/>
                <w:b/>
                <w:sz w:val="20"/>
                <w:szCs w:val="20"/>
              </w:rPr>
              <w:t>2015</w:t>
            </w:r>
          </w:p>
        </w:tc>
        <w:tc>
          <w:tcPr>
            <w:tcW w:w="1559" w:type="dxa"/>
          </w:tcPr>
          <w:p w:rsidR="008F5433" w:rsidRPr="00C57388" w:rsidRDefault="008F5433" w:rsidP="00EA7591">
            <w:pPr>
              <w:pStyle w:val="ListParagraph"/>
              <w:spacing w:line="360" w:lineRule="auto"/>
              <w:ind w:left="851" w:hanging="851"/>
              <w:jc w:val="both"/>
              <w:rPr>
                <w:rFonts w:ascii="Arial" w:hAnsi="Arial" w:cs="Arial"/>
                <w:b/>
                <w:sz w:val="20"/>
                <w:szCs w:val="20"/>
              </w:rPr>
            </w:pPr>
            <w:r w:rsidRPr="00C57388">
              <w:rPr>
                <w:rFonts w:ascii="Arial" w:hAnsi="Arial" w:cs="Arial"/>
                <w:b/>
                <w:sz w:val="20"/>
                <w:szCs w:val="20"/>
              </w:rPr>
              <w:t>2016</w:t>
            </w:r>
          </w:p>
        </w:tc>
        <w:tc>
          <w:tcPr>
            <w:tcW w:w="1276" w:type="dxa"/>
          </w:tcPr>
          <w:p w:rsidR="008F5433" w:rsidRPr="00C57388" w:rsidRDefault="008F5433" w:rsidP="00EA7591">
            <w:pPr>
              <w:pStyle w:val="ListParagraph"/>
              <w:spacing w:line="360" w:lineRule="auto"/>
              <w:ind w:left="851" w:hanging="851"/>
              <w:jc w:val="both"/>
              <w:rPr>
                <w:rFonts w:ascii="Arial" w:hAnsi="Arial" w:cs="Arial"/>
                <w:b/>
                <w:sz w:val="20"/>
                <w:szCs w:val="20"/>
              </w:rPr>
            </w:pPr>
            <w:r w:rsidRPr="00C57388">
              <w:rPr>
                <w:rFonts w:ascii="Arial" w:hAnsi="Arial" w:cs="Arial"/>
                <w:b/>
                <w:sz w:val="20"/>
                <w:szCs w:val="20"/>
              </w:rPr>
              <w:t>Total</w:t>
            </w:r>
          </w:p>
        </w:tc>
      </w:tr>
      <w:tr w:rsidR="008F5433" w:rsidRPr="00C57388" w:rsidTr="00EA7591">
        <w:tc>
          <w:tcPr>
            <w:tcW w:w="2835" w:type="dxa"/>
          </w:tcPr>
          <w:p w:rsidR="008F5433" w:rsidRPr="00C57388" w:rsidRDefault="008F5433" w:rsidP="00EA7591">
            <w:pPr>
              <w:pStyle w:val="ListParagraph"/>
              <w:spacing w:line="360" w:lineRule="auto"/>
              <w:ind w:left="851" w:hanging="851"/>
              <w:jc w:val="both"/>
              <w:rPr>
                <w:rFonts w:ascii="Arial" w:hAnsi="Arial" w:cs="Arial"/>
                <w:sz w:val="20"/>
                <w:szCs w:val="20"/>
              </w:rPr>
            </w:pPr>
            <w:r w:rsidRPr="00C57388">
              <w:rPr>
                <w:rFonts w:ascii="Arial" w:hAnsi="Arial" w:cs="Arial"/>
                <w:sz w:val="20"/>
                <w:szCs w:val="20"/>
              </w:rPr>
              <w:t>Loan Financing Approved</w:t>
            </w:r>
          </w:p>
        </w:tc>
        <w:tc>
          <w:tcPr>
            <w:tcW w:w="1418" w:type="dxa"/>
          </w:tcPr>
          <w:p w:rsidR="008F5433" w:rsidRPr="00C57388" w:rsidRDefault="008F5433" w:rsidP="00EA7591">
            <w:pPr>
              <w:pStyle w:val="ListParagraph"/>
              <w:spacing w:line="360" w:lineRule="auto"/>
              <w:ind w:left="851" w:hanging="851"/>
              <w:jc w:val="both"/>
              <w:rPr>
                <w:rFonts w:ascii="Arial" w:hAnsi="Arial" w:cs="Arial"/>
                <w:sz w:val="20"/>
                <w:szCs w:val="20"/>
              </w:rPr>
            </w:pPr>
            <w:r w:rsidRPr="00C57388">
              <w:rPr>
                <w:rFonts w:ascii="Arial" w:hAnsi="Arial" w:cs="Arial"/>
                <w:sz w:val="20"/>
                <w:szCs w:val="20"/>
              </w:rPr>
              <w:t>R440m</w:t>
            </w:r>
          </w:p>
        </w:tc>
        <w:tc>
          <w:tcPr>
            <w:tcW w:w="1276" w:type="dxa"/>
          </w:tcPr>
          <w:p w:rsidR="008F5433" w:rsidRPr="00C57388" w:rsidRDefault="008F5433" w:rsidP="00EA7591">
            <w:pPr>
              <w:pStyle w:val="ListParagraph"/>
              <w:spacing w:line="360" w:lineRule="auto"/>
              <w:ind w:left="851" w:hanging="851"/>
              <w:jc w:val="both"/>
              <w:rPr>
                <w:rFonts w:ascii="Arial" w:hAnsi="Arial" w:cs="Arial"/>
                <w:sz w:val="20"/>
                <w:szCs w:val="20"/>
              </w:rPr>
            </w:pPr>
            <w:r w:rsidRPr="00C57388">
              <w:rPr>
                <w:rFonts w:ascii="Arial" w:hAnsi="Arial" w:cs="Arial"/>
                <w:sz w:val="20"/>
                <w:szCs w:val="20"/>
              </w:rPr>
              <w:t>R1,065b</w:t>
            </w:r>
          </w:p>
        </w:tc>
        <w:tc>
          <w:tcPr>
            <w:tcW w:w="1559" w:type="dxa"/>
          </w:tcPr>
          <w:p w:rsidR="008F5433" w:rsidRPr="00C57388" w:rsidRDefault="008F5433" w:rsidP="00EA7591">
            <w:pPr>
              <w:pStyle w:val="ListParagraph"/>
              <w:spacing w:line="360" w:lineRule="auto"/>
              <w:ind w:left="851" w:hanging="851"/>
              <w:jc w:val="both"/>
              <w:rPr>
                <w:rFonts w:ascii="Arial" w:hAnsi="Arial" w:cs="Arial"/>
                <w:sz w:val="20"/>
                <w:szCs w:val="20"/>
              </w:rPr>
            </w:pPr>
            <w:r w:rsidRPr="00C57388">
              <w:rPr>
                <w:rFonts w:ascii="Arial" w:hAnsi="Arial" w:cs="Arial"/>
                <w:sz w:val="20"/>
                <w:szCs w:val="20"/>
              </w:rPr>
              <w:t>R1,009b</w:t>
            </w:r>
          </w:p>
        </w:tc>
        <w:tc>
          <w:tcPr>
            <w:tcW w:w="1559" w:type="dxa"/>
          </w:tcPr>
          <w:p w:rsidR="008F5433" w:rsidRPr="00C57388" w:rsidRDefault="008F5433" w:rsidP="00EA7591">
            <w:pPr>
              <w:pStyle w:val="ListParagraph"/>
              <w:spacing w:line="360" w:lineRule="auto"/>
              <w:ind w:left="851" w:hanging="851"/>
              <w:jc w:val="both"/>
              <w:rPr>
                <w:rFonts w:ascii="Arial" w:hAnsi="Arial" w:cs="Arial"/>
                <w:sz w:val="20"/>
                <w:szCs w:val="20"/>
              </w:rPr>
            </w:pPr>
            <w:r w:rsidRPr="00C57388">
              <w:rPr>
                <w:rFonts w:ascii="Arial" w:hAnsi="Arial" w:cs="Arial"/>
                <w:sz w:val="20"/>
                <w:szCs w:val="20"/>
              </w:rPr>
              <w:t>R1,109b</w:t>
            </w:r>
          </w:p>
        </w:tc>
        <w:tc>
          <w:tcPr>
            <w:tcW w:w="1276" w:type="dxa"/>
          </w:tcPr>
          <w:p w:rsidR="008F5433" w:rsidRPr="00C57388" w:rsidRDefault="008F5433" w:rsidP="00EA7591">
            <w:pPr>
              <w:pStyle w:val="ListParagraph"/>
              <w:spacing w:line="360" w:lineRule="auto"/>
              <w:ind w:left="851" w:hanging="851"/>
              <w:jc w:val="both"/>
              <w:rPr>
                <w:rFonts w:ascii="Arial" w:hAnsi="Arial" w:cs="Arial"/>
                <w:sz w:val="20"/>
                <w:szCs w:val="20"/>
              </w:rPr>
            </w:pPr>
            <w:r w:rsidRPr="00C57388">
              <w:rPr>
                <w:rFonts w:ascii="Arial" w:hAnsi="Arial" w:cs="Arial"/>
                <w:sz w:val="20"/>
                <w:szCs w:val="20"/>
              </w:rPr>
              <w:t>R3,6 billion</w:t>
            </w:r>
          </w:p>
        </w:tc>
      </w:tr>
      <w:tr w:rsidR="008F5433" w:rsidRPr="00C57388" w:rsidTr="00EA7591">
        <w:tc>
          <w:tcPr>
            <w:tcW w:w="2835" w:type="dxa"/>
          </w:tcPr>
          <w:p w:rsidR="008F5433" w:rsidRPr="00C57388" w:rsidRDefault="008F5433" w:rsidP="00EA7591">
            <w:pPr>
              <w:pStyle w:val="ListParagraph"/>
              <w:spacing w:line="360" w:lineRule="auto"/>
              <w:ind w:left="851" w:hanging="851"/>
              <w:jc w:val="both"/>
              <w:rPr>
                <w:rFonts w:ascii="Arial" w:hAnsi="Arial" w:cs="Arial"/>
                <w:sz w:val="20"/>
                <w:szCs w:val="20"/>
              </w:rPr>
            </w:pPr>
            <w:r w:rsidRPr="00C57388">
              <w:rPr>
                <w:rFonts w:ascii="Arial" w:hAnsi="Arial" w:cs="Arial"/>
                <w:sz w:val="20"/>
                <w:szCs w:val="20"/>
              </w:rPr>
              <w:t>Loan Financing Disbursed</w:t>
            </w:r>
          </w:p>
        </w:tc>
        <w:tc>
          <w:tcPr>
            <w:tcW w:w="1418" w:type="dxa"/>
          </w:tcPr>
          <w:p w:rsidR="008F5433" w:rsidRPr="00C57388" w:rsidRDefault="008F5433" w:rsidP="00EA7591">
            <w:pPr>
              <w:pStyle w:val="ListParagraph"/>
              <w:spacing w:line="360" w:lineRule="auto"/>
              <w:ind w:left="851" w:hanging="851"/>
              <w:jc w:val="both"/>
              <w:rPr>
                <w:rFonts w:ascii="Arial" w:hAnsi="Arial" w:cs="Arial"/>
                <w:sz w:val="20"/>
                <w:szCs w:val="20"/>
              </w:rPr>
            </w:pPr>
            <w:r w:rsidRPr="00C57388">
              <w:rPr>
                <w:rFonts w:ascii="Arial" w:hAnsi="Arial" w:cs="Arial"/>
                <w:sz w:val="20"/>
                <w:szCs w:val="20"/>
              </w:rPr>
              <w:t>R198 m</w:t>
            </w:r>
          </w:p>
        </w:tc>
        <w:tc>
          <w:tcPr>
            <w:tcW w:w="1276" w:type="dxa"/>
          </w:tcPr>
          <w:p w:rsidR="008F5433" w:rsidRPr="00C57388" w:rsidRDefault="008F5433" w:rsidP="00EA7591">
            <w:pPr>
              <w:pStyle w:val="ListParagraph"/>
              <w:spacing w:line="360" w:lineRule="auto"/>
              <w:ind w:left="851" w:hanging="851"/>
              <w:jc w:val="both"/>
              <w:rPr>
                <w:rFonts w:ascii="Arial" w:hAnsi="Arial" w:cs="Arial"/>
                <w:sz w:val="20"/>
                <w:szCs w:val="20"/>
              </w:rPr>
            </w:pPr>
            <w:r w:rsidRPr="00C57388">
              <w:rPr>
                <w:rFonts w:ascii="Arial" w:hAnsi="Arial" w:cs="Arial"/>
                <w:sz w:val="20"/>
                <w:szCs w:val="20"/>
              </w:rPr>
              <w:t>R822 m</w:t>
            </w:r>
          </w:p>
        </w:tc>
        <w:tc>
          <w:tcPr>
            <w:tcW w:w="1559" w:type="dxa"/>
          </w:tcPr>
          <w:p w:rsidR="008F5433" w:rsidRPr="00C57388" w:rsidRDefault="008F5433" w:rsidP="00EA7591">
            <w:pPr>
              <w:pStyle w:val="ListParagraph"/>
              <w:spacing w:line="360" w:lineRule="auto"/>
              <w:ind w:left="851" w:hanging="851"/>
              <w:jc w:val="both"/>
              <w:rPr>
                <w:rFonts w:ascii="Arial" w:hAnsi="Arial" w:cs="Arial"/>
                <w:sz w:val="20"/>
                <w:szCs w:val="20"/>
              </w:rPr>
            </w:pPr>
            <w:r w:rsidRPr="00C57388">
              <w:rPr>
                <w:rFonts w:ascii="Arial" w:hAnsi="Arial" w:cs="Arial"/>
                <w:sz w:val="20"/>
                <w:szCs w:val="20"/>
              </w:rPr>
              <w:t>R1,294 b</w:t>
            </w:r>
          </w:p>
        </w:tc>
        <w:tc>
          <w:tcPr>
            <w:tcW w:w="1559" w:type="dxa"/>
          </w:tcPr>
          <w:p w:rsidR="008F5433" w:rsidRPr="00C57388" w:rsidRDefault="008F5433" w:rsidP="00EA7591">
            <w:pPr>
              <w:pStyle w:val="ListParagraph"/>
              <w:spacing w:line="360" w:lineRule="auto"/>
              <w:ind w:left="851" w:hanging="851"/>
              <w:jc w:val="both"/>
              <w:rPr>
                <w:rFonts w:ascii="Arial" w:hAnsi="Arial" w:cs="Arial"/>
                <w:sz w:val="20"/>
                <w:szCs w:val="20"/>
              </w:rPr>
            </w:pPr>
            <w:r w:rsidRPr="00C57388">
              <w:rPr>
                <w:rFonts w:ascii="Arial" w:hAnsi="Arial" w:cs="Arial"/>
                <w:sz w:val="20"/>
                <w:szCs w:val="20"/>
              </w:rPr>
              <w:t>R1,168b</w:t>
            </w:r>
          </w:p>
        </w:tc>
        <w:tc>
          <w:tcPr>
            <w:tcW w:w="1276" w:type="dxa"/>
          </w:tcPr>
          <w:p w:rsidR="008F5433" w:rsidRPr="00C57388" w:rsidRDefault="008F5433" w:rsidP="00EA7591">
            <w:pPr>
              <w:pStyle w:val="ListParagraph"/>
              <w:spacing w:line="360" w:lineRule="auto"/>
              <w:ind w:left="851" w:hanging="851"/>
              <w:jc w:val="both"/>
              <w:rPr>
                <w:rFonts w:ascii="Arial" w:hAnsi="Arial" w:cs="Arial"/>
                <w:sz w:val="20"/>
                <w:szCs w:val="20"/>
              </w:rPr>
            </w:pPr>
            <w:r w:rsidRPr="00C57388">
              <w:rPr>
                <w:rFonts w:ascii="Arial" w:hAnsi="Arial" w:cs="Arial"/>
                <w:sz w:val="20"/>
                <w:szCs w:val="20"/>
              </w:rPr>
              <w:t>R3,4 billion</w:t>
            </w:r>
          </w:p>
        </w:tc>
      </w:tr>
      <w:tr w:rsidR="008F5433" w:rsidRPr="00C57388" w:rsidTr="00EA7591">
        <w:tc>
          <w:tcPr>
            <w:tcW w:w="2835" w:type="dxa"/>
          </w:tcPr>
          <w:p w:rsidR="008F5433" w:rsidRPr="00C57388" w:rsidRDefault="008F5433" w:rsidP="00EA7591">
            <w:pPr>
              <w:pStyle w:val="ListParagraph"/>
              <w:spacing w:line="360" w:lineRule="auto"/>
              <w:ind w:left="851" w:hanging="851"/>
              <w:jc w:val="both"/>
              <w:rPr>
                <w:rFonts w:ascii="Arial" w:hAnsi="Arial" w:cs="Arial"/>
                <w:sz w:val="20"/>
                <w:szCs w:val="20"/>
              </w:rPr>
            </w:pPr>
            <w:r w:rsidRPr="00C57388">
              <w:rPr>
                <w:rFonts w:ascii="Arial" w:hAnsi="Arial" w:cs="Arial"/>
                <w:sz w:val="20"/>
                <w:szCs w:val="20"/>
              </w:rPr>
              <w:t xml:space="preserve">Enterprises Funded </w:t>
            </w:r>
          </w:p>
        </w:tc>
        <w:tc>
          <w:tcPr>
            <w:tcW w:w="1418" w:type="dxa"/>
          </w:tcPr>
          <w:p w:rsidR="008F5433" w:rsidRPr="00C57388" w:rsidRDefault="008F5433" w:rsidP="00EA7591">
            <w:pPr>
              <w:pStyle w:val="ListParagraph"/>
              <w:spacing w:line="360" w:lineRule="auto"/>
              <w:ind w:left="851" w:hanging="851"/>
              <w:jc w:val="both"/>
              <w:rPr>
                <w:rFonts w:ascii="Arial" w:hAnsi="Arial" w:cs="Arial"/>
                <w:sz w:val="20"/>
                <w:szCs w:val="20"/>
              </w:rPr>
            </w:pPr>
            <w:r w:rsidRPr="00C57388">
              <w:rPr>
                <w:rFonts w:ascii="Arial" w:hAnsi="Arial" w:cs="Arial"/>
                <w:sz w:val="20"/>
                <w:szCs w:val="20"/>
              </w:rPr>
              <w:t>28 362</w:t>
            </w:r>
          </w:p>
        </w:tc>
        <w:tc>
          <w:tcPr>
            <w:tcW w:w="1276" w:type="dxa"/>
          </w:tcPr>
          <w:p w:rsidR="008F5433" w:rsidRPr="00C57388" w:rsidRDefault="008F5433" w:rsidP="00EA7591">
            <w:pPr>
              <w:pStyle w:val="ListParagraph"/>
              <w:spacing w:line="360" w:lineRule="auto"/>
              <w:ind w:left="851" w:hanging="851"/>
              <w:jc w:val="both"/>
              <w:rPr>
                <w:rFonts w:ascii="Arial" w:hAnsi="Arial" w:cs="Arial"/>
                <w:sz w:val="20"/>
                <w:szCs w:val="20"/>
              </w:rPr>
            </w:pPr>
            <w:r w:rsidRPr="00C57388">
              <w:rPr>
                <w:rFonts w:ascii="Arial" w:hAnsi="Arial" w:cs="Arial"/>
                <w:sz w:val="20"/>
                <w:szCs w:val="20"/>
              </w:rPr>
              <w:t>46 407</w:t>
            </w:r>
          </w:p>
        </w:tc>
        <w:tc>
          <w:tcPr>
            <w:tcW w:w="1559" w:type="dxa"/>
          </w:tcPr>
          <w:p w:rsidR="008F5433" w:rsidRPr="00C57388" w:rsidRDefault="008F5433" w:rsidP="00EA7591">
            <w:pPr>
              <w:pStyle w:val="ListParagraph"/>
              <w:spacing w:line="360" w:lineRule="auto"/>
              <w:ind w:left="851" w:hanging="851"/>
              <w:jc w:val="both"/>
              <w:rPr>
                <w:rFonts w:ascii="Arial" w:hAnsi="Arial" w:cs="Arial"/>
                <w:sz w:val="20"/>
                <w:szCs w:val="20"/>
              </w:rPr>
            </w:pPr>
            <w:r w:rsidRPr="00C57388">
              <w:rPr>
                <w:rFonts w:ascii="Arial" w:hAnsi="Arial" w:cs="Arial"/>
                <w:sz w:val="20"/>
                <w:szCs w:val="20"/>
              </w:rPr>
              <w:t>68 724</w:t>
            </w:r>
          </w:p>
        </w:tc>
        <w:tc>
          <w:tcPr>
            <w:tcW w:w="1559" w:type="dxa"/>
          </w:tcPr>
          <w:p w:rsidR="008F5433" w:rsidRPr="00C57388" w:rsidRDefault="008F5433" w:rsidP="00EA7591">
            <w:pPr>
              <w:pStyle w:val="ListParagraph"/>
              <w:spacing w:line="360" w:lineRule="auto"/>
              <w:ind w:left="851" w:hanging="851"/>
              <w:jc w:val="both"/>
              <w:rPr>
                <w:rFonts w:ascii="Arial" w:hAnsi="Arial" w:cs="Arial"/>
                <w:sz w:val="20"/>
                <w:szCs w:val="20"/>
              </w:rPr>
            </w:pPr>
            <w:r w:rsidRPr="00C57388">
              <w:rPr>
                <w:rFonts w:ascii="Arial" w:hAnsi="Arial" w:cs="Arial"/>
                <w:sz w:val="20"/>
                <w:szCs w:val="20"/>
              </w:rPr>
              <w:t>54 833</w:t>
            </w:r>
          </w:p>
        </w:tc>
        <w:tc>
          <w:tcPr>
            <w:tcW w:w="1276" w:type="dxa"/>
          </w:tcPr>
          <w:p w:rsidR="008F5433" w:rsidRPr="00C57388" w:rsidRDefault="008F5433" w:rsidP="00EA7591">
            <w:pPr>
              <w:pStyle w:val="ListParagraph"/>
              <w:spacing w:line="360" w:lineRule="auto"/>
              <w:ind w:left="851" w:hanging="851"/>
              <w:jc w:val="both"/>
              <w:rPr>
                <w:rFonts w:ascii="Arial" w:hAnsi="Arial" w:cs="Arial"/>
                <w:sz w:val="20"/>
                <w:szCs w:val="20"/>
              </w:rPr>
            </w:pPr>
            <w:r w:rsidRPr="00C57388">
              <w:rPr>
                <w:rFonts w:ascii="Arial" w:hAnsi="Arial" w:cs="Arial"/>
                <w:sz w:val="20"/>
                <w:szCs w:val="20"/>
              </w:rPr>
              <w:t>193 320</w:t>
            </w:r>
          </w:p>
        </w:tc>
      </w:tr>
      <w:tr w:rsidR="008F5433" w:rsidRPr="00C57388" w:rsidTr="00EA7591">
        <w:tc>
          <w:tcPr>
            <w:tcW w:w="2835" w:type="dxa"/>
          </w:tcPr>
          <w:p w:rsidR="008F5433" w:rsidRPr="00C57388" w:rsidRDefault="008F5433" w:rsidP="00EA7591">
            <w:pPr>
              <w:pStyle w:val="ListParagraph"/>
              <w:spacing w:line="360" w:lineRule="auto"/>
              <w:ind w:left="851" w:hanging="851"/>
              <w:jc w:val="both"/>
              <w:rPr>
                <w:rFonts w:ascii="Arial" w:hAnsi="Arial" w:cs="Arial"/>
                <w:sz w:val="20"/>
                <w:szCs w:val="20"/>
              </w:rPr>
            </w:pPr>
            <w:r w:rsidRPr="00C57388">
              <w:rPr>
                <w:rFonts w:ascii="Arial" w:hAnsi="Arial" w:cs="Arial"/>
                <w:sz w:val="20"/>
                <w:szCs w:val="20"/>
              </w:rPr>
              <w:t>Jobs Facilitated</w:t>
            </w:r>
          </w:p>
        </w:tc>
        <w:tc>
          <w:tcPr>
            <w:tcW w:w="1418" w:type="dxa"/>
          </w:tcPr>
          <w:p w:rsidR="008F5433" w:rsidRPr="00C57388" w:rsidRDefault="008F5433" w:rsidP="00EA7591">
            <w:pPr>
              <w:pStyle w:val="ListParagraph"/>
              <w:spacing w:line="360" w:lineRule="auto"/>
              <w:ind w:left="851" w:hanging="851"/>
              <w:jc w:val="both"/>
              <w:rPr>
                <w:rFonts w:ascii="Arial" w:hAnsi="Arial" w:cs="Arial"/>
                <w:sz w:val="20"/>
                <w:szCs w:val="20"/>
              </w:rPr>
            </w:pPr>
            <w:r w:rsidRPr="00C57388">
              <w:rPr>
                <w:rFonts w:ascii="Arial" w:hAnsi="Arial" w:cs="Arial"/>
                <w:sz w:val="20"/>
                <w:szCs w:val="20"/>
              </w:rPr>
              <w:t>9 853</w:t>
            </w:r>
          </w:p>
        </w:tc>
        <w:tc>
          <w:tcPr>
            <w:tcW w:w="1276" w:type="dxa"/>
          </w:tcPr>
          <w:p w:rsidR="008F5433" w:rsidRPr="00C57388" w:rsidRDefault="008F5433" w:rsidP="00EA7591">
            <w:pPr>
              <w:pStyle w:val="ListParagraph"/>
              <w:spacing w:line="360" w:lineRule="auto"/>
              <w:ind w:left="851" w:hanging="851"/>
              <w:jc w:val="both"/>
              <w:rPr>
                <w:rFonts w:ascii="Arial" w:hAnsi="Arial" w:cs="Arial"/>
                <w:sz w:val="20"/>
                <w:szCs w:val="20"/>
              </w:rPr>
            </w:pPr>
            <w:r w:rsidRPr="00C57388">
              <w:rPr>
                <w:rFonts w:ascii="Arial" w:hAnsi="Arial" w:cs="Arial"/>
                <w:sz w:val="20"/>
                <w:szCs w:val="20"/>
              </w:rPr>
              <w:t>46 402</w:t>
            </w:r>
          </w:p>
        </w:tc>
        <w:tc>
          <w:tcPr>
            <w:tcW w:w="1559" w:type="dxa"/>
          </w:tcPr>
          <w:p w:rsidR="008F5433" w:rsidRPr="00C57388" w:rsidRDefault="008F5433" w:rsidP="00EA7591">
            <w:pPr>
              <w:pStyle w:val="ListParagraph"/>
              <w:spacing w:line="360" w:lineRule="auto"/>
              <w:ind w:left="851" w:hanging="851"/>
              <w:jc w:val="both"/>
              <w:rPr>
                <w:rFonts w:ascii="Arial" w:hAnsi="Arial" w:cs="Arial"/>
                <w:sz w:val="20"/>
                <w:szCs w:val="20"/>
              </w:rPr>
            </w:pPr>
            <w:r w:rsidRPr="00C57388">
              <w:rPr>
                <w:rFonts w:ascii="Arial" w:hAnsi="Arial" w:cs="Arial"/>
                <w:sz w:val="20"/>
                <w:szCs w:val="20"/>
              </w:rPr>
              <w:t>60 169</w:t>
            </w:r>
          </w:p>
        </w:tc>
        <w:tc>
          <w:tcPr>
            <w:tcW w:w="1559" w:type="dxa"/>
          </w:tcPr>
          <w:p w:rsidR="008F5433" w:rsidRPr="00C57388" w:rsidRDefault="008F5433" w:rsidP="00EA7591">
            <w:pPr>
              <w:pStyle w:val="ListParagraph"/>
              <w:spacing w:line="360" w:lineRule="auto"/>
              <w:ind w:left="851" w:hanging="851"/>
              <w:jc w:val="both"/>
              <w:rPr>
                <w:rFonts w:ascii="Arial" w:hAnsi="Arial" w:cs="Arial"/>
                <w:sz w:val="20"/>
                <w:szCs w:val="20"/>
              </w:rPr>
            </w:pPr>
            <w:r w:rsidRPr="00C57388">
              <w:rPr>
                <w:rFonts w:ascii="Arial" w:hAnsi="Arial" w:cs="Arial"/>
                <w:sz w:val="20"/>
                <w:szCs w:val="20"/>
              </w:rPr>
              <w:t>75 670</w:t>
            </w:r>
          </w:p>
        </w:tc>
        <w:tc>
          <w:tcPr>
            <w:tcW w:w="1276" w:type="dxa"/>
          </w:tcPr>
          <w:p w:rsidR="008F5433" w:rsidRPr="00C57388" w:rsidRDefault="008F5433" w:rsidP="00EA7591">
            <w:pPr>
              <w:pStyle w:val="ListParagraph"/>
              <w:spacing w:line="360" w:lineRule="auto"/>
              <w:ind w:left="851" w:hanging="851"/>
              <w:jc w:val="both"/>
              <w:rPr>
                <w:rFonts w:ascii="Arial" w:hAnsi="Arial" w:cs="Arial"/>
                <w:sz w:val="20"/>
                <w:szCs w:val="20"/>
              </w:rPr>
            </w:pPr>
            <w:r w:rsidRPr="00C57388">
              <w:rPr>
                <w:rFonts w:ascii="Arial" w:hAnsi="Arial" w:cs="Arial"/>
                <w:sz w:val="20"/>
                <w:szCs w:val="20"/>
              </w:rPr>
              <w:t>202 876</w:t>
            </w:r>
          </w:p>
        </w:tc>
      </w:tr>
    </w:tbl>
    <w:p w:rsidR="008F5433" w:rsidRPr="00FE2F3E" w:rsidRDefault="008F5433" w:rsidP="008F5433">
      <w:pPr>
        <w:spacing w:after="0" w:line="360" w:lineRule="auto"/>
        <w:ind w:left="992" w:hanging="851"/>
        <w:jc w:val="both"/>
        <w:rPr>
          <w:rFonts w:ascii="Arial" w:eastAsia="Times New Roman" w:hAnsi="Arial" w:cs="Arial"/>
          <w:b/>
          <w:color w:val="000000" w:themeColor="text1"/>
          <w:sz w:val="24"/>
          <w:szCs w:val="24"/>
        </w:rPr>
      </w:pPr>
    </w:p>
    <w:p w:rsidR="008F5433" w:rsidRDefault="008F5433" w:rsidP="008F5433">
      <w:pPr>
        <w:spacing w:after="200" w:line="276" w:lineRule="auto"/>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br w:type="page"/>
      </w:r>
    </w:p>
    <w:sectPr w:rsidR="008F5433" w:rsidSect="005C15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61DB1"/>
    <w:multiLevelType w:val="multilevel"/>
    <w:tmpl w:val="0409001D"/>
    <w:lvl w:ilvl="0">
      <w:start w:val="1"/>
      <w:numFmt w:val="decimal"/>
      <w:lvlText w:val="%1)"/>
      <w:lvlJc w:val="left"/>
      <w:pPr>
        <w:ind w:left="1352" w:hanging="360"/>
      </w:pPr>
      <w:rPr>
        <w:rFonts w:hint="default"/>
      </w:rPr>
    </w:lvl>
    <w:lvl w:ilvl="1">
      <w:start w:val="1"/>
      <w:numFmt w:val="lowerLetter"/>
      <w:lvlText w:val="%2)"/>
      <w:lvlJc w:val="left"/>
      <w:pPr>
        <w:ind w:left="1712" w:hanging="360"/>
      </w:pPr>
    </w:lvl>
    <w:lvl w:ilvl="2">
      <w:start w:val="1"/>
      <w:numFmt w:val="lowerRoman"/>
      <w:lvlText w:val="%3)"/>
      <w:lvlJc w:val="left"/>
      <w:pPr>
        <w:ind w:left="2072" w:hanging="360"/>
      </w:pPr>
    </w:lvl>
    <w:lvl w:ilvl="3">
      <w:start w:val="1"/>
      <w:numFmt w:val="decimal"/>
      <w:lvlText w:val="(%4)"/>
      <w:lvlJc w:val="left"/>
      <w:pPr>
        <w:ind w:left="2432" w:hanging="360"/>
      </w:pPr>
    </w:lvl>
    <w:lvl w:ilvl="4">
      <w:start w:val="1"/>
      <w:numFmt w:val="lowerLetter"/>
      <w:lvlText w:val="(%5)"/>
      <w:lvlJc w:val="left"/>
      <w:pPr>
        <w:ind w:left="2792" w:hanging="360"/>
      </w:pPr>
    </w:lvl>
    <w:lvl w:ilvl="5">
      <w:start w:val="1"/>
      <w:numFmt w:val="lowerRoman"/>
      <w:lvlText w:val="(%6)"/>
      <w:lvlJc w:val="left"/>
      <w:pPr>
        <w:ind w:left="3152" w:hanging="360"/>
      </w:pPr>
    </w:lvl>
    <w:lvl w:ilvl="6">
      <w:start w:val="1"/>
      <w:numFmt w:val="decimal"/>
      <w:lvlText w:val="%7."/>
      <w:lvlJc w:val="left"/>
      <w:pPr>
        <w:ind w:left="3512" w:hanging="360"/>
      </w:pPr>
    </w:lvl>
    <w:lvl w:ilvl="7">
      <w:start w:val="1"/>
      <w:numFmt w:val="lowerLetter"/>
      <w:lvlText w:val="%8."/>
      <w:lvlJc w:val="left"/>
      <w:pPr>
        <w:ind w:left="3872" w:hanging="360"/>
      </w:pPr>
    </w:lvl>
    <w:lvl w:ilvl="8">
      <w:start w:val="1"/>
      <w:numFmt w:val="lowerRoman"/>
      <w:lvlText w:val="%9."/>
      <w:lvlJc w:val="left"/>
      <w:pPr>
        <w:ind w:left="4232" w:hanging="360"/>
      </w:pPr>
    </w:lvl>
  </w:abstractNum>
  <w:abstractNum w:abstractNumId="1">
    <w:nsid w:val="3BCA7162"/>
    <w:multiLevelType w:val="multilevel"/>
    <w:tmpl w:val="0409001D"/>
    <w:lvl w:ilvl="0">
      <w:start w:val="1"/>
      <w:numFmt w:val="decimal"/>
      <w:lvlText w:val="%1)"/>
      <w:lvlJc w:val="left"/>
      <w:pPr>
        <w:ind w:left="1352" w:hanging="360"/>
      </w:pPr>
      <w:rPr>
        <w:rFonts w:hint="default"/>
      </w:rPr>
    </w:lvl>
    <w:lvl w:ilvl="1">
      <w:start w:val="1"/>
      <w:numFmt w:val="lowerLetter"/>
      <w:lvlText w:val="%2)"/>
      <w:lvlJc w:val="left"/>
      <w:pPr>
        <w:ind w:left="1712" w:hanging="360"/>
      </w:pPr>
    </w:lvl>
    <w:lvl w:ilvl="2">
      <w:start w:val="1"/>
      <w:numFmt w:val="lowerRoman"/>
      <w:lvlText w:val="%3)"/>
      <w:lvlJc w:val="left"/>
      <w:pPr>
        <w:ind w:left="2072" w:hanging="360"/>
      </w:pPr>
    </w:lvl>
    <w:lvl w:ilvl="3">
      <w:start w:val="1"/>
      <w:numFmt w:val="decimal"/>
      <w:lvlText w:val="(%4)"/>
      <w:lvlJc w:val="left"/>
      <w:pPr>
        <w:ind w:left="2432" w:hanging="360"/>
      </w:pPr>
    </w:lvl>
    <w:lvl w:ilvl="4">
      <w:start w:val="1"/>
      <w:numFmt w:val="lowerLetter"/>
      <w:lvlText w:val="(%5)"/>
      <w:lvlJc w:val="left"/>
      <w:pPr>
        <w:ind w:left="2792" w:hanging="360"/>
      </w:pPr>
    </w:lvl>
    <w:lvl w:ilvl="5">
      <w:start w:val="1"/>
      <w:numFmt w:val="lowerRoman"/>
      <w:lvlText w:val="(%6)"/>
      <w:lvlJc w:val="left"/>
      <w:pPr>
        <w:ind w:left="3152" w:hanging="360"/>
      </w:pPr>
    </w:lvl>
    <w:lvl w:ilvl="6">
      <w:start w:val="1"/>
      <w:numFmt w:val="decimal"/>
      <w:lvlText w:val="%7."/>
      <w:lvlJc w:val="left"/>
      <w:pPr>
        <w:ind w:left="3512" w:hanging="360"/>
      </w:pPr>
    </w:lvl>
    <w:lvl w:ilvl="7">
      <w:start w:val="1"/>
      <w:numFmt w:val="lowerLetter"/>
      <w:lvlText w:val="%8."/>
      <w:lvlJc w:val="left"/>
      <w:pPr>
        <w:ind w:left="3872" w:hanging="360"/>
      </w:pPr>
    </w:lvl>
    <w:lvl w:ilvl="8">
      <w:start w:val="1"/>
      <w:numFmt w:val="lowerRoman"/>
      <w:lvlText w:val="%9."/>
      <w:lvlJc w:val="left"/>
      <w:pPr>
        <w:ind w:left="4232" w:hanging="360"/>
      </w:pPr>
    </w:lvl>
  </w:abstractNum>
  <w:abstractNum w:abstractNumId="2">
    <w:nsid w:val="532C0663"/>
    <w:multiLevelType w:val="multilevel"/>
    <w:tmpl w:val="0409001D"/>
    <w:lvl w:ilvl="0">
      <w:start w:val="1"/>
      <w:numFmt w:val="decimal"/>
      <w:lvlText w:val="%1)"/>
      <w:lvlJc w:val="left"/>
      <w:pPr>
        <w:ind w:left="1352" w:hanging="360"/>
      </w:pPr>
      <w:rPr>
        <w:rFonts w:hint="default"/>
      </w:rPr>
    </w:lvl>
    <w:lvl w:ilvl="1">
      <w:start w:val="1"/>
      <w:numFmt w:val="lowerLetter"/>
      <w:lvlText w:val="%2)"/>
      <w:lvlJc w:val="left"/>
      <w:pPr>
        <w:ind w:left="1712" w:hanging="360"/>
      </w:pPr>
    </w:lvl>
    <w:lvl w:ilvl="2">
      <w:start w:val="1"/>
      <w:numFmt w:val="lowerRoman"/>
      <w:lvlText w:val="%3)"/>
      <w:lvlJc w:val="left"/>
      <w:pPr>
        <w:ind w:left="2072" w:hanging="360"/>
      </w:pPr>
    </w:lvl>
    <w:lvl w:ilvl="3">
      <w:start w:val="1"/>
      <w:numFmt w:val="decimal"/>
      <w:lvlText w:val="(%4)"/>
      <w:lvlJc w:val="left"/>
      <w:pPr>
        <w:ind w:left="2432" w:hanging="360"/>
      </w:pPr>
    </w:lvl>
    <w:lvl w:ilvl="4">
      <w:start w:val="1"/>
      <w:numFmt w:val="lowerLetter"/>
      <w:lvlText w:val="(%5)"/>
      <w:lvlJc w:val="left"/>
      <w:pPr>
        <w:ind w:left="2792" w:hanging="360"/>
      </w:pPr>
    </w:lvl>
    <w:lvl w:ilvl="5">
      <w:start w:val="1"/>
      <w:numFmt w:val="lowerRoman"/>
      <w:lvlText w:val="(%6)"/>
      <w:lvlJc w:val="left"/>
      <w:pPr>
        <w:ind w:left="3152" w:hanging="360"/>
      </w:pPr>
    </w:lvl>
    <w:lvl w:ilvl="6">
      <w:start w:val="1"/>
      <w:numFmt w:val="decimal"/>
      <w:lvlText w:val="%7."/>
      <w:lvlJc w:val="left"/>
      <w:pPr>
        <w:ind w:left="3512" w:hanging="360"/>
      </w:pPr>
    </w:lvl>
    <w:lvl w:ilvl="7">
      <w:start w:val="1"/>
      <w:numFmt w:val="lowerLetter"/>
      <w:lvlText w:val="%8."/>
      <w:lvlJc w:val="left"/>
      <w:pPr>
        <w:ind w:left="3872" w:hanging="360"/>
      </w:pPr>
    </w:lvl>
    <w:lvl w:ilvl="8">
      <w:start w:val="1"/>
      <w:numFmt w:val="lowerRoman"/>
      <w:lvlText w:val="%9."/>
      <w:lvlJc w:val="left"/>
      <w:pPr>
        <w:ind w:left="4232" w:hanging="360"/>
      </w:pPr>
    </w:lvl>
  </w:abstractNum>
  <w:abstractNum w:abstractNumId="3">
    <w:nsid w:val="5CCC353B"/>
    <w:multiLevelType w:val="multilevel"/>
    <w:tmpl w:val="0409001D"/>
    <w:lvl w:ilvl="0">
      <w:start w:val="1"/>
      <w:numFmt w:val="decimal"/>
      <w:lvlText w:val="%1)"/>
      <w:lvlJc w:val="left"/>
      <w:pPr>
        <w:ind w:left="1352" w:hanging="360"/>
      </w:pPr>
      <w:rPr>
        <w:rFonts w:hint="default"/>
      </w:rPr>
    </w:lvl>
    <w:lvl w:ilvl="1">
      <w:start w:val="1"/>
      <w:numFmt w:val="lowerLetter"/>
      <w:lvlText w:val="%2)"/>
      <w:lvlJc w:val="left"/>
      <w:pPr>
        <w:ind w:left="1712" w:hanging="360"/>
      </w:pPr>
    </w:lvl>
    <w:lvl w:ilvl="2">
      <w:start w:val="1"/>
      <w:numFmt w:val="lowerRoman"/>
      <w:lvlText w:val="%3)"/>
      <w:lvlJc w:val="left"/>
      <w:pPr>
        <w:ind w:left="2072" w:hanging="360"/>
      </w:pPr>
    </w:lvl>
    <w:lvl w:ilvl="3">
      <w:start w:val="1"/>
      <w:numFmt w:val="decimal"/>
      <w:lvlText w:val="(%4)"/>
      <w:lvlJc w:val="left"/>
      <w:pPr>
        <w:ind w:left="2432" w:hanging="360"/>
      </w:pPr>
    </w:lvl>
    <w:lvl w:ilvl="4">
      <w:start w:val="1"/>
      <w:numFmt w:val="lowerLetter"/>
      <w:lvlText w:val="(%5)"/>
      <w:lvlJc w:val="left"/>
      <w:pPr>
        <w:ind w:left="2792" w:hanging="360"/>
      </w:pPr>
    </w:lvl>
    <w:lvl w:ilvl="5">
      <w:start w:val="1"/>
      <w:numFmt w:val="lowerRoman"/>
      <w:lvlText w:val="(%6)"/>
      <w:lvlJc w:val="left"/>
      <w:pPr>
        <w:ind w:left="3152" w:hanging="360"/>
      </w:pPr>
    </w:lvl>
    <w:lvl w:ilvl="6">
      <w:start w:val="1"/>
      <w:numFmt w:val="decimal"/>
      <w:lvlText w:val="%7."/>
      <w:lvlJc w:val="left"/>
      <w:pPr>
        <w:ind w:left="3512" w:hanging="360"/>
      </w:pPr>
    </w:lvl>
    <w:lvl w:ilvl="7">
      <w:start w:val="1"/>
      <w:numFmt w:val="lowerLetter"/>
      <w:lvlText w:val="%8."/>
      <w:lvlJc w:val="left"/>
      <w:pPr>
        <w:ind w:left="3872" w:hanging="360"/>
      </w:pPr>
    </w:lvl>
    <w:lvl w:ilvl="8">
      <w:start w:val="1"/>
      <w:numFmt w:val="lowerRoman"/>
      <w:lvlText w:val="%9."/>
      <w:lvlJc w:val="left"/>
      <w:pPr>
        <w:ind w:left="4232" w:hanging="360"/>
      </w:pPr>
    </w:lvl>
  </w:abstractNum>
  <w:abstractNum w:abstractNumId="4">
    <w:nsid w:val="5E3015A2"/>
    <w:multiLevelType w:val="multilevel"/>
    <w:tmpl w:val="0409001D"/>
    <w:lvl w:ilvl="0">
      <w:start w:val="1"/>
      <w:numFmt w:val="decimal"/>
      <w:lvlText w:val="%1)"/>
      <w:lvlJc w:val="left"/>
      <w:pPr>
        <w:ind w:left="1352" w:hanging="360"/>
      </w:pPr>
      <w:rPr>
        <w:rFonts w:hint="default"/>
      </w:rPr>
    </w:lvl>
    <w:lvl w:ilvl="1">
      <w:start w:val="1"/>
      <w:numFmt w:val="lowerLetter"/>
      <w:lvlText w:val="%2)"/>
      <w:lvlJc w:val="left"/>
      <w:pPr>
        <w:ind w:left="1712" w:hanging="360"/>
      </w:pPr>
    </w:lvl>
    <w:lvl w:ilvl="2">
      <w:start w:val="1"/>
      <w:numFmt w:val="lowerRoman"/>
      <w:lvlText w:val="%3)"/>
      <w:lvlJc w:val="left"/>
      <w:pPr>
        <w:ind w:left="2072" w:hanging="360"/>
      </w:pPr>
    </w:lvl>
    <w:lvl w:ilvl="3">
      <w:start w:val="1"/>
      <w:numFmt w:val="decimal"/>
      <w:lvlText w:val="(%4)"/>
      <w:lvlJc w:val="left"/>
      <w:pPr>
        <w:ind w:left="2432" w:hanging="360"/>
      </w:pPr>
    </w:lvl>
    <w:lvl w:ilvl="4">
      <w:start w:val="1"/>
      <w:numFmt w:val="lowerLetter"/>
      <w:lvlText w:val="(%5)"/>
      <w:lvlJc w:val="left"/>
      <w:pPr>
        <w:ind w:left="2792" w:hanging="360"/>
      </w:pPr>
    </w:lvl>
    <w:lvl w:ilvl="5">
      <w:start w:val="1"/>
      <w:numFmt w:val="lowerRoman"/>
      <w:lvlText w:val="(%6)"/>
      <w:lvlJc w:val="left"/>
      <w:pPr>
        <w:ind w:left="3152" w:hanging="360"/>
      </w:pPr>
    </w:lvl>
    <w:lvl w:ilvl="6">
      <w:start w:val="1"/>
      <w:numFmt w:val="decimal"/>
      <w:lvlText w:val="%7."/>
      <w:lvlJc w:val="left"/>
      <w:pPr>
        <w:ind w:left="3512" w:hanging="360"/>
      </w:pPr>
    </w:lvl>
    <w:lvl w:ilvl="7">
      <w:start w:val="1"/>
      <w:numFmt w:val="lowerLetter"/>
      <w:lvlText w:val="%8."/>
      <w:lvlJc w:val="left"/>
      <w:pPr>
        <w:ind w:left="3872" w:hanging="360"/>
      </w:pPr>
    </w:lvl>
    <w:lvl w:ilvl="8">
      <w:start w:val="1"/>
      <w:numFmt w:val="lowerRoman"/>
      <w:lvlText w:val="%9."/>
      <w:lvlJc w:val="left"/>
      <w:pPr>
        <w:ind w:left="4232" w:hanging="360"/>
      </w:pPr>
    </w:lvl>
  </w:abstractNum>
  <w:abstractNum w:abstractNumId="5">
    <w:nsid w:val="62EA03B3"/>
    <w:multiLevelType w:val="multilevel"/>
    <w:tmpl w:val="0409001D"/>
    <w:lvl w:ilvl="0">
      <w:start w:val="1"/>
      <w:numFmt w:val="decimal"/>
      <w:lvlText w:val="%1)"/>
      <w:lvlJc w:val="left"/>
      <w:pPr>
        <w:ind w:left="1352" w:hanging="360"/>
      </w:pPr>
      <w:rPr>
        <w:rFonts w:hint="default"/>
      </w:rPr>
    </w:lvl>
    <w:lvl w:ilvl="1">
      <w:start w:val="1"/>
      <w:numFmt w:val="lowerLetter"/>
      <w:lvlText w:val="%2)"/>
      <w:lvlJc w:val="left"/>
      <w:pPr>
        <w:ind w:left="1712" w:hanging="360"/>
      </w:pPr>
    </w:lvl>
    <w:lvl w:ilvl="2">
      <w:start w:val="1"/>
      <w:numFmt w:val="lowerRoman"/>
      <w:lvlText w:val="%3)"/>
      <w:lvlJc w:val="left"/>
      <w:pPr>
        <w:ind w:left="2072" w:hanging="360"/>
      </w:pPr>
    </w:lvl>
    <w:lvl w:ilvl="3">
      <w:start w:val="1"/>
      <w:numFmt w:val="decimal"/>
      <w:lvlText w:val="(%4)"/>
      <w:lvlJc w:val="left"/>
      <w:pPr>
        <w:ind w:left="2432" w:hanging="360"/>
      </w:pPr>
    </w:lvl>
    <w:lvl w:ilvl="4">
      <w:start w:val="1"/>
      <w:numFmt w:val="lowerLetter"/>
      <w:lvlText w:val="(%5)"/>
      <w:lvlJc w:val="left"/>
      <w:pPr>
        <w:ind w:left="2792" w:hanging="360"/>
      </w:pPr>
    </w:lvl>
    <w:lvl w:ilvl="5">
      <w:start w:val="1"/>
      <w:numFmt w:val="lowerRoman"/>
      <w:lvlText w:val="(%6)"/>
      <w:lvlJc w:val="left"/>
      <w:pPr>
        <w:ind w:left="3152" w:hanging="360"/>
      </w:pPr>
    </w:lvl>
    <w:lvl w:ilvl="6">
      <w:start w:val="1"/>
      <w:numFmt w:val="decimal"/>
      <w:lvlText w:val="%7."/>
      <w:lvlJc w:val="left"/>
      <w:pPr>
        <w:ind w:left="3512" w:hanging="360"/>
      </w:pPr>
    </w:lvl>
    <w:lvl w:ilvl="7">
      <w:start w:val="1"/>
      <w:numFmt w:val="lowerLetter"/>
      <w:lvlText w:val="%8."/>
      <w:lvlJc w:val="left"/>
      <w:pPr>
        <w:ind w:left="3872" w:hanging="360"/>
      </w:pPr>
    </w:lvl>
    <w:lvl w:ilvl="8">
      <w:start w:val="1"/>
      <w:numFmt w:val="lowerRoman"/>
      <w:lvlText w:val="%9."/>
      <w:lvlJc w:val="left"/>
      <w:pPr>
        <w:ind w:left="4232" w:hanging="36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5433"/>
    <w:rsid w:val="00212FE6"/>
    <w:rsid w:val="00402672"/>
    <w:rsid w:val="005C159A"/>
    <w:rsid w:val="008F5433"/>
    <w:rsid w:val="00E010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433"/>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433"/>
    <w:pPr>
      <w:ind w:left="720"/>
      <w:contextualSpacing/>
    </w:pPr>
  </w:style>
  <w:style w:type="table" w:styleId="TableGrid">
    <w:name w:val="Table Grid"/>
    <w:basedOn w:val="TableNormal"/>
    <w:uiPriority w:val="59"/>
    <w:rsid w:val="008F5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Nqubelani</dc:creator>
  <cp:keywords/>
  <dc:description/>
  <cp:lastModifiedBy>User</cp:lastModifiedBy>
  <cp:revision>2</cp:revision>
  <dcterms:created xsi:type="dcterms:W3CDTF">2017-03-23T14:04:00Z</dcterms:created>
  <dcterms:modified xsi:type="dcterms:W3CDTF">2017-03-23T14:04:00Z</dcterms:modified>
</cp:coreProperties>
</file>