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 xml:space="preserve"> </w:t>
      </w:r>
      <w:r w:rsidRPr="00166180">
        <w:rPr>
          <w:rFonts w:ascii="Arial" w:hAnsi="Arial" w:cs="Arial"/>
          <w:b/>
          <w:bCs/>
          <w:sz w:val="20"/>
          <w:szCs w:val="20"/>
        </w:rPr>
        <w:t xml:space="preserve">NATIONAL ASSEMBLY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b/>
          <w:bCs/>
          <w:sz w:val="20"/>
          <w:szCs w:val="20"/>
        </w:rPr>
        <w:t xml:space="preserve">WRITTEN QUESTION FOR WRITTEN REPLY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b/>
          <w:bCs/>
          <w:sz w:val="20"/>
          <w:szCs w:val="20"/>
        </w:rPr>
        <w:t xml:space="preserve">QUESTION NUMBER: 1999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b/>
          <w:bCs/>
          <w:sz w:val="20"/>
          <w:szCs w:val="20"/>
        </w:rPr>
        <w:t xml:space="preserve">DATE OF PUBLICATIONS: 20 MAY 2022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166180">
        <w:rPr>
          <w:rFonts w:ascii="Arial" w:hAnsi="Arial" w:cs="Arial"/>
          <w:b/>
          <w:bCs/>
          <w:sz w:val="20"/>
          <w:szCs w:val="20"/>
        </w:rPr>
        <w:t xml:space="preserve">1999. </w:t>
      </w:r>
      <w:proofErr w:type="spellStart"/>
      <w:r w:rsidRPr="00166180">
        <w:rPr>
          <w:rFonts w:ascii="Arial" w:hAnsi="Arial" w:cs="Arial"/>
          <w:b/>
          <w:bCs/>
          <w:sz w:val="20"/>
          <w:szCs w:val="20"/>
        </w:rPr>
        <w:t>Inkosi</w:t>
      </w:r>
      <w:proofErr w:type="spellEnd"/>
      <w:r w:rsidRPr="00166180">
        <w:rPr>
          <w:rFonts w:ascii="Arial" w:hAnsi="Arial" w:cs="Arial"/>
          <w:b/>
          <w:bCs/>
          <w:sz w:val="20"/>
          <w:szCs w:val="20"/>
        </w:rPr>
        <w:t xml:space="preserve"> R N </w:t>
      </w:r>
      <w:proofErr w:type="spellStart"/>
      <w:r w:rsidRPr="00166180">
        <w:rPr>
          <w:rFonts w:ascii="Arial" w:hAnsi="Arial" w:cs="Arial"/>
          <w:b/>
          <w:bCs/>
          <w:sz w:val="20"/>
          <w:szCs w:val="20"/>
        </w:rPr>
        <w:t>Cebekhulu</w:t>
      </w:r>
      <w:proofErr w:type="spellEnd"/>
      <w:r w:rsidRPr="00166180">
        <w:rPr>
          <w:rFonts w:ascii="Arial" w:hAnsi="Arial" w:cs="Arial"/>
          <w:b/>
          <w:bCs/>
          <w:sz w:val="20"/>
          <w:szCs w:val="20"/>
        </w:rPr>
        <w:t xml:space="preserve"> (IFP) to ask the Minister in </w:t>
      </w:r>
      <w:proofErr w:type="gramStart"/>
      <w:r w:rsidRPr="00166180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Pr="00166180">
        <w:rPr>
          <w:rFonts w:ascii="Arial" w:hAnsi="Arial" w:cs="Arial"/>
          <w:b/>
          <w:bCs/>
          <w:sz w:val="20"/>
          <w:szCs w:val="20"/>
        </w:rPr>
        <w:t xml:space="preserve"> Presidency: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66180">
        <w:rPr>
          <w:rFonts w:ascii="Arial" w:hAnsi="Arial" w:cs="Arial"/>
          <w:sz w:val="20"/>
          <w:szCs w:val="20"/>
        </w:rPr>
        <w:t xml:space="preserve">What (a) has he found to be the reasons that departments are failing to adhere to the 30-day payment policy when trading with small and medium businesses and (b) is being done to ensure that the failure does not persist? NW2340E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166180">
        <w:rPr>
          <w:rFonts w:ascii="Arial" w:hAnsi="Arial" w:cs="Arial"/>
          <w:b/>
          <w:bCs/>
          <w:sz w:val="20"/>
          <w:szCs w:val="20"/>
        </w:rPr>
        <w:t xml:space="preserve">REPLY: 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 xml:space="preserve">(a) According to the National Treasury’s Annual Report on Non-compliance with Payments of Suppliers Invoices </w:t>
      </w:r>
      <w:proofErr w:type="gramStart"/>
      <w:r w:rsidRPr="00166180">
        <w:rPr>
          <w:rFonts w:ascii="Arial" w:hAnsi="Arial" w:cs="Arial"/>
          <w:sz w:val="20"/>
          <w:szCs w:val="20"/>
        </w:rPr>
        <w:t>Within</w:t>
      </w:r>
      <w:proofErr w:type="gramEnd"/>
      <w:r w:rsidRPr="00166180">
        <w:rPr>
          <w:rFonts w:ascii="Arial" w:hAnsi="Arial" w:cs="Arial"/>
          <w:sz w:val="20"/>
          <w:szCs w:val="20"/>
        </w:rPr>
        <w:t xml:space="preserve"> 30 Days – FY2021/22, the most common reasons that are cited by departments for late or non-payment of suppliers include the following: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 xml:space="preserve">• Misfiled, misplaced or unrecorded invoices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 xml:space="preserve">• Inadequate budget and/or cash flow management problems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 xml:space="preserve">• Inadequate internal capacity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166180">
        <w:rPr>
          <w:rFonts w:ascii="Arial" w:hAnsi="Arial" w:cs="Arial"/>
          <w:sz w:val="20"/>
          <w:szCs w:val="20"/>
        </w:rPr>
        <w:t>• IT</w:t>
      </w:r>
      <w:proofErr w:type="gramEnd"/>
      <w:r w:rsidRPr="00166180">
        <w:rPr>
          <w:rFonts w:ascii="Arial" w:hAnsi="Arial" w:cs="Arial"/>
          <w:sz w:val="20"/>
          <w:szCs w:val="20"/>
        </w:rPr>
        <w:t xml:space="preserve"> Systems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>• Standard Chart of Accounts (</w:t>
      </w:r>
      <w:proofErr w:type="spellStart"/>
      <w:r w:rsidRPr="00166180">
        <w:rPr>
          <w:rFonts w:ascii="Arial" w:hAnsi="Arial" w:cs="Arial"/>
          <w:sz w:val="20"/>
          <w:szCs w:val="20"/>
        </w:rPr>
        <w:t>SCoA</w:t>
      </w:r>
      <w:proofErr w:type="spellEnd"/>
      <w:r w:rsidRPr="00166180">
        <w:rPr>
          <w:rFonts w:ascii="Arial" w:hAnsi="Arial" w:cs="Arial"/>
          <w:sz w:val="20"/>
          <w:szCs w:val="20"/>
        </w:rPr>
        <w:t xml:space="preserve">) related system problems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 xml:space="preserve">• Unresolved invoice </w:t>
      </w:r>
      <w:proofErr w:type="spellStart"/>
      <w:r w:rsidRPr="00166180">
        <w:rPr>
          <w:rFonts w:ascii="Arial" w:hAnsi="Arial" w:cs="Arial"/>
          <w:sz w:val="20"/>
          <w:szCs w:val="20"/>
        </w:rPr>
        <w:t>discrapancies</w:t>
      </w:r>
      <w:proofErr w:type="spellEnd"/>
      <w:r w:rsidRPr="00166180">
        <w:rPr>
          <w:rFonts w:ascii="Arial" w:hAnsi="Arial" w:cs="Arial"/>
          <w:sz w:val="20"/>
          <w:szCs w:val="20"/>
        </w:rPr>
        <w:t xml:space="preserve">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 xml:space="preserve">• Incomplete supporting documents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 xml:space="preserve">(b) The National Treasury has established a central email address to resolve queries from suppliers. This involves following up with transgressing departments to ensure speedy resolution of queries. The DPME has </w:t>
      </w:r>
      <w:proofErr w:type="spellStart"/>
      <w:r w:rsidRPr="00166180">
        <w:rPr>
          <w:rFonts w:ascii="Arial" w:hAnsi="Arial" w:cs="Arial"/>
          <w:sz w:val="20"/>
          <w:szCs w:val="20"/>
        </w:rPr>
        <w:t>prioritised</w:t>
      </w:r>
      <w:proofErr w:type="spellEnd"/>
      <w:r w:rsidRPr="00166180">
        <w:rPr>
          <w:rFonts w:ascii="Arial" w:hAnsi="Arial" w:cs="Arial"/>
          <w:sz w:val="20"/>
          <w:szCs w:val="20"/>
        </w:rPr>
        <w:t xml:space="preserve"> Payment of Suppliers as one of the areas that is being monitored through its monitoring frameworks. In addition, the department continues to escalate queries of non-payment that are being logged through the Presidential Hotline. </w:t>
      </w: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</w:p>
    <w:p w:rsidR="00166180" w:rsidRPr="00166180" w:rsidRDefault="00166180" w:rsidP="00166180">
      <w:pPr>
        <w:pStyle w:val="Default"/>
        <w:rPr>
          <w:rFonts w:ascii="Arial" w:hAnsi="Arial" w:cs="Arial"/>
          <w:sz w:val="20"/>
          <w:szCs w:val="20"/>
        </w:rPr>
      </w:pPr>
      <w:r w:rsidRPr="00166180">
        <w:rPr>
          <w:rFonts w:ascii="Arial" w:hAnsi="Arial" w:cs="Arial"/>
          <w:sz w:val="20"/>
          <w:szCs w:val="20"/>
        </w:rPr>
        <w:t xml:space="preserve">The department has also initiated a project to engage the health sector, which is responsible for over 60% of the unpaid invoices, to address the challenges of non-payment. This initiative will involve the creation of a platform to facilitate the sharing of best practice, replication of measures that have been successful in other departments and to minimize the impact of medico-legal claims on non-payment of invoices. </w:t>
      </w:r>
    </w:p>
    <w:p w:rsidR="005D79E6" w:rsidRPr="00166180" w:rsidRDefault="00166180" w:rsidP="001661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166180">
        <w:rPr>
          <w:rFonts w:ascii="Arial" w:hAnsi="Arial" w:cs="Arial"/>
          <w:b/>
          <w:bCs/>
          <w:sz w:val="20"/>
          <w:szCs w:val="20"/>
        </w:rPr>
        <w:t>Thank You.</w:t>
      </w:r>
    </w:p>
    <w:sectPr w:rsidR="005D79E6" w:rsidRPr="00166180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66180"/>
    <w:rsid w:val="00166180"/>
    <w:rsid w:val="005D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2022-10-25T09:59:00Z</dcterms:created>
  <dcterms:modified xsi:type="dcterms:W3CDTF">2022-10-25T10:00:00Z</dcterms:modified>
</cp:coreProperties>
</file>