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C14220" w:rsidRDefault="00F515CF" w:rsidP="00C14220">
      <w:pPr>
        <w:spacing w:after="0" w:line="240" w:lineRule="auto"/>
        <w:jc w:val="center"/>
        <w:rPr>
          <w:rFonts w:ascii="Arial" w:eastAsia="Times New Roman" w:hAnsi="Arial" w:cs="Arial"/>
          <w:sz w:val="24"/>
          <w:szCs w:val="24"/>
        </w:rPr>
      </w:pPr>
      <w:r w:rsidRPr="00C14220">
        <w:rPr>
          <w:rFonts w:ascii="Arial" w:eastAsia="Times New Roman" w:hAnsi="Arial" w:cs="Arial"/>
          <w:b/>
          <w:bCs/>
          <w:sz w:val="24"/>
          <w:szCs w:val="24"/>
        </w:rPr>
        <w:t>NATIONAL ASSEMBLY</w:t>
      </w:r>
    </w:p>
    <w:p w:rsidR="00F515CF" w:rsidRPr="00C14220" w:rsidRDefault="001304CF" w:rsidP="00C14220">
      <w:pPr>
        <w:spacing w:after="0" w:line="240" w:lineRule="auto"/>
        <w:jc w:val="center"/>
        <w:rPr>
          <w:rFonts w:ascii="Arial" w:eastAsia="Times New Roman" w:hAnsi="Arial" w:cs="Arial"/>
          <w:b/>
          <w:sz w:val="24"/>
          <w:szCs w:val="24"/>
        </w:rPr>
      </w:pPr>
      <w:r w:rsidRPr="00C14220">
        <w:rPr>
          <w:rFonts w:ascii="Arial" w:eastAsia="Times New Roman" w:hAnsi="Arial" w:cs="Arial"/>
          <w:b/>
          <w:sz w:val="24"/>
          <w:szCs w:val="24"/>
        </w:rPr>
        <w:t>W</w:t>
      </w:r>
      <w:r w:rsidR="003F27D2" w:rsidRPr="00C14220">
        <w:rPr>
          <w:rFonts w:ascii="Arial" w:eastAsia="Times New Roman" w:hAnsi="Arial" w:cs="Arial"/>
          <w:b/>
          <w:sz w:val="24"/>
          <w:szCs w:val="24"/>
        </w:rPr>
        <w:t>R</w:t>
      </w:r>
      <w:r w:rsidRPr="00C14220">
        <w:rPr>
          <w:rFonts w:ascii="Arial" w:eastAsia="Times New Roman" w:hAnsi="Arial" w:cs="Arial"/>
          <w:b/>
          <w:sz w:val="24"/>
          <w:szCs w:val="24"/>
        </w:rPr>
        <w:t>ITTEN</w:t>
      </w:r>
      <w:r w:rsidR="00F515CF" w:rsidRPr="00C14220">
        <w:rPr>
          <w:rFonts w:ascii="Arial" w:eastAsia="Times New Roman" w:hAnsi="Arial" w:cs="Arial"/>
          <w:b/>
          <w:sz w:val="24"/>
          <w:szCs w:val="24"/>
        </w:rPr>
        <w:t xml:space="preserve"> REPLY</w:t>
      </w:r>
    </w:p>
    <w:p w:rsidR="00FD7F03" w:rsidRPr="00C14220" w:rsidRDefault="00FD7F03" w:rsidP="00C14220">
      <w:pPr>
        <w:spacing w:after="0" w:line="240" w:lineRule="auto"/>
        <w:rPr>
          <w:rFonts w:ascii="Arial" w:eastAsia="Times New Roman" w:hAnsi="Arial" w:cs="Arial"/>
          <w:b/>
          <w:bCs/>
          <w:sz w:val="24"/>
          <w:szCs w:val="24"/>
        </w:rPr>
      </w:pPr>
    </w:p>
    <w:p w:rsidR="00F515CF" w:rsidRPr="00C14220" w:rsidRDefault="00F515CF" w:rsidP="00C14220">
      <w:pPr>
        <w:spacing w:after="0" w:line="240" w:lineRule="auto"/>
        <w:rPr>
          <w:rFonts w:ascii="Arial" w:eastAsia="Times New Roman" w:hAnsi="Arial" w:cs="Arial"/>
          <w:sz w:val="24"/>
          <w:szCs w:val="24"/>
        </w:rPr>
      </w:pPr>
      <w:r w:rsidRPr="00C14220">
        <w:rPr>
          <w:rFonts w:ascii="Arial" w:eastAsia="Times New Roman" w:hAnsi="Arial" w:cs="Arial"/>
          <w:b/>
          <w:bCs/>
          <w:sz w:val="24"/>
          <w:szCs w:val="24"/>
        </w:rPr>
        <w:t>QUESTION</w:t>
      </w:r>
      <w:r w:rsidR="00D06AF3" w:rsidRPr="00C14220">
        <w:rPr>
          <w:rFonts w:ascii="Arial" w:eastAsia="Times New Roman" w:hAnsi="Arial" w:cs="Arial"/>
          <w:b/>
          <w:bCs/>
          <w:sz w:val="24"/>
          <w:szCs w:val="24"/>
        </w:rPr>
        <w:t xml:space="preserve"> </w:t>
      </w:r>
      <w:r w:rsidR="00CE17B0" w:rsidRPr="00C14220">
        <w:rPr>
          <w:rFonts w:ascii="Arial" w:eastAsia="Times New Roman" w:hAnsi="Arial" w:cs="Arial"/>
          <w:b/>
          <w:bCs/>
          <w:sz w:val="24"/>
          <w:szCs w:val="24"/>
        </w:rPr>
        <w:t>1</w:t>
      </w:r>
      <w:r w:rsidR="001A7290" w:rsidRPr="00C14220">
        <w:rPr>
          <w:rFonts w:ascii="Arial" w:eastAsia="Times New Roman" w:hAnsi="Arial" w:cs="Arial"/>
          <w:b/>
          <w:bCs/>
          <w:sz w:val="24"/>
          <w:szCs w:val="24"/>
        </w:rPr>
        <w:t>9</w:t>
      </w:r>
      <w:r w:rsidR="00C14220" w:rsidRPr="00C14220">
        <w:rPr>
          <w:rFonts w:ascii="Arial" w:eastAsia="Times New Roman" w:hAnsi="Arial" w:cs="Arial"/>
          <w:b/>
          <w:bCs/>
          <w:sz w:val="24"/>
          <w:szCs w:val="24"/>
        </w:rPr>
        <w:t>87</w:t>
      </w:r>
    </w:p>
    <w:p w:rsidR="00FF1348" w:rsidRPr="00C14220" w:rsidRDefault="00F515CF" w:rsidP="00C14220">
      <w:pPr>
        <w:spacing w:after="0" w:line="240" w:lineRule="auto"/>
        <w:rPr>
          <w:rFonts w:ascii="Arial" w:eastAsia="Times New Roman" w:hAnsi="Arial" w:cs="Arial"/>
          <w:sz w:val="24"/>
          <w:szCs w:val="24"/>
        </w:rPr>
      </w:pPr>
      <w:r w:rsidRPr="00C14220">
        <w:rPr>
          <w:rFonts w:ascii="Arial" w:eastAsia="Times New Roman" w:hAnsi="Arial" w:cs="Arial"/>
          <w:sz w:val="24"/>
          <w:szCs w:val="24"/>
        </w:rPr>
        <w:t> </w:t>
      </w:r>
    </w:p>
    <w:p w:rsidR="002355A7" w:rsidRPr="00C14220" w:rsidRDefault="00687C52" w:rsidP="00C14220">
      <w:pPr>
        <w:spacing w:after="0" w:line="240" w:lineRule="auto"/>
        <w:rPr>
          <w:rFonts w:ascii="Arial" w:eastAsia="Times New Roman" w:hAnsi="Arial" w:cs="Arial"/>
          <w:b/>
          <w:bCs/>
          <w:sz w:val="24"/>
          <w:szCs w:val="24"/>
          <w:u w:val="single"/>
        </w:rPr>
      </w:pPr>
      <w:r w:rsidRPr="00C14220">
        <w:rPr>
          <w:rFonts w:ascii="Arial" w:eastAsia="Times New Roman" w:hAnsi="Arial" w:cs="Arial"/>
          <w:b/>
          <w:bCs/>
          <w:sz w:val="24"/>
          <w:szCs w:val="24"/>
          <w:u w:val="single"/>
        </w:rPr>
        <w:t>IN</w:t>
      </w:r>
      <w:r w:rsidR="0021572E" w:rsidRPr="00C14220">
        <w:rPr>
          <w:rFonts w:ascii="Arial" w:eastAsia="Times New Roman" w:hAnsi="Arial" w:cs="Arial"/>
          <w:b/>
          <w:bCs/>
          <w:sz w:val="24"/>
          <w:szCs w:val="24"/>
          <w:u w:val="single"/>
        </w:rPr>
        <w:t xml:space="preserve">TERNAL QUESTION PAPER [No </w:t>
      </w:r>
      <w:r w:rsidR="00DE34D6" w:rsidRPr="00C14220">
        <w:rPr>
          <w:rFonts w:ascii="Arial" w:eastAsia="Times New Roman" w:hAnsi="Arial" w:cs="Arial"/>
          <w:b/>
          <w:bCs/>
          <w:sz w:val="24"/>
          <w:szCs w:val="24"/>
          <w:u w:val="single"/>
        </w:rPr>
        <w:t>1</w:t>
      </w:r>
      <w:r w:rsidR="001A7290" w:rsidRPr="00C14220">
        <w:rPr>
          <w:rFonts w:ascii="Arial" w:eastAsia="Times New Roman" w:hAnsi="Arial" w:cs="Arial"/>
          <w:b/>
          <w:bCs/>
          <w:sz w:val="24"/>
          <w:szCs w:val="24"/>
          <w:u w:val="single"/>
        </w:rPr>
        <w:t>9</w:t>
      </w:r>
      <w:r w:rsidR="0031187C" w:rsidRPr="00C14220">
        <w:rPr>
          <w:rFonts w:ascii="Arial" w:eastAsia="Times New Roman" w:hAnsi="Arial" w:cs="Arial"/>
          <w:b/>
          <w:bCs/>
          <w:sz w:val="24"/>
          <w:szCs w:val="24"/>
          <w:u w:val="single"/>
        </w:rPr>
        <w:t>-20</w:t>
      </w:r>
      <w:r w:rsidR="004A6DEA" w:rsidRPr="00C14220">
        <w:rPr>
          <w:rFonts w:ascii="Arial" w:eastAsia="Times New Roman" w:hAnsi="Arial" w:cs="Arial"/>
          <w:b/>
          <w:bCs/>
          <w:sz w:val="24"/>
          <w:szCs w:val="24"/>
          <w:u w:val="single"/>
        </w:rPr>
        <w:t>2</w:t>
      </w:r>
      <w:r w:rsidR="0048204C" w:rsidRPr="00C14220">
        <w:rPr>
          <w:rFonts w:ascii="Arial" w:eastAsia="Times New Roman" w:hAnsi="Arial" w:cs="Arial"/>
          <w:b/>
          <w:bCs/>
          <w:sz w:val="24"/>
          <w:szCs w:val="24"/>
          <w:u w:val="single"/>
        </w:rPr>
        <w:t>3</w:t>
      </w:r>
      <w:r w:rsidR="0034601D" w:rsidRPr="00C14220">
        <w:rPr>
          <w:rFonts w:ascii="Arial" w:eastAsia="Times New Roman" w:hAnsi="Arial" w:cs="Arial"/>
          <w:b/>
          <w:bCs/>
          <w:sz w:val="24"/>
          <w:szCs w:val="24"/>
          <w:u w:val="single"/>
        </w:rPr>
        <w:t xml:space="preserve"> </w:t>
      </w:r>
      <w:r w:rsidR="00E36039" w:rsidRPr="00C14220">
        <w:rPr>
          <w:rFonts w:ascii="Arial" w:eastAsia="Times New Roman" w:hAnsi="Arial" w:cs="Arial"/>
          <w:b/>
          <w:bCs/>
          <w:sz w:val="24"/>
          <w:szCs w:val="24"/>
          <w:u w:val="single"/>
        </w:rPr>
        <w:t>SIXTH</w:t>
      </w:r>
      <w:r w:rsidR="005F30F3" w:rsidRPr="00C14220">
        <w:rPr>
          <w:rFonts w:ascii="Arial" w:eastAsia="Times New Roman" w:hAnsi="Arial" w:cs="Arial"/>
          <w:b/>
          <w:bCs/>
          <w:sz w:val="24"/>
          <w:szCs w:val="24"/>
          <w:u w:val="single"/>
        </w:rPr>
        <w:t xml:space="preserve"> PARLIAMENT</w:t>
      </w:r>
      <w:r w:rsidR="00F515CF" w:rsidRPr="00C14220">
        <w:rPr>
          <w:rFonts w:ascii="Arial" w:eastAsia="Times New Roman" w:hAnsi="Arial" w:cs="Arial"/>
          <w:b/>
          <w:bCs/>
          <w:sz w:val="24"/>
          <w:szCs w:val="24"/>
          <w:u w:val="single"/>
        </w:rPr>
        <w:t>]</w:t>
      </w:r>
      <w:r w:rsidR="00F515CF" w:rsidRPr="00C14220">
        <w:rPr>
          <w:rFonts w:ascii="Arial" w:eastAsia="Times New Roman" w:hAnsi="Arial" w:cs="Arial"/>
          <w:b/>
          <w:bCs/>
          <w:sz w:val="24"/>
          <w:szCs w:val="24"/>
          <w:u w:val="single"/>
        </w:rPr>
        <w:br/>
      </w:r>
      <w:r w:rsidR="00F83BBF" w:rsidRPr="00C14220">
        <w:rPr>
          <w:rFonts w:ascii="Arial" w:eastAsia="Times New Roman" w:hAnsi="Arial" w:cs="Arial"/>
          <w:b/>
          <w:bCs/>
          <w:sz w:val="24"/>
          <w:szCs w:val="24"/>
          <w:u w:val="single"/>
        </w:rPr>
        <w:t>DATE OF PUBLICATION: </w:t>
      </w:r>
      <w:r w:rsidR="001A7290" w:rsidRPr="00C14220">
        <w:rPr>
          <w:rFonts w:ascii="Arial" w:eastAsia="Times New Roman" w:hAnsi="Arial" w:cs="Arial"/>
          <w:b/>
          <w:bCs/>
          <w:sz w:val="24"/>
          <w:szCs w:val="24"/>
          <w:u w:val="single"/>
        </w:rPr>
        <w:t>26</w:t>
      </w:r>
      <w:r w:rsidR="00667C44" w:rsidRPr="00C14220">
        <w:rPr>
          <w:rFonts w:ascii="Arial" w:eastAsia="Times New Roman" w:hAnsi="Arial" w:cs="Arial"/>
          <w:b/>
          <w:bCs/>
          <w:sz w:val="24"/>
          <w:szCs w:val="24"/>
          <w:u w:val="single"/>
        </w:rPr>
        <w:t xml:space="preserve"> </w:t>
      </w:r>
      <w:r w:rsidR="00477086" w:rsidRPr="00C14220">
        <w:rPr>
          <w:rFonts w:ascii="Arial" w:eastAsia="Times New Roman" w:hAnsi="Arial" w:cs="Arial"/>
          <w:b/>
          <w:bCs/>
          <w:sz w:val="24"/>
          <w:szCs w:val="24"/>
          <w:u w:val="single"/>
        </w:rPr>
        <w:t>MA</w:t>
      </w:r>
      <w:r w:rsidR="00AE4FD6" w:rsidRPr="00C14220">
        <w:rPr>
          <w:rFonts w:ascii="Arial" w:eastAsia="Times New Roman" w:hAnsi="Arial" w:cs="Arial"/>
          <w:b/>
          <w:bCs/>
          <w:sz w:val="24"/>
          <w:szCs w:val="24"/>
          <w:u w:val="single"/>
        </w:rPr>
        <w:t xml:space="preserve">Y  </w:t>
      </w:r>
      <w:r w:rsidR="00F515CF" w:rsidRPr="00C14220">
        <w:rPr>
          <w:rFonts w:ascii="Arial" w:eastAsia="Times New Roman" w:hAnsi="Arial" w:cs="Arial"/>
          <w:b/>
          <w:bCs/>
          <w:sz w:val="24"/>
          <w:szCs w:val="24"/>
          <w:u w:val="single"/>
        </w:rPr>
        <w:t>20</w:t>
      </w:r>
      <w:r w:rsidR="004A6DEA" w:rsidRPr="00C14220">
        <w:rPr>
          <w:rFonts w:ascii="Arial" w:eastAsia="Times New Roman" w:hAnsi="Arial" w:cs="Arial"/>
          <w:b/>
          <w:bCs/>
          <w:sz w:val="24"/>
          <w:szCs w:val="24"/>
          <w:u w:val="single"/>
        </w:rPr>
        <w:t>2</w:t>
      </w:r>
      <w:r w:rsidR="0048204C" w:rsidRPr="00C14220">
        <w:rPr>
          <w:rFonts w:ascii="Arial" w:eastAsia="Times New Roman" w:hAnsi="Arial" w:cs="Arial"/>
          <w:b/>
          <w:bCs/>
          <w:sz w:val="24"/>
          <w:szCs w:val="24"/>
          <w:u w:val="single"/>
        </w:rPr>
        <w:t>3</w:t>
      </w:r>
    </w:p>
    <w:p w:rsidR="00C63DFF" w:rsidRPr="00C14220" w:rsidRDefault="00C63DFF" w:rsidP="00C14220">
      <w:pPr>
        <w:spacing w:after="0" w:line="240" w:lineRule="auto"/>
        <w:ind w:left="709" w:hanging="709"/>
        <w:jc w:val="both"/>
        <w:rPr>
          <w:rFonts w:ascii="Arial" w:hAnsi="Arial" w:cs="Arial"/>
          <w:b/>
          <w:sz w:val="24"/>
          <w:szCs w:val="24"/>
          <w:lang w:val="en-GB"/>
        </w:rPr>
      </w:pPr>
    </w:p>
    <w:p w:rsidR="00C14220" w:rsidRPr="00C14220" w:rsidRDefault="00C14220" w:rsidP="00C14220">
      <w:pPr>
        <w:spacing w:after="0" w:line="240" w:lineRule="auto"/>
        <w:jc w:val="both"/>
        <w:outlineLvl w:val="0"/>
        <w:rPr>
          <w:rFonts w:ascii="Arial" w:hAnsi="Arial" w:cs="Arial"/>
          <w:b/>
          <w:sz w:val="24"/>
          <w:szCs w:val="24"/>
        </w:rPr>
      </w:pPr>
      <w:r w:rsidRPr="00C14220">
        <w:rPr>
          <w:rFonts w:ascii="Arial" w:hAnsi="Arial" w:cs="Arial"/>
          <w:b/>
          <w:sz w:val="24"/>
          <w:szCs w:val="24"/>
        </w:rPr>
        <w:t>1987.</w:t>
      </w:r>
      <w:r>
        <w:rPr>
          <w:rFonts w:ascii="Arial" w:hAnsi="Arial" w:cs="Arial"/>
          <w:b/>
          <w:sz w:val="24"/>
          <w:szCs w:val="24"/>
        </w:rPr>
        <w:t xml:space="preserve"> </w:t>
      </w:r>
      <w:r w:rsidRPr="00C14220">
        <w:rPr>
          <w:rFonts w:ascii="Arial" w:hAnsi="Arial" w:cs="Arial"/>
          <w:b/>
          <w:sz w:val="24"/>
          <w:szCs w:val="24"/>
        </w:rPr>
        <w:t>Mr M K Montwedi (EFF) to ask the Minister of Agriculture, Land Reform and Rural Development</w:t>
      </w:r>
      <w:r w:rsidR="00B7286E" w:rsidRPr="00C14220">
        <w:rPr>
          <w:rFonts w:ascii="Arial" w:hAnsi="Arial" w:cs="Arial"/>
          <w:b/>
          <w:sz w:val="24"/>
          <w:szCs w:val="24"/>
        </w:rPr>
        <w:fldChar w:fldCharType="begin"/>
      </w:r>
      <w:r w:rsidRPr="00C14220">
        <w:rPr>
          <w:rFonts w:ascii="Arial" w:hAnsi="Arial" w:cs="Arial"/>
          <w:sz w:val="24"/>
          <w:szCs w:val="24"/>
        </w:rPr>
        <w:instrText xml:space="preserve"> XE "</w:instrText>
      </w:r>
      <w:r w:rsidRPr="00C14220">
        <w:rPr>
          <w:rFonts w:ascii="Arial" w:hAnsi="Arial" w:cs="Arial"/>
          <w:b/>
          <w:noProof/>
          <w:sz w:val="24"/>
          <w:szCs w:val="24"/>
          <w:lang w:val="af-ZA"/>
        </w:rPr>
        <w:instrText>Minister of Agriculture, Land Reform and Rural Development</w:instrText>
      </w:r>
      <w:r w:rsidRPr="00C14220">
        <w:rPr>
          <w:rFonts w:ascii="Arial" w:hAnsi="Arial" w:cs="Arial"/>
          <w:sz w:val="24"/>
          <w:szCs w:val="24"/>
        </w:rPr>
        <w:instrText xml:space="preserve">" </w:instrText>
      </w:r>
      <w:r w:rsidR="00B7286E" w:rsidRPr="00C14220">
        <w:rPr>
          <w:rFonts w:ascii="Arial" w:hAnsi="Arial" w:cs="Arial"/>
          <w:b/>
          <w:sz w:val="24"/>
          <w:szCs w:val="24"/>
        </w:rPr>
        <w:fldChar w:fldCharType="end"/>
      </w:r>
      <w:r w:rsidRPr="00C14220">
        <w:rPr>
          <w:rFonts w:ascii="Arial" w:hAnsi="Arial" w:cs="Arial"/>
          <w:b/>
          <w:sz w:val="24"/>
          <w:szCs w:val="24"/>
        </w:rPr>
        <w:t>:</w:t>
      </w:r>
    </w:p>
    <w:p w:rsidR="00C14220" w:rsidRDefault="00C14220" w:rsidP="00C14220">
      <w:pPr>
        <w:spacing w:after="0" w:line="240" w:lineRule="auto"/>
        <w:jc w:val="both"/>
        <w:rPr>
          <w:rFonts w:ascii="Arial" w:eastAsia="Calibri" w:hAnsi="Arial" w:cs="Arial"/>
          <w:color w:val="000000"/>
          <w:sz w:val="24"/>
          <w:szCs w:val="24"/>
          <w:lang w:val="en-GB"/>
        </w:rPr>
      </w:pPr>
    </w:p>
    <w:p w:rsidR="001A7290" w:rsidRPr="00787717" w:rsidRDefault="00C14220" w:rsidP="00C14220">
      <w:pPr>
        <w:spacing w:after="0" w:line="240" w:lineRule="auto"/>
        <w:jc w:val="both"/>
        <w:rPr>
          <w:rFonts w:ascii="Arial" w:eastAsia="Calibri" w:hAnsi="Arial" w:cs="Arial"/>
          <w:b/>
          <w:bCs/>
          <w:color w:val="000000"/>
          <w:sz w:val="24"/>
          <w:szCs w:val="24"/>
          <w:lang w:val="en-GB"/>
        </w:rPr>
      </w:pPr>
      <w:r w:rsidRPr="00C14220">
        <w:rPr>
          <w:rFonts w:ascii="Arial" w:eastAsia="Calibri" w:hAnsi="Arial" w:cs="Arial"/>
          <w:color w:val="000000"/>
          <w:sz w:val="24"/>
          <w:szCs w:val="24"/>
          <w:lang w:val="en-GB"/>
        </w:rPr>
        <w:t xml:space="preserve">Considering that it seems clear that sooner or later the Republic will experience a grid collapse that will create </w:t>
      </w:r>
      <w:r w:rsidRPr="00C14220">
        <w:rPr>
          <w:rFonts w:ascii="Arial" w:hAnsi="Arial" w:cs="Arial"/>
          <w:sz w:val="24"/>
          <w:szCs w:val="24"/>
        </w:rPr>
        <w:t>serious</w:t>
      </w:r>
      <w:r w:rsidRPr="00C14220">
        <w:rPr>
          <w:rFonts w:ascii="Arial" w:eastAsia="Calibri" w:hAnsi="Arial" w:cs="Arial"/>
          <w:color w:val="000000"/>
          <w:sz w:val="24"/>
          <w:szCs w:val="24"/>
          <w:lang w:val="en-GB"/>
        </w:rPr>
        <w:t xml:space="preserve"> problems for the agricultural sector, which is already struggling due to the continued load shedding, (a) what (i) contingency plans has her department put in place to deal with the current load shedding crisis and (ii) informed such plans and (b) which stakeholders in the specified sector have contributed to such measures</w:t>
      </w:r>
      <w:r w:rsidRPr="00C14220">
        <w:rPr>
          <w:rFonts w:ascii="Arial" w:eastAsia="Calibri" w:hAnsi="Arial" w:cs="Arial"/>
          <w:bCs/>
          <w:sz w:val="24"/>
          <w:szCs w:val="24"/>
          <w:lang w:val="en-GB"/>
        </w:rPr>
        <w:t>?</w:t>
      </w:r>
      <w:r w:rsidRPr="00C14220">
        <w:rPr>
          <w:rFonts w:ascii="Arial" w:eastAsia="Calibri" w:hAnsi="Arial" w:cs="Arial"/>
          <w:bCs/>
          <w:sz w:val="24"/>
          <w:szCs w:val="24"/>
          <w:lang w:val="en-GB"/>
        </w:rPr>
        <w:tab/>
      </w:r>
      <w:r w:rsidRPr="00C14220">
        <w:rPr>
          <w:rFonts w:ascii="Arial" w:eastAsia="Calibri" w:hAnsi="Arial" w:cs="Arial"/>
          <w:bCs/>
          <w:sz w:val="24"/>
          <w:szCs w:val="24"/>
          <w:lang w:val="en-GB"/>
        </w:rPr>
        <w:tab/>
      </w:r>
      <w:r w:rsidRPr="00C14220">
        <w:rPr>
          <w:rFonts w:ascii="Arial" w:eastAsia="Calibri" w:hAnsi="Arial" w:cs="Arial"/>
          <w:bCs/>
          <w:sz w:val="24"/>
          <w:szCs w:val="24"/>
          <w:lang w:val="en-GB"/>
        </w:rPr>
        <w:tab/>
      </w:r>
      <w:r w:rsidRPr="00C14220">
        <w:rPr>
          <w:rFonts w:ascii="Arial" w:eastAsia="Calibri" w:hAnsi="Arial" w:cs="Arial"/>
          <w:bCs/>
          <w:sz w:val="24"/>
          <w:szCs w:val="24"/>
          <w:lang w:val="en-GB"/>
        </w:rPr>
        <w:tab/>
      </w:r>
      <w:r w:rsidRPr="00C14220">
        <w:rPr>
          <w:rFonts w:ascii="Arial" w:eastAsia="Calibri" w:hAnsi="Arial" w:cs="Arial"/>
          <w:bCs/>
          <w:sz w:val="24"/>
          <w:szCs w:val="24"/>
          <w:lang w:val="en-GB"/>
        </w:rPr>
        <w:tab/>
      </w:r>
      <w:r w:rsidRPr="00C14220">
        <w:rPr>
          <w:rFonts w:ascii="Arial" w:eastAsia="Calibri" w:hAnsi="Arial" w:cs="Arial"/>
          <w:bCs/>
          <w:sz w:val="24"/>
          <w:szCs w:val="24"/>
          <w:lang w:val="en-GB"/>
        </w:rPr>
        <w:tab/>
      </w:r>
      <w:r w:rsidRPr="00C14220">
        <w:rPr>
          <w:rFonts w:ascii="Arial" w:eastAsia="Calibri" w:hAnsi="Arial" w:cs="Arial"/>
          <w:bCs/>
          <w:sz w:val="24"/>
          <w:szCs w:val="24"/>
          <w:lang w:val="en-GB"/>
        </w:rPr>
        <w:tab/>
      </w:r>
      <w:r w:rsidRPr="00C14220">
        <w:rPr>
          <w:rFonts w:ascii="Arial" w:eastAsia="Calibri" w:hAnsi="Arial" w:cs="Arial"/>
          <w:bCs/>
          <w:sz w:val="24"/>
          <w:szCs w:val="24"/>
          <w:lang w:val="en-GB"/>
        </w:rPr>
        <w:tab/>
      </w:r>
      <w:r w:rsidRPr="00C14220">
        <w:rPr>
          <w:rFonts w:ascii="Arial" w:eastAsia="Calibri" w:hAnsi="Arial" w:cs="Arial"/>
          <w:bCs/>
          <w:sz w:val="24"/>
          <w:szCs w:val="24"/>
          <w:lang w:val="en-GB"/>
        </w:rPr>
        <w:tab/>
      </w:r>
      <w:r>
        <w:rPr>
          <w:rFonts w:ascii="Arial" w:eastAsia="Calibri" w:hAnsi="Arial" w:cs="Arial"/>
          <w:bCs/>
          <w:sz w:val="24"/>
          <w:szCs w:val="24"/>
          <w:lang w:val="en-GB"/>
        </w:rPr>
        <w:t xml:space="preserve">               </w:t>
      </w:r>
      <w:r w:rsidRPr="00C14220">
        <w:rPr>
          <w:rFonts w:ascii="Arial" w:hAnsi="Arial" w:cs="Arial"/>
          <w:b/>
          <w:bCs/>
          <w:sz w:val="24"/>
          <w:szCs w:val="24"/>
        </w:rPr>
        <w:t>NW2243E</w:t>
      </w:r>
    </w:p>
    <w:p w:rsidR="001A7290" w:rsidRPr="00C14220" w:rsidRDefault="001A7290" w:rsidP="00C14220">
      <w:pPr>
        <w:spacing w:after="0" w:line="240" w:lineRule="auto"/>
        <w:jc w:val="both"/>
        <w:rPr>
          <w:rFonts w:ascii="Arial" w:hAnsi="Arial" w:cs="Arial"/>
          <w:sz w:val="24"/>
          <w:szCs w:val="24"/>
        </w:rPr>
      </w:pPr>
    </w:p>
    <w:p w:rsidR="00E433A8" w:rsidRPr="00C14220" w:rsidRDefault="00E433A8" w:rsidP="00C14220">
      <w:pPr>
        <w:spacing w:after="0" w:line="240" w:lineRule="auto"/>
        <w:jc w:val="both"/>
        <w:rPr>
          <w:rFonts w:ascii="Arial" w:hAnsi="Arial" w:cs="Arial"/>
          <w:sz w:val="24"/>
          <w:szCs w:val="24"/>
        </w:rPr>
      </w:pPr>
      <w:r w:rsidRPr="00C14220">
        <w:rPr>
          <w:rFonts w:ascii="Arial" w:hAnsi="Arial" w:cs="Arial"/>
          <w:b/>
          <w:sz w:val="24"/>
          <w:szCs w:val="24"/>
        </w:rPr>
        <w:t xml:space="preserve">THE </w:t>
      </w:r>
      <w:r w:rsidR="00E36039" w:rsidRPr="00C14220">
        <w:rPr>
          <w:rFonts w:ascii="Arial" w:hAnsi="Arial" w:cs="Arial"/>
          <w:b/>
          <w:sz w:val="24"/>
          <w:szCs w:val="24"/>
        </w:rPr>
        <w:t>MINISTER OF AGRICULTURE, LAND REFORM AND RURAL DEVELOPMENT</w:t>
      </w:r>
      <w:r w:rsidRPr="00C14220">
        <w:rPr>
          <w:rFonts w:ascii="Arial" w:hAnsi="Arial" w:cs="Arial"/>
          <w:b/>
          <w:sz w:val="24"/>
          <w:szCs w:val="24"/>
        </w:rPr>
        <w:t>:</w:t>
      </w:r>
    </w:p>
    <w:p w:rsidR="002076E1" w:rsidRDefault="002076E1" w:rsidP="00850CE7">
      <w:pPr>
        <w:spacing w:after="0" w:line="240" w:lineRule="auto"/>
        <w:contextualSpacing/>
        <w:jc w:val="both"/>
        <w:rPr>
          <w:rFonts w:ascii="Arial" w:hAnsi="Arial" w:cs="Arial"/>
          <w:b/>
          <w:sz w:val="24"/>
          <w:szCs w:val="24"/>
        </w:rPr>
      </w:pPr>
    </w:p>
    <w:p w:rsidR="00850CE7" w:rsidRPr="002076E1" w:rsidRDefault="00B47FC2" w:rsidP="002076E1">
      <w:pPr>
        <w:pStyle w:val="ListParagraph"/>
        <w:numPr>
          <w:ilvl w:val="0"/>
          <w:numId w:val="29"/>
        </w:numPr>
        <w:spacing w:after="0" w:line="240" w:lineRule="auto"/>
        <w:jc w:val="both"/>
        <w:rPr>
          <w:rFonts w:ascii="Arial" w:hAnsi="Arial" w:cs="Arial"/>
          <w:bCs/>
          <w:sz w:val="24"/>
          <w:szCs w:val="24"/>
        </w:rPr>
      </w:pPr>
      <w:r w:rsidRPr="002076E1">
        <w:rPr>
          <w:rFonts w:ascii="Arial" w:hAnsi="Arial" w:cs="Arial"/>
          <w:bCs/>
          <w:sz w:val="24"/>
          <w:szCs w:val="24"/>
        </w:rPr>
        <w:t xml:space="preserve">(i) </w:t>
      </w:r>
      <w:r w:rsidR="002076E1">
        <w:rPr>
          <w:rFonts w:ascii="Arial" w:hAnsi="Arial" w:cs="Arial"/>
          <w:bCs/>
          <w:sz w:val="24"/>
          <w:szCs w:val="24"/>
        </w:rPr>
        <w:t xml:space="preserve"> </w:t>
      </w:r>
      <w:r w:rsidR="002076E1">
        <w:rPr>
          <w:rFonts w:ascii="Arial" w:hAnsi="Arial" w:cs="Arial"/>
          <w:bCs/>
          <w:sz w:val="24"/>
          <w:szCs w:val="24"/>
        </w:rPr>
        <w:tab/>
      </w:r>
      <w:r w:rsidR="00850CE7" w:rsidRPr="002076E1">
        <w:rPr>
          <w:rFonts w:ascii="Arial" w:hAnsi="Arial" w:cs="Arial"/>
          <w:bCs/>
          <w:sz w:val="24"/>
          <w:szCs w:val="24"/>
        </w:rPr>
        <w:t>The D</w:t>
      </w:r>
      <w:r w:rsidR="002076E1">
        <w:rPr>
          <w:rFonts w:ascii="Arial" w:hAnsi="Arial" w:cs="Arial"/>
          <w:bCs/>
          <w:sz w:val="24"/>
          <w:szCs w:val="24"/>
        </w:rPr>
        <w:t xml:space="preserve">epartment of </w:t>
      </w:r>
      <w:r w:rsidR="00850CE7" w:rsidRPr="002076E1">
        <w:rPr>
          <w:rFonts w:ascii="Arial" w:hAnsi="Arial" w:cs="Arial"/>
          <w:bCs/>
          <w:sz w:val="24"/>
          <w:szCs w:val="24"/>
        </w:rPr>
        <w:t>A</w:t>
      </w:r>
      <w:r w:rsidR="002076E1">
        <w:rPr>
          <w:rFonts w:ascii="Arial" w:hAnsi="Arial" w:cs="Arial"/>
          <w:bCs/>
          <w:sz w:val="24"/>
          <w:szCs w:val="24"/>
        </w:rPr>
        <w:t xml:space="preserve">griculture, Land Reform and Rural Development </w:t>
      </w:r>
      <w:r w:rsidR="00850CE7" w:rsidRPr="002076E1">
        <w:rPr>
          <w:rFonts w:ascii="Arial" w:hAnsi="Arial" w:cs="Arial"/>
          <w:bCs/>
          <w:sz w:val="24"/>
          <w:szCs w:val="24"/>
        </w:rPr>
        <w:t>established a Sector Energy Crisis Task Team comprised of</w:t>
      </w:r>
      <w:r w:rsidR="002076E1">
        <w:rPr>
          <w:rFonts w:ascii="Arial" w:hAnsi="Arial" w:cs="Arial"/>
          <w:bCs/>
          <w:sz w:val="24"/>
          <w:szCs w:val="24"/>
        </w:rPr>
        <w:t xml:space="preserve"> g</w:t>
      </w:r>
      <w:r w:rsidR="00850CE7" w:rsidRPr="002076E1">
        <w:rPr>
          <w:rFonts w:ascii="Arial" w:hAnsi="Arial" w:cs="Arial"/>
          <w:bCs/>
          <w:sz w:val="24"/>
          <w:szCs w:val="24"/>
        </w:rPr>
        <w:t xml:space="preserve">overnment, </w:t>
      </w:r>
      <w:r w:rsidR="002076E1">
        <w:rPr>
          <w:rFonts w:ascii="Arial" w:hAnsi="Arial" w:cs="Arial"/>
          <w:bCs/>
          <w:sz w:val="24"/>
          <w:szCs w:val="24"/>
        </w:rPr>
        <w:t>i</w:t>
      </w:r>
      <w:r w:rsidR="00850CE7" w:rsidRPr="002076E1">
        <w:rPr>
          <w:rFonts w:ascii="Arial" w:hAnsi="Arial" w:cs="Arial"/>
          <w:bCs/>
          <w:sz w:val="24"/>
          <w:szCs w:val="24"/>
        </w:rPr>
        <w:t>ndustry</w:t>
      </w:r>
      <w:r w:rsidR="00787717" w:rsidRPr="002076E1">
        <w:rPr>
          <w:rFonts w:ascii="Arial" w:hAnsi="Arial" w:cs="Arial"/>
          <w:bCs/>
          <w:sz w:val="24"/>
          <w:szCs w:val="24"/>
        </w:rPr>
        <w:t xml:space="preserve">, </w:t>
      </w:r>
      <w:r w:rsidR="002076E1">
        <w:rPr>
          <w:rFonts w:ascii="Arial" w:hAnsi="Arial" w:cs="Arial"/>
          <w:bCs/>
          <w:sz w:val="24"/>
          <w:szCs w:val="24"/>
        </w:rPr>
        <w:t>r</w:t>
      </w:r>
      <w:r w:rsidR="00850CE7" w:rsidRPr="002076E1">
        <w:rPr>
          <w:rFonts w:ascii="Arial" w:hAnsi="Arial" w:cs="Arial"/>
          <w:bCs/>
          <w:sz w:val="24"/>
          <w:szCs w:val="24"/>
        </w:rPr>
        <w:t xml:space="preserve">esearch </w:t>
      </w:r>
      <w:r w:rsidR="002076E1">
        <w:rPr>
          <w:rFonts w:ascii="Arial" w:hAnsi="Arial" w:cs="Arial"/>
          <w:bCs/>
          <w:sz w:val="24"/>
          <w:szCs w:val="24"/>
        </w:rPr>
        <w:t>i</w:t>
      </w:r>
      <w:r w:rsidR="00850CE7" w:rsidRPr="002076E1">
        <w:rPr>
          <w:rFonts w:ascii="Arial" w:hAnsi="Arial" w:cs="Arial"/>
          <w:bCs/>
          <w:sz w:val="24"/>
          <w:szCs w:val="24"/>
        </w:rPr>
        <w:t xml:space="preserve">nstitutions and </w:t>
      </w:r>
      <w:r w:rsidR="002076E1">
        <w:rPr>
          <w:rFonts w:ascii="Arial" w:hAnsi="Arial" w:cs="Arial"/>
          <w:bCs/>
          <w:sz w:val="24"/>
          <w:szCs w:val="24"/>
        </w:rPr>
        <w:t>s</w:t>
      </w:r>
      <w:r w:rsidR="00850CE7" w:rsidRPr="002076E1">
        <w:rPr>
          <w:rFonts w:ascii="Arial" w:hAnsi="Arial" w:cs="Arial"/>
          <w:bCs/>
          <w:sz w:val="24"/>
          <w:szCs w:val="24"/>
        </w:rPr>
        <w:t xml:space="preserve">ector </w:t>
      </w:r>
      <w:r w:rsidR="002076E1">
        <w:rPr>
          <w:rFonts w:ascii="Arial" w:hAnsi="Arial" w:cs="Arial"/>
          <w:bCs/>
          <w:sz w:val="24"/>
          <w:szCs w:val="24"/>
        </w:rPr>
        <w:t>e</w:t>
      </w:r>
      <w:r w:rsidR="00850CE7" w:rsidRPr="002076E1">
        <w:rPr>
          <w:rFonts w:ascii="Arial" w:hAnsi="Arial" w:cs="Arial"/>
          <w:bCs/>
          <w:sz w:val="24"/>
          <w:szCs w:val="24"/>
        </w:rPr>
        <w:t>ntities. The work of the Task Team</w:t>
      </w:r>
      <w:r w:rsidR="002076E1">
        <w:rPr>
          <w:rFonts w:ascii="Arial" w:hAnsi="Arial" w:cs="Arial"/>
          <w:bCs/>
          <w:sz w:val="24"/>
          <w:szCs w:val="24"/>
        </w:rPr>
        <w:t>,</w:t>
      </w:r>
      <w:r w:rsidR="00850CE7" w:rsidRPr="002076E1">
        <w:rPr>
          <w:rFonts w:ascii="Arial" w:hAnsi="Arial" w:cs="Arial"/>
          <w:bCs/>
          <w:sz w:val="24"/>
          <w:szCs w:val="24"/>
        </w:rPr>
        <w:t xml:space="preserve"> engaging with Eskom </w:t>
      </w:r>
      <w:r w:rsidRPr="002076E1">
        <w:rPr>
          <w:rFonts w:ascii="Arial" w:hAnsi="Arial" w:cs="Arial"/>
          <w:bCs/>
          <w:sz w:val="24"/>
          <w:szCs w:val="24"/>
        </w:rPr>
        <w:t>looked at</w:t>
      </w:r>
      <w:r w:rsidR="00850CE7" w:rsidRPr="002076E1">
        <w:rPr>
          <w:rFonts w:ascii="Arial" w:hAnsi="Arial" w:cs="Arial"/>
          <w:bCs/>
          <w:sz w:val="24"/>
          <w:szCs w:val="24"/>
        </w:rPr>
        <w:t xml:space="preserve"> immediate, short and long term </w:t>
      </w:r>
      <w:r w:rsidRPr="002076E1">
        <w:rPr>
          <w:rFonts w:ascii="Arial" w:hAnsi="Arial" w:cs="Arial"/>
          <w:bCs/>
          <w:sz w:val="24"/>
          <w:szCs w:val="24"/>
        </w:rPr>
        <w:t>contingency plans</w:t>
      </w:r>
      <w:r w:rsidR="00850CE7" w:rsidRPr="002076E1">
        <w:rPr>
          <w:rFonts w:ascii="Arial" w:hAnsi="Arial" w:cs="Arial"/>
          <w:bCs/>
          <w:sz w:val="24"/>
          <w:szCs w:val="24"/>
        </w:rPr>
        <w:t xml:space="preserve"> to protect the sector against the negative impact of load shedding. The interventions will cover the sector at large including all categories of farmers. The interventions are also being aligned to the pronouncement</w:t>
      </w:r>
      <w:r w:rsidR="002076E1">
        <w:rPr>
          <w:rFonts w:ascii="Arial" w:hAnsi="Arial" w:cs="Arial"/>
          <w:bCs/>
          <w:sz w:val="24"/>
          <w:szCs w:val="24"/>
        </w:rPr>
        <w:t>s</w:t>
      </w:r>
      <w:r w:rsidR="00850CE7" w:rsidRPr="002076E1">
        <w:rPr>
          <w:rFonts w:ascii="Arial" w:hAnsi="Arial" w:cs="Arial"/>
          <w:bCs/>
          <w:sz w:val="24"/>
          <w:szCs w:val="24"/>
        </w:rPr>
        <w:t xml:space="preserve"> delivered by the Minister of Finance during his budget speech statement.  </w:t>
      </w:r>
    </w:p>
    <w:p w:rsidR="00850CE7" w:rsidRDefault="00850CE7" w:rsidP="00850CE7">
      <w:pPr>
        <w:spacing w:after="0" w:line="240" w:lineRule="auto"/>
        <w:contextualSpacing/>
        <w:jc w:val="both"/>
        <w:rPr>
          <w:rFonts w:ascii="Arial" w:hAnsi="Arial" w:cs="Arial"/>
          <w:bCs/>
          <w:sz w:val="24"/>
          <w:szCs w:val="24"/>
        </w:rPr>
      </w:pPr>
    </w:p>
    <w:p w:rsidR="006C32C3" w:rsidRPr="00787717" w:rsidRDefault="00B47FC2" w:rsidP="002076E1">
      <w:pPr>
        <w:spacing w:after="0" w:line="240" w:lineRule="auto"/>
        <w:ind w:firstLine="360"/>
        <w:contextualSpacing/>
        <w:jc w:val="both"/>
        <w:rPr>
          <w:rFonts w:ascii="Arial" w:hAnsi="Arial" w:cs="Arial"/>
          <w:b/>
          <w:bCs/>
          <w:sz w:val="24"/>
          <w:szCs w:val="24"/>
          <w:lang w:val="en-GB"/>
        </w:rPr>
      </w:pPr>
      <w:r>
        <w:rPr>
          <w:rFonts w:ascii="Arial" w:hAnsi="Arial" w:cs="Arial"/>
          <w:b/>
          <w:bCs/>
          <w:sz w:val="24"/>
          <w:szCs w:val="24"/>
          <w:lang w:val="en-GB"/>
        </w:rPr>
        <w:t>The proposed interventions</w:t>
      </w:r>
      <w:r w:rsidR="00850CE7">
        <w:rPr>
          <w:rFonts w:ascii="Arial" w:hAnsi="Arial" w:cs="Arial"/>
          <w:b/>
          <w:bCs/>
          <w:sz w:val="24"/>
          <w:szCs w:val="24"/>
          <w:lang w:val="en-GB"/>
        </w:rPr>
        <w:t xml:space="preserve"> are: </w:t>
      </w:r>
    </w:p>
    <w:p w:rsidR="00850CE7" w:rsidRPr="002076E1" w:rsidRDefault="00850CE7" w:rsidP="002076E1">
      <w:pPr>
        <w:pStyle w:val="ListParagraph"/>
        <w:numPr>
          <w:ilvl w:val="0"/>
          <w:numId w:val="30"/>
        </w:numPr>
        <w:spacing w:after="0" w:line="240" w:lineRule="auto"/>
        <w:jc w:val="both"/>
        <w:rPr>
          <w:rFonts w:ascii="Arial" w:hAnsi="Arial" w:cs="Arial"/>
          <w:bCs/>
          <w:sz w:val="24"/>
          <w:szCs w:val="24"/>
        </w:rPr>
      </w:pPr>
      <w:r w:rsidRPr="002076E1">
        <w:rPr>
          <w:rFonts w:ascii="Arial" w:hAnsi="Arial" w:cs="Arial"/>
          <w:bCs/>
          <w:sz w:val="24"/>
          <w:szCs w:val="24"/>
          <w:lang w:val="en-GB"/>
        </w:rPr>
        <w:t xml:space="preserve">Customers with dedicated supply infrastructure should apply for load </w:t>
      </w:r>
      <w:r w:rsidR="00B47FC2" w:rsidRPr="002076E1">
        <w:rPr>
          <w:rFonts w:ascii="Arial" w:hAnsi="Arial" w:cs="Arial"/>
          <w:bCs/>
          <w:sz w:val="24"/>
          <w:szCs w:val="24"/>
          <w:lang w:val="en-GB"/>
        </w:rPr>
        <w:t>curtailment.</w:t>
      </w:r>
    </w:p>
    <w:p w:rsidR="00850CE7" w:rsidRPr="002076E1" w:rsidRDefault="00850CE7" w:rsidP="002076E1">
      <w:pPr>
        <w:pStyle w:val="ListParagraph"/>
        <w:numPr>
          <w:ilvl w:val="0"/>
          <w:numId w:val="30"/>
        </w:numPr>
        <w:spacing w:after="0" w:line="240" w:lineRule="auto"/>
        <w:jc w:val="both"/>
        <w:rPr>
          <w:rFonts w:ascii="Arial" w:hAnsi="Arial" w:cs="Arial"/>
          <w:bCs/>
          <w:sz w:val="24"/>
          <w:szCs w:val="24"/>
        </w:rPr>
      </w:pPr>
      <w:r w:rsidRPr="002076E1">
        <w:rPr>
          <w:rFonts w:ascii="Arial" w:hAnsi="Arial" w:cs="Arial"/>
          <w:bCs/>
          <w:sz w:val="24"/>
          <w:szCs w:val="24"/>
        </w:rPr>
        <w:t>Customers supplied by the same feeder/ substation can group together and apply for load curtailment</w:t>
      </w:r>
      <w:r w:rsidR="00B47FC2" w:rsidRPr="002076E1">
        <w:rPr>
          <w:rFonts w:ascii="Arial" w:hAnsi="Arial" w:cs="Arial"/>
          <w:bCs/>
          <w:sz w:val="24"/>
          <w:szCs w:val="24"/>
        </w:rPr>
        <w:t>.</w:t>
      </w:r>
    </w:p>
    <w:p w:rsidR="00850CE7" w:rsidRPr="002076E1" w:rsidRDefault="00850CE7" w:rsidP="002076E1">
      <w:pPr>
        <w:pStyle w:val="ListParagraph"/>
        <w:numPr>
          <w:ilvl w:val="0"/>
          <w:numId w:val="30"/>
        </w:numPr>
        <w:spacing w:after="0" w:line="240" w:lineRule="auto"/>
        <w:jc w:val="both"/>
        <w:rPr>
          <w:rFonts w:ascii="Arial" w:hAnsi="Arial" w:cs="Arial"/>
          <w:bCs/>
          <w:sz w:val="24"/>
          <w:szCs w:val="24"/>
        </w:rPr>
      </w:pPr>
      <w:r w:rsidRPr="002076E1">
        <w:rPr>
          <w:rFonts w:ascii="Arial" w:hAnsi="Arial" w:cs="Arial"/>
          <w:bCs/>
          <w:sz w:val="24"/>
          <w:szCs w:val="24"/>
          <w:lang w:val="en-GB"/>
        </w:rPr>
        <w:t xml:space="preserve">Review the schedule (duration and or time) where possible, to accommodate the needs of majority of customers (the criteria will </w:t>
      </w:r>
      <w:r w:rsidR="00B47FC2" w:rsidRPr="002076E1">
        <w:rPr>
          <w:rFonts w:ascii="Arial" w:hAnsi="Arial" w:cs="Arial"/>
          <w:bCs/>
          <w:sz w:val="24"/>
          <w:szCs w:val="24"/>
          <w:lang w:val="en-GB"/>
        </w:rPr>
        <w:t xml:space="preserve">be </w:t>
      </w:r>
      <w:r w:rsidRPr="002076E1">
        <w:rPr>
          <w:rFonts w:ascii="Arial" w:hAnsi="Arial" w:cs="Arial"/>
          <w:bCs/>
          <w:sz w:val="24"/>
          <w:szCs w:val="24"/>
          <w:lang w:val="en-GB"/>
        </w:rPr>
        <w:t>based on impact/number of commercial customers)</w:t>
      </w:r>
      <w:r w:rsidR="002076E1">
        <w:rPr>
          <w:rFonts w:ascii="Arial" w:hAnsi="Arial" w:cs="Arial"/>
          <w:bCs/>
          <w:sz w:val="24"/>
          <w:szCs w:val="24"/>
          <w:lang w:val="en-GB"/>
        </w:rPr>
        <w:t>.</w:t>
      </w:r>
    </w:p>
    <w:p w:rsidR="00850CE7" w:rsidRPr="002076E1" w:rsidRDefault="00850CE7" w:rsidP="002076E1">
      <w:pPr>
        <w:pStyle w:val="ListParagraph"/>
        <w:numPr>
          <w:ilvl w:val="0"/>
          <w:numId w:val="30"/>
        </w:numPr>
        <w:spacing w:after="0" w:line="240" w:lineRule="auto"/>
        <w:jc w:val="both"/>
        <w:rPr>
          <w:rFonts w:ascii="Arial" w:hAnsi="Arial" w:cs="Arial"/>
          <w:bCs/>
          <w:sz w:val="24"/>
          <w:szCs w:val="24"/>
        </w:rPr>
      </w:pPr>
      <w:r w:rsidRPr="002076E1">
        <w:rPr>
          <w:rFonts w:ascii="Arial" w:hAnsi="Arial" w:cs="Arial"/>
          <w:bCs/>
          <w:sz w:val="24"/>
          <w:szCs w:val="24"/>
          <w:lang w:val="en-US"/>
        </w:rPr>
        <w:t xml:space="preserve">Customers in municipal supply area where switching is done by Eskom and </w:t>
      </w:r>
      <w:r w:rsidR="002076E1">
        <w:rPr>
          <w:rFonts w:ascii="Arial" w:hAnsi="Arial" w:cs="Arial"/>
          <w:bCs/>
          <w:sz w:val="24"/>
          <w:szCs w:val="24"/>
          <w:lang w:val="en-US"/>
        </w:rPr>
        <w:t xml:space="preserve">where </w:t>
      </w:r>
      <w:r w:rsidRPr="002076E1">
        <w:rPr>
          <w:rFonts w:ascii="Arial" w:hAnsi="Arial" w:cs="Arial"/>
          <w:bCs/>
          <w:sz w:val="24"/>
          <w:szCs w:val="24"/>
          <w:lang w:val="en-US"/>
        </w:rPr>
        <w:t>possible</w:t>
      </w:r>
      <w:r w:rsidR="002076E1">
        <w:rPr>
          <w:rFonts w:ascii="Arial" w:hAnsi="Arial" w:cs="Arial"/>
          <w:bCs/>
          <w:sz w:val="24"/>
          <w:szCs w:val="24"/>
          <w:lang w:val="en-US"/>
        </w:rPr>
        <w:t>,</w:t>
      </w:r>
      <w:r w:rsidRPr="002076E1">
        <w:rPr>
          <w:rFonts w:ascii="Arial" w:hAnsi="Arial" w:cs="Arial"/>
          <w:bCs/>
          <w:sz w:val="24"/>
          <w:szCs w:val="24"/>
          <w:lang w:val="en-US"/>
        </w:rPr>
        <w:t xml:space="preserve"> to exempt/curtail, municipalities to be allowed to do own switching to accommodate customers</w:t>
      </w:r>
      <w:r w:rsidR="00B47FC2" w:rsidRPr="002076E1">
        <w:rPr>
          <w:rFonts w:ascii="Arial" w:hAnsi="Arial" w:cs="Arial"/>
          <w:bCs/>
          <w:sz w:val="24"/>
          <w:szCs w:val="24"/>
          <w:lang w:val="en-US"/>
        </w:rPr>
        <w:t>.</w:t>
      </w:r>
    </w:p>
    <w:p w:rsidR="00850CE7" w:rsidRPr="002076E1" w:rsidRDefault="00850CE7" w:rsidP="002076E1">
      <w:pPr>
        <w:pStyle w:val="ListParagraph"/>
        <w:numPr>
          <w:ilvl w:val="0"/>
          <w:numId w:val="30"/>
        </w:numPr>
        <w:spacing w:after="0" w:line="240" w:lineRule="auto"/>
        <w:jc w:val="both"/>
        <w:rPr>
          <w:rFonts w:ascii="Arial" w:hAnsi="Arial" w:cs="Arial"/>
          <w:bCs/>
          <w:sz w:val="24"/>
          <w:szCs w:val="24"/>
        </w:rPr>
      </w:pPr>
      <w:r w:rsidRPr="002076E1">
        <w:rPr>
          <w:rFonts w:ascii="Arial" w:hAnsi="Arial" w:cs="Arial"/>
          <w:bCs/>
          <w:sz w:val="24"/>
          <w:szCs w:val="24"/>
          <w:lang w:val="en-GB"/>
        </w:rPr>
        <w:t>Reconfigure the network to allow possible isolation where possible</w:t>
      </w:r>
      <w:r w:rsidR="00B47FC2" w:rsidRPr="002076E1">
        <w:rPr>
          <w:rFonts w:ascii="Arial" w:hAnsi="Arial" w:cs="Arial"/>
          <w:bCs/>
          <w:sz w:val="24"/>
          <w:szCs w:val="24"/>
          <w:lang w:val="en-GB"/>
        </w:rPr>
        <w:t>.</w:t>
      </w:r>
    </w:p>
    <w:p w:rsidR="00850CE7" w:rsidRPr="002076E1" w:rsidRDefault="00850CE7" w:rsidP="002076E1">
      <w:pPr>
        <w:pStyle w:val="ListParagraph"/>
        <w:numPr>
          <w:ilvl w:val="0"/>
          <w:numId w:val="30"/>
        </w:numPr>
        <w:spacing w:after="0" w:line="240" w:lineRule="auto"/>
        <w:jc w:val="both"/>
        <w:rPr>
          <w:rFonts w:ascii="Arial" w:hAnsi="Arial" w:cs="Arial"/>
          <w:bCs/>
          <w:sz w:val="24"/>
          <w:szCs w:val="24"/>
        </w:rPr>
      </w:pPr>
      <w:r w:rsidRPr="002076E1">
        <w:rPr>
          <w:rFonts w:ascii="Arial" w:hAnsi="Arial" w:cs="Arial"/>
          <w:bCs/>
          <w:sz w:val="24"/>
          <w:szCs w:val="24"/>
          <w:lang w:val="en-GB"/>
        </w:rPr>
        <w:t>Install micro grids, PV’s and battery containers for critical loads especially during critical times such as harvesting, irrigation and refrigeration- this will require customers to identify the essential load.</w:t>
      </w:r>
    </w:p>
    <w:p w:rsidR="00B47FC2" w:rsidRPr="00B47FC2" w:rsidRDefault="00B47FC2" w:rsidP="00B47FC2">
      <w:pPr>
        <w:spacing w:after="0" w:line="240" w:lineRule="auto"/>
        <w:ind w:left="360"/>
        <w:jc w:val="both"/>
        <w:rPr>
          <w:rFonts w:ascii="Arial" w:hAnsi="Arial" w:cs="Arial"/>
          <w:bCs/>
          <w:sz w:val="24"/>
          <w:szCs w:val="24"/>
        </w:rPr>
      </w:pPr>
    </w:p>
    <w:p w:rsidR="00B47FC2" w:rsidRPr="00B47FC2" w:rsidRDefault="00B47FC2" w:rsidP="002076E1">
      <w:pPr>
        <w:tabs>
          <w:tab w:val="left" w:pos="426"/>
        </w:tabs>
        <w:spacing w:after="0" w:line="240" w:lineRule="auto"/>
        <w:ind w:left="360"/>
        <w:jc w:val="both"/>
        <w:rPr>
          <w:rFonts w:ascii="Arial" w:eastAsia="Arial" w:hAnsi="Arial" w:cs="Arial"/>
          <w:sz w:val="24"/>
          <w:szCs w:val="24"/>
          <w:lang w:val="en-US"/>
        </w:rPr>
      </w:pPr>
      <w:r>
        <w:rPr>
          <w:rFonts w:ascii="Arial" w:hAnsi="Arial" w:cs="Arial"/>
          <w:bCs/>
          <w:sz w:val="24"/>
          <w:szCs w:val="24"/>
        </w:rPr>
        <w:t xml:space="preserve">As announced during my </w:t>
      </w:r>
      <w:r w:rsidR="002076E1">
        <w:rPr>
          <w:rFonts w:ascii="Arial" w:hAnsi="Arial" w:cs="Arial"/>
          <w:bCs/>
          <w:sz w:val="24"/>
          <w:szCs w:val="24"/>
        </w:rPr>
        <w:t>B</w:t>
      </w:r>
      <w:r>
        <w:rPr>
          <w:rFonts w:ascii="Arial" w:hAnsi="Arial" w:cs="Arial"/>
          <w:bCs/>
          <w:sz w:val="24"/>
          <w:szCs w:val="24"/>
        </w:rPr>
        <w:t xml:space="preserve">udget </w:t>
      </w:r>
      <w:r w:rsidR="002076E1">
        <w:rPr>
          <w:rFonts w:ascii="Arial" w:hAnsi="Arial" w:cs="Arial"/>
          <w:bCs/>
          <w:sz w:val="24"/>
          <w:szCs w:val="24"/>
        </w:rPr>
        <w:t>S</w:t>
      </w:r>
      <w:r>
        <w:rPr>
          <w:rFonts w:ascii="Arial" w:hAnsi="Arial" w:cs="Arial"/>
          <w:bCs/>
          <w:sz w:val="24"/>
          <w:szCs w:val="24"/>
        </w:rPr>
        <w:t xml:space="preserve">peech, </w:t>
      </w:r>
      <w:r w:rsidRPr="00B47FC2">
        <w:rPr>
          <w:rFonts w:ascii="Arial" w:eastAsia="Arial" w:hAnsi="Arial" w:cs="Arial"/>
          <w:sz w:val="24"/>
          <w:szCs w:val="24"/>
          <w:lang w:val="en-US"/>
        </w:rPr>
        <w:t xml:space="preserve">the Department </w:t>
      </w:r>
      <w:r>
        <w:rPr>
          <w:rFonts w:ascii="Arial" w:eastAsia="Arial" w:hAnsi="Arial" w:cs="Arial"/>
          <w:sz w:val="24"/>
          <w:szCs w:val="24"/>
          <w:lang w:val="en-US"/>
        </w:rPr>
        <w:t>is establishing</w:t>
      </w:r>
      <w:r w:rsidRPr="00B47FC2">
        <w:rPr>
          <w:rFonts w:ascii="Arial" w:eastAsia="Arial" w:hAnsi="Arial" w:cs="Arial"/>
          <w:sz w:val="24"/>
          <w:szCs w:val="24"/>
          <w:lang w:val="en-US"/>
        </w:rPr>
        <w:t xml:space="preserve"> the Agro-Energy Fund at the Land Bank. This is a blended finance instrument where the state will provide a grant on a sliding scale per producer category combined with a loan from the Land Bank.  </w:t>
      </w:r>
    </w:p>
    <w:p w:rsidR="00B47FC2" w:rsidRPr="00B47FC2" w:rsidRDefault="00B47FC2" w:rsidP="00B47FC2">
      <w:pPr>
        <w:tabs>
          <w:tab w:val="left" w:pos="426"/>
        </w:tabs>
        <w:spacing w:after="0" w:line="240" w:lineRule="auto"/>
        <w:jc w:val="both"/>
        <w:rPr>
          <w:rFonts w:ascii="Arial" w:eastAsia="Arial" w:hAnsi="Arial" w:cs="Arial"/>
          <w:sz w:val="24"/>
          <w:szCs w:val="24"/>
          <w:lang w:val="en-US"/>
        </w:rPr>
      </w:pPr>
    </w:p>
    <w:p w:rsidR="00B47FC2" w:rsidRPr="00B47FC2" w:rsidRDefault="00B47FC2" w:rsidP="002076E1">
      <w:pPr>
        <w:spacing w:after="0" w:line="240" w:lineRule="auto"/>
        <w:ind w:left="360"/>
        <w:contextualSpacing/>
        <w:jc w:val="both"/>
        <w:rPr>
          <w:rFonts w:ascii="Arial" w:eastAsia="Arial" w:hAnsi="Arial" w:cs="Arial"/>
          <w:bCs/>
          <w:sz w:val="24"/>
          <w:szCs w:val="24"/>
          <w:lang w:val="en-US"/>
        </w:rPr>
      </w:pPr>
      <w:r w:rsidRPr="00B47FC2">
        <w:rPr>
          <w:rFonts w:ascii="Arial" w:eastAsia="Arial" w:hAnsi="Arial" w:cs="Arial"/>
          <w:bCs/>
          <w:sz w:val="24"/>
          <w:szCs w:val="24"/>
          <w:lang w:val="en-US"/>
        </w:rPr>
        <w:t xml:space="preserve">The focus of the Agro-Energy Fund is on energy intensive agricultural activities. These include irrigation, intensive agricultural production systems, and on-farm cold chain related activities. The blended thresholds and caps per category of producer are as follows: </w:t>
      </w:r>
    </w:p>
    <w:p w:rsidR="00B47FC2" w:rsidRPr="002076E1" w:rsidRDefault="00B47FC2" w:rsidP="002076E1">
      <w:pPr>
        <w:pStyle w:val="ListParagraph"/>
        <w:numPr>
          <w:ilvl w:val="0"/>
          <w:numId w:val="30"/>
        </w:numPr>
        <w:spacing w:after="0" w:line="240" w:lineRule="auto"/>
        <w:jc w:val="both"/>
        <w:rPr>
          <w:rFonts w:ascii="Arial" w:eastAsia="Arial" w:hAnsi="Arial" w:cs="Arial"/>
          <w:bCs/>
          <w:sz w:val="24"/>
          <w:szCs w:val="24"/>
          <w:lang w:val="en-US"/>
        </w:rPr>
      </w:pPr>
      <w:r w:rsidRPr="002076E1">
        <w:rPr>
          <w:rFonts w:ascii="Arial" w:eastAsia="Arial" w:hAnsi="Arial" w:cs="Arial"/>
          <w:bCs/>
          <w:sz w:val="24"/>
          <w:szCs w:val="24"/>
          <w:lang/>
        </w:rPr>
        <w:lastRenderedPageBreak/>
        <w:t xml:space="preserve">a </w:t>
      </w:r>
      <w:r w:rsidRPr="002076E1">
        <w:rPr>
          <w:rFonts w:ascii="Arial" w:eastAsia="Arial" w:hAnsi="Arial" w:cs="Arial"/>
          <w:b/>
          <w:sz w:val="24"/>
          <w:szCs w:val="24"/>
          <w:lang w:val="en-US"/>
        </w:rPr>
        <w:t>large-scale producer</w:t>
      </w:r>
      <w:r w:rsidRPr="002076E1">
        <w:rPr>
          <w:rFonts w:ascii="Arial" w:eastAsia="Arial" w:hAnsi="Arial" w:cs="Arial"/>
          <w:bCs/>
          <w:sz w:val="24"/>
          <w:szCs w:val="24"/>
          <w:lang w:val="en-US"/>
        </w:rPr>
        <w:t xml:space="preserve"> will receive 30% grant funding to be matched with a 70% loan portion, where the grant amount is capped at the maximum of R1.5 million;</w:t>
      </w:r>
    </w:p>
    <w:p w:rsidR="00B47FC2" w:rsidRPr="002076E1" w:rsidRDefault="00B47FC2" w:rsidP="002076E1">
      <w:pPr>
        <w:pStyle w:val="ListParagraph"/>
        <w:numPr>
          <w:ilvl w:val="0"/>
          <w:numId w:val="30"/>
        </w:numPr>
        <w:spacing w:after="0" w:line="240" w:lineRule="auto"/>
        <w:jc w:val="both"/>
        <w:rPr>
          <w:rFonts w:ascii="Arial" w:eastAsia="Arial" w:hAnsi="Arial" w:cs="Arial"/>
          <w:bCs/>
          <w:sz w:val="24"/>
          <w:szCs w:val="24"/>
          <w:lang w:val="en-US"/>
        </w:rPr>
      </w:pPr>
      <w:r w:rsidRPr="002076E1">
        <w:rPr>
          <w:rFonts w:ascii="Arial" w:eastAsia="Arial" w:hAnsi="Arial" w:cs="Arial"/>
          <w:bCs/>
          <w:sz w:val="24"/>
          <w:szCs w:val="24"/>
          <w:lang w:val="en-US"/>
        </w:rPr>
        <w:t xml:space="preserve">a </w:t>
      </w:r>
      <w:r w:rsidRPr="002076E1">
        <w:rPr>
          <w:rFonts w:ascii="Arial" w:eastAsia="Arial" w:hAnsi="Arial" w:cs="Arial"/>
          <w:b/>
          <w:sz w:val="24"/>
          <w:szCs w:val="24"/>
          <w:lang w:val="en-US"/>
        </w:rPr>
        <w:t>medium-scale producer</w:t>
      </w:r>
      <w:r w:rsidRPr="002076E1">
        <w:rPr>
          <w:rFonts w:ascii="Arial" w:eastAsia="Arial" w:hAnsi="Arial" w:cs="Arial"/>
          <w:bCs/>
          <w:sz w:val="24"/>
          <w:szCs w:val="24"/>
          <w:lang w:val="en-US"/>
        </w:rPr>
        <w:t xml:space="preserve"> will receive a 50% grant to be matched with a 50% loan portion, where the grant is capped at the maximum of R1 million; and </w:t>
      </w:r>
    </w:p>
    <w:p w:rsidR="00B47FC2" w:rsidRPr="002076E1" w:rsidRDefault="00B47FC2" w:rsidP="002076E1">
      <w:pPr>
        <w:pStyle w:val="ListParagraph"/>
        <w:numPr>
          <w:ilvl w:val="0"/>
          <w:numId w:val="30"/>
        </w:numPr>
        <w:spacing w:after="0" w:line="240" w:lineRule="auto"/>
        <w:jc w:val="both"/>
        <w:rPr>
          <w:rFonts w:ascii="Arial" w:eastAsia="Arial" w:hAnsi="Arial" w:cs="Arial"/>
          <w:bCs/>
          <w:sz w:val="24"/>
          <w:szCs w:val="24"/>
          <w:lang w:val="en-US"/>
        </w:rPr>
      </w:pPr>
      <w:r w:rsidRPr="002076E1">
        <w:rPr>
          <w:rFonts w:ascii="Arial" w:eastAsia="Arial" w:hAnsi="Arial" w:cs="Arial"/>
          <w:bCs/>
          <w:sz w:val="24"/>
          <w:szCs w:val="24"/>
          <w:lang w:val="en-US"/>
        </w:rPr>
        <w:t xml:space="preserve">a </w:t>
      </w:r>
      <w:r w:rsidR="002076E1">
        <w:rPr>
          <w:rFonts w:ascii="Arial" w:eastAsia="Arial" w:hAnsi="Arial" w:cs="Arial"/>
          <w:b/>
          <w:sz w:val="24"/>
          <w:szCs w:val="24"/>
          <w:lang w:val="en-US"/>
        </w:rPr>
        <w:t>s</w:t>
      </w:r>
      <w:r w:rsidRPr="002076E1">
        <w:rPr>
          <w:rFonts w:ascii="Arial" w:eastAsia="Arial" w:hAnsi="Arial" w:cs="Arial"/>
          <w:b/>
          <w:sz w:val="24"/>
          <w:szCs w:val="24"/>
          <w:lang w:val="en-US"/>
        </w:rPr>
        <w:t>mallholder producer</w:t>
      </w:r>
      <w:r w:rsidRPr="002076E1">
        <w:rPr>
          <w:rFonts w:ascii="Arial" w:eastAsia="Arial" w:hAnsi="Arial" w:cs="Arial"/>
          <w:bCs/>
          <w:sz w:val="24"/>
          <w:szCs w:val="24"/>
          <w:lang w:val="en-US"/>
        </w:rPr>
        <w:t xml:space="preserve"> will be supported by a grant portion of 70% to be matched with a 30% loan. For this category, the maximum grant funding is capped at the maximum of R500 000. </w:t>
      </w:r>
    </w:p>
    <w:p w:rsidR="00B47FC2" w:rsidRPr="002076E1" w:rsidRDefault="00B47FC2" w:rsidP="00B47FC2">
      <w:pPr>
        <w:spacing w:line="240" w:lineRule="auto"/>
        <w:jc w:val="both"/>
        <w:rPr>
          <w:rFonts w:ascii="Arial" w:hAnsi="Arial" w:cs="Arial"/>
          <w:b/>
          <w:sz w:val="24"/>
          <w:szCs w:val="24"/>
          <w:lang w:val="en-GB"/>
        </w:rPr>
      </w:pPr>
    </w:p>
    <w:p w:rsidR="00B47FC2" w:rsidRPr="00B47FC2" w:rsidRDefault="002076E1" w:rsidP="00B47FC2">
      <w:pPr>
        <w:tabs>
          <w:tab w:val="left" w:pos="426"/>
        </w:tabs>
        <w:spacing w:after="0" w:line="240" w:lineRule="auto"/>
        <w:jc w:val="both"/>
        <w:rPr>
          <w:rFonts w:ascii="Arial" w:eastAsia="Arial" w:hAnsi="Arial" w:cs="Arial"/>
          <w:b/>
          <w:bCs/>
          <w:sz w:val="24"/>
          <w:szCs w:val="24"/>
        </w:rPr>
      </w:pPr>
      <w:r w:rsidRPr="002076E1">
        <w:rPr>
          <w:rFonts w:ascii="Arial" w:hAnsi="Arial" w:cs="Arial"/>
          <w:b/>
          <w:sz w:val="24"/>
          <w:szCs w:val="24"/>
          <w:lang w:val="en-GB"/>
        </w:rPr>
        <w:tab/>
      </w:r>
      <w:r>
        <w:rPr>
          <w:rFonts w:ascii="Arial" w:hAnsi="Arial" w:cs="Arial"/>
          <w:b/>
          <w:sz w:val="24"/>
          <w:szCs w:val="24"/>
          <w:lang w:val="en-GB"/>
        </w:rPr>
        <w:tab/>
      </w:r>
      <w:r w:rsidR="00B47FC2" w:rsidRPr="002076E1">
        <w:rPr>
          <w:rFonts w:ascii="Arial" w:hAnsi="Arial" w:cs="Arial"/>
          <w:b/>
          <w:sz w:val="24"/>
          <w:szCs w:val="24"/>
          <w:lang w:val="en-GB"/>
        </w:rPr>
        <w:t>Table 1: Grant Limits</w:t>
      </w:r>
    </w:p>
    <w:tbl>
      <w:tblPr>
        <w:tblStyle w:val="TableGrid"/>
        <w:tblW w:w="8831" w:type="dxa"/>
        <w:tblInd w:w="607" w:type="dxa"/>
        <w:tblLook w:val="04A0"/>
      </w:tblPr>
      <w:tblGrid>
        <w:gridCol w:w="2588"/>
        <w:gridCol w:w="2210"/>
        <w:gridCol w:w="1921"/>
        <w:gridCol w:w="2112"/>
      </w:tblGrid>
      <w:tr w:rsidR="00B47FC2" w:rsidRPr="00B47FC2" w:rsidTr="002076E1">
        <w:trPr>
          <w:trHeight w:val="524"/>
        </w:trPr>
        <w:tc>
          <w:tcPr>
            <w:tcW w:w="2588" w:type="dxa"/>
          </w:tcPr>
          <w:p w:rsidR="00B47FC2" w:rsidRPr="00B47FC2" w:rsidRDefault="00B47FC2" w:rsidP="00B47FC2">
            <w:pPr>
              <w:rPr>
                <w:rFonts w:ascii="Arial" w:hAnsi="Arial" w:cs="Arial"/>
                <w:sz w:val="24"/>
                <w:szCs w:val="24"/>
                <w:lang w:val="en-GB"/>
              </w:rPr>
            </w:pPr>
            <w:r w:rsidRPr="00B47FC2">
              <w:rPr>
                <w:rFonts w:ascii="Arial" w:hAnsi="Arial" w:cs="Arial"/>
                <w:b/>
                <w:sz w:val="24"/>
                <w:szCs w:val="24"/>
                <w:lang w:val="en-GB"/>
              </w:rPr>
              <w:t>Farmer Categorization</w:t>
            </w:r>
          </w:p>
        </w:tc>
        <w:tc>
          <w:tcPr>
            <w:tcW w:w="2210"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Large Scale Farmer</w:t>
            </w:r>
          </w:p>
        </w:tc>
        <w:tc>
          <w:tcPr>
            <w:tcW w:w="1921"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Medium Scale Farmer</w:t>
            </w:r>
          </w:p>
        </w:tc>
        <w:tc>
          <w:tcPr>
            <w:tcW w:w="2112"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Small Scale Farmer</w:t>
            </w:r>
          </w:p>
        </w:tc>
      </w:tr>
      <w:tr w:rsidR="00B47FC2" w:rsidRPr="00B47FC2" w:rsidTr="002076E1">
        <w:trPr>
          <w:trHeight w:val="359"/>
        </w:trPr>
        <w:tc>
          <w:tcPr>
            <w:tcW w:w="2588"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 xml:space="preserve">Turnover </w:t>
            </w:r>
          </w:p>
        </w:tc>
        <w:tc>
          <w:tcPr>
            <w:tcW w:w="2210"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&gt;R10m &lt;R50m</w:t>
            </w:r>
          </w:p>
        </w:tc>
        <w:tc>
          <w:tcPr>
            <w:tcW w:w="1921"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&gt;R1m-R10m</w:t>
            </w:r>
          </w:p>
        </w:tc>
        <w:tc>
          <w:tcPr>
            <w:tcW w:w="2112"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&gt;R50k -R1m</w:t>
            </w:r>
          </w:p>
        </w:tc>
      </w:tr>
      <w:tr w:rsidR="00B47FC2" w:rsidRPr="00B47FC2" w:rsidTr="002076E1">
        <w:trPr>
          <w:trHeight w:val="550"/>
        </w:trPr>
        <w:tc>
          <w:tcPr>
            <w:tcW w:w="2588"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 Grant of the Cost (valid Quotation)</w:t>
            </w:r>
          </w:p>
        </w:tc>
        <w:tc>
          <w:tcPr>
            <w:tcW w:w="2210"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30%</w:t>
            </w:r>
          </w:p>
        </w:tc>
        <w:tc>
          <w:tcPr>
            <w:tcW w:w="1921"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50%</w:t>
            </w:r>
          </w:p>
        </w:tc>
        <w:tc>
          <w:tcPr>
            <w:tcW w:w="2112"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70%</w:t>
            </w:r>
          </w:p>
        </w:tc>
      </w:tr>
      <w:tr w:rsidR="00B47FC2" w:rsidRPr="00B47FC2" w:rsidTr="002076E1">
        <w:trPr>
          <w:trHeight w:val="524"/>
        </w:trPr>
        <w:tc>
          <w:tcPr>
            <w:tcW w:w="2588"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 xml:space="preserve">Land Bank Loan Component </w:t>
            </w:r>
          </w:p>
        </w:tc>
        <w:tc>
          <w:tcPr>
            <w:tcW w:w="2210"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70%</w:t>
            </w:r>
          </w:p>
        </w:tc>
        <w:tc>
          <w:tcPr>
            <w:tcW w:w="1921"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50%</w:t>
            </w:r>
          </w:p>
        </w:tc>
        <w:tc>
          <w:tcPr>
            <w:tcW w:w="2112"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30%</w:t>
            </w:r>
          </w:p>
        </w:tc>
      </w:tr>
      <w:tr w:rsidR="00B47FC2" w:rsidRPr="00B47FC2" w:rsidTr="002076E1">
        <w:trPr>
          <w:trHeight w:val="329"/>
        </w:trPr>
        <w:tc>
          <w:tcPr>
            <w:tcW w:w="2588"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Grant Caps</w:t>
            </w:r>
          </w:p>
        </w:tc>
        <w:tc>
          <w:tcPr>
            <w:tcW w:w="2210"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R1.5m</w:t>
            </w:r>
          </w:p>
        </w:tc>
        <w:tc>
          <w:tcPr>
            <w:tcW w:w="1921"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R1m</w:t>
            </w:r>
          </w:p>
        </w:tc>
        <w:tc>
          <w:tcPr>
            <w:tcW w:w="2112" w:type="dxa"/>
          </w:tcPr>
          <w:p w:rsidR="00B47FC2" w:rsidRPr="00B47FC2" w:rsidRDefault="00B47FC2" w:rsidP="00B47FC2">
            <w:pPr>
              <w:rPr>
                <w:rFonts w:ascii="Arial" w:hAnsi="Arial" w:cs="Arial"/>
                <w:sz w:val="24"/>
                <w:szCs w:val="24"/>
                <w:lang w:val="en-GB"/>
              </w:rPr>
            </w:pPr>
            <w:r w:rsidRPr="00B47FC2">
              <w:rPr>
                <w:rFonts w:ascii="Arial" w:hAnsi="Arial" w:cs="Arial"/>
                <w:sz w:val="24"/>
                <w:szCs w:val="24"/>
                <w:lang w:val="en-GB"/>
              </w:rPr>
              <w:t>R500 000</w:t>
            </w:r>
          </w:p>
        </w:tc>
      </w:tr>
    </w:tbl>
    <w:p w:rsidR="002076E1" w:rsidRDefault="002076E1" w:rsidP="002076E1">
      <w:pPr>
        <w:spacing w:line="240" w:lineRule="auto"/>
        <w:jc w:val="both"/>
        <w:rPr>
          <w:rFonts w:ascii="Arial" w:hAnsi="Arial" w:cs="Arial"/>
          <w:sz w:val="24"/>
          <w:szCs w:val="24"/>
          <w:lang w:val="en-GB"/>
        </w:rPr>
      </w:pPr>
    </w:p>
    <w:p w:rsidR="00B47FC2" w:rsidRPr="002076E1" w:rsidRDefault="006C32C3" w:rsidP="002076E1">
      <w:pPr>
        <w:spacing w:line="240" w:lineRule="auto"/>
        <w:ind w:left="720" w:hanging="720"/>
        <w:jc w:val="both"/>
        <w:rPr>
          <w:rFonts w:ascii="Arial" w:hAnsi="Arial" w:cs="Arial"/>
          <w:sz w:val="24"/>
          <w:szCs w:val="24"/>
        </w:rPr>
      </w:pPr>
      <w:r w:rsidRPr="002076E1">
        <w:rPr>
          <w:rFonts w:ascii="Arial" w:hAnsi="Arial" w:cs="Arial"/>
          <w:sz w:val="24"/>
          <w:szCs w:val="24"/>
          <w:lang w:val="en-GB"/>
        </w:rPr>
        <w:t>(i</w:t>
      </w:r>
      <w:r w:rsidR="009C01DF" w:rsidRPr="002076E1">
        <w:rPr>
          <w:rFonts w:ascii="Arial" w:hAnsi="Arial" w:cs="Arial"/>
          <w:sz w:val="24"/>
          <w:szCs w:val="24"/>
          <w:lang w:val="en-GB"/>
        </w:rPr>
        <w:t>i</w:t>
      </w:r>
      <w:r w:rsidRPr="002076E1">
        <w:rPr>
          <w:rFonts w:ascii="Arial" w:hAnsi="Arial" w:cs="Arial"/>
          <w:sz w:val="24"/>
          <w:szCs w:val="24"/>
          <w:lang w:val="en-GB"/>
        </w:rPr>
        <w:t>)</w:t>
      </w:r>
      <w:r w:rsidR="002076E1">
        <w:rPr>
          <w:rFonts w:ascii="Arial" w:hAnsi="Arial" w:cs="Arial"/>
          <w:sz w:val="24"/>
          <w:szCs w:val="24"/>
          <w:lang w:val="en-GB"/>
        </w:rPr>
        <w:t xml:space="preserve">  </w:t>
      </w:r>
      <w:r w:rsidR="002076E1">
        <w:rPr>
          <w:rFonts w:ascii="Arial" w:hAnsi="Arial" w:cs="Arial"/>
          <w:sz w:val="24"/>
          <w:szCs w:val="24"/>
          <w:lang w:val="en-GB"/>
        </w:rPr>
        <w:tab/>
      </w:r>
      <w:r w:rsidR="00B47FC2" w:rsidRPr="002076E1">
        <w:rPr>
          <w:rFonts w:ascii="Arial" w:hAnsi="Arial" w:cs="Arial"/>
          <w:sz w:val="24"/>
          <w:szCs w:val="24"/>
          <w:lang w:val="en-GB"/>
        </w:rPr>
        <w:t>The Grant caps will be according to Table 1 above</w:t>
      </w:r>
      <w:r w:rsidR="00F8058D">
        <w:rPr>
          <w:rFonts w:ascii="Arial" w:hAnsi="Arial" w:cs="Arial"/>
          <w:sz w:val="24"/>
          <w:szCs w:val="24"/>
          <w:lang w:val="en-GB"/>
        </w:rPr>
        <w:t>;</w:t>
      </w:r>
      <w:r w:rsidR="00B47FC2" w:rsidRPr="002076E1">
        <w:rPr>
          <w:rFonts w:ascii="Arial" w:hAnsi="Arial" w:cs="Arial"/>
          <w:sz w:val="24"/>
          <w:szCs w:val="24"/>
          <w:lang w:val="en-GB"/>
        </w:rPr>
        <w:t xml:space="preserve"> </w:t>
      </w:r>
      <w:r w:rsidR="00F8058D" w:rsidRPr="002076E1">
        <w:rPr>
          <w:rFonts w:ascii="Arial" w:hAnsi="Arial" w:cs="Arial"/>
          <w:sz w:val="24"/>
          <w:szCs w:val="24"/>
          <w:lang w:val="en-GB"/>
        </w:rPr>
        <w:t>however,</w:t>
      </w:r>
      <w:r w:rsidR="00B47FC2" w:rsidRPr="002076E1">
        <w:rPr>
          <w:rFonts w:ascii="Arial" w:hAnsi="Arial" w:cs="Arial"/>
          <w:sz w:val="24"/>
          <w:szCs w:val="24"/>
          <w:lang w:val="en-GB"/>
        </w:rPr>
        <w:t xml:space="preserve"> the cost of the infrastructure needed by the farmer will be informed by the farmer’s farm energy requirement assessment based on the kilowatts. The pre-assessment by a competent expert registered with the South African Photovoltaic Industry Association (SAPVIA) will be key so that the correct fit for purpose system is installed. </w:t>
      </w:r>
    </w:p>
    <w:p w:rsidR="006C32C3" w:rsidRDefault="00B47FC2" w:rsidP="002076E1">
      <w:pPr>
        <w:tabs>
          <w:tab w:val="left" w:pos="426"/>
        </w:tabs>
        <w:spacing w:after="0" w:line="240" w:lineRule="auto"/>
        <w:ind w:left="720"/>
        <w:jc w:val="both"/>
        <w:rPr>
          <w:rFonts w:ascii="Arial" w:eastAsia="Arial" w:hAnsi="Arial" w:cs="Arial"/>
          <w:sz w:val="24"/>
          <w:szCs w:val="24"/>
        </w:rPr>
      </w:pPr>
      <w:r w:rsidRPr="00B47FC2">
        <w:rPr>
          <w:rFonts w:ascii="Arial" w:eastAsia="Arial" w:hAnsi="Arial" w:cs="Arial"/>
          <w:sz w:val="24"/>
          <w:szCs w:val="24"/>
        </w:rPr>
        <w:t xml:space="preserve">The Blended Agro-Energy facility will be used by qualifying producers for the purchase of capital equipment and infrastructure (CAPEX) for alternative energy sources directly linked to energy-intensive farming operations. </w:t>
      </w:r>
    </w:p>
    <w:p w:rsidR="00787717" w:rsidRPr="00787717" w:rsidRDefault="00787717" w:rsidP="00787717">
      <w:pPr>
        <w:tabs>
          <w:tab w:val="left" w:pos="426"/>
        </w:tabs>
        <w:spacing w:after="0" w:line="240" w:lineRule="auto"/>
        <w:jc w:val="both"/>
        <w:rPr>
          <w:rFonts w:ascii="Arial" w:eastAsia="Arial" w:hAnsi="Arial" w:cs="Arial"/>
          <w:sz w:val="24"/>
          <w:szCs w:val="24"/>
        </w:rPr>
      </w:pPr>
    </w:p>
    <w:p w:rsidR="00B47FC2" w:rsidRPr="00B47FC2" w:rsidRDefault="00B47FC2" w:rsidP="002076E1">
      <w:pPr>
        <w:spacing w:line="240" w:lineRule="auto"/>
        <w:ind w:firstLine="720"/>
        <w:jc w:val="both"/>
        <w:rPr>
          <w:rFonts w:ascii="Arial" w:hAnsi="Arial" w:cs="Arial"/>
          <w:b/>
          <w:sz w:val="24"/>
          <w:szCs w:val="24"/>
          <w:u w:val="single"/>
        </w:rPr>
      </w:pPr>
      <w:r w:rsidRPr="00B47FC2">
        <w:rPr>
          <w:rFonts w:ascii="Arial" w:hAnsi="Arial" w:cs="Arial"/>
          <w:b/>
          <w:sz w:val="24"/>
          <w:szCs w:val="24"/>
          <w:u w:val="single"/>
        </w:rPr>
        <w:t>Table 2: Common high energy consuming activities at the farm level</w:t>
      </w:r>
    </w:p>
    <w:tbl>
      <w:tblPr>
        <w:tblStyle w:val="TableGrid"/>
        <w:tblW w:w="9016" w:type="dxa"/>
        <w:tblInd w:w="607" w:type="dxa"/>
        <w:tblLook w:val="04A0"/>
      </w:tblPr>
      <w:tblGrid>
        <w:gridCol w:w="1803"/>
        <w:gridCol w:w="1803"/>
        <w:gridCol w:w="1803"/>
        <w:gridCol w:w="1803"/>
        <w:gridCol w:w="1804"/>
      </w:tblGrid>
      <w:tr w:rsidR="00B47FC2" w:rsidRPr="00B47FC2" w:rsidTr="002076E1">
        <w:tc>
          <w:tcPr>
            <w:tcW w:w="1803" w:type="dxa"/>
          </w:tcPr>
          <w:p w:rsidR="00B47FC2" w:rsidRPr="00787717" w:rsidRDefault="00B47FC2" w:rsidP="00B47FC2">
            <w:pPr>
              <w:jc w:val="both"/>
              <w:rPr>
                <w:rFonts w:ascii="Arial" w:hAnsi="Arial" w:cs="Arial"/>
                <w:b/>
                <w:lang w:val="en-GB"/>
              </w:rPr>
            </w:pPr>
            <w:r w:rsidRPr="00787717">
              <w:rPr>
                <w:rFonts w:ascii="Arial" w:hAnsi="Arial" w:cs="Arial"/>
                <w:b/>
                <w:lang w:val="en-GB"/>
              </w:rPr>
              <w:t>Dairy Farming</w:t>
            </w:r>
          </w:p>
        </w:tc>
        <w:tc>
          <w:tcPr>
            <w:tcW w:w="1803" w:type="dxa"/>
          </w:tcPr>
          <w:p w:rsidR="00B47FC2" w:rsidRPr="00787717" w:rsidRDefault="00B47FC2" w:rsidP="00B47FC2">
            <w:pPr>
              <w:jc w:val="both"/>
              <w:rPr>
                <w:rFonts w:ascii="Arial" w:hAnsi="Arial" w:cs="Arial"/>
                <w:b/>
                <w:lang w:val="en-GB"/>
              </w:rPr>
            </w:pPr>
            <w:r w:rsidRPr="00787717">
              <w:rPr>
                <w:rFonts w:ascii="Arial" w:hAnsi="Arial" w:cs="Arial"/>
                <w:b/>
                <w:lang w:val="en-GB"/>
              </w:rPr>
              <w:t>Piggery</w:t>
            </w:r>
          </w:p>
        </w:tc>
        <w:tc>
          <w:tcPr>
            <w:tcW w:w="1803" w:type="dxa"/>
          </w:tcPr>
          <w:p w:rsidR="00B47FC2" w:rsidRPr="00787717" w:rsidRDefault="00B47FC2" w:rsidP="00B47FC2">
            <w:pPr>
              <w:jc w:val="both"/>
              <w:rPr>
                <w:rFonts w:ascii="Arial" w:hAnsi="Arial" w:cs="Arial"/>
                <w:b/>
                <w:lang w:val="en-GB"/>
              </w:rPr>
            </w:pPr>
            <w:r w:rsidRPr="00787717">
              <w:rPr>
                <w:rFonts w:ascii="Arial" w:hAnsi="Arial" w:cs="Arial"/>
                <w:b/>
                <w:lang w:val="en-GB"/>
              </w:rPr>
              <w:t>Poultry</w:t>
            </w:r>
          </w:p>
        </w:tc>
        <w:tc>
          <w:tcPr>
            <w:tcW w:w="1803" w:type="dxa"/>
          </w:tcPr>
          <w:p w:rsidR="00B47FC2" w:rsidRPr="00787717" w:rsidRDefault="00B47FC2" w:rsidP="00B47FC2">
            <w:pPr>
              <w:jc w:val="both"/>
              <w:rPr>
                <w:rFonts w:ascii="Arial" w:hAnsi="Arial" w:cs="Arial"/>
                <w:b/>
                <w:lang w:val="en-GB"/>
              </w:rPr>
            </w:pPr>
            <w:r w:rsidRPr="00787717">
              <w:rPr>
                <w:rFonts w:ascii="Arial" w:hAnsi="Arial" w:cs="Arial"/>
                <w:b/>
                <w:lang w:val="en-GB"/>
              </w:rPr>
              <w:t>Field Cropping</w:t>
            </w:r>
          </w:p>
        </w:tc>
        <w:tc>
          <w:tcPr>
            <w:tcW w:w="1804" w:type="dxa"/>
          </w:tcPr>
          <w:p w:rsidR="00B47FC2" w:rsidRPr="00787717" w:rsidRDefault="00B47FC2" w:rsidP="00B47FC2">
            <w:pPr>
              <w:jc w:val="both"/>
              <w:rPr>
                <w:rFonts w:ascii="Arial" w:hAnsi="Arial" w:cs="Arial"/>
                <w:b/>
                <w:lang w:val="en-GB"/>
              </w:rPr>
            </w:pPr>
            <w:r w:rsidRPr="00787717">
              <w:rPr>
                <w:rFonts w:ascii="Arial" w:hAnsi="Arial" w:cs="Arial"/>
                <w:b/>
                <w:lang w:val="en-GB"/>
              </w:rPr>
              <w:t>Horticulture including (Greenhouse)</w:t>
            </w:r>
          </w:p>
        </w:tc>
      </w:tr>
      <w:tr w:rsidR="00B47FC2" w:rsidRPr="00B47FC2" w:rsidTr="002076E1">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Milk cooling machinery</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Heating</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Lighting</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Cold Storage</w:t>
            </w:r>
          </w:p>
        </w:tc>
        <w:tc>
          <w:tcPr>
            <w:tcW w:w="1804" w:type="dxa"/>
          </w:tcPr>
          <w:p w:rsidR="00B47FC2" w:rsidRPr="00787717" w:rsidRDefault="00B47FC2" w:rsidP="00B47FC2">
            <w:pPr>
              <w:jc w:val="both"/>
              <w:rPr>
                <w:rFonts w:ascii="Arial" w:hAnsi="Arial" w:cs="Arial"/>
                <w:lang w:val="en-GB"/>
              </w:rPr>
            </w:pPr>
            <w:r w:rsidRPr="00787717">
              <w:rPr>
                <w:rFonts w:ascii="Arial" w:hAnsi="Arial" w:cs="Arial"/>
                <w:lang w:val="en-GB"/>
              </w:rPr>
              <w:t>Cold Storage</w:t>
            </w:r>
          </w:p>
        </w:tc>
      </w:tr>
      <w:tr w:rsidR="00B47FC2" w:rsidRPr="00B47FC2" w:rsidTr="002076E1">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Lighting</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Ventilation</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Feeding machinery</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Tilling</w:t>
            </w:r>
          </w:p>
        </w:tc>
        <w:tc>
          <w:tcPr>
            <w:tcW w:w="1804" w:type="dxa"/>
          </w:tcPr>
          <w:p w:rsidR="00B47FC2" w:rsidRPr="00787717" w:rsidRDefault="00B47FC2" w:rsidP="00B47FC2">
            <w:pPr>
              <w:jc w:val="both"/>
              <w:rPr>
                <w:rFonts w:ascii="Arial" w:hAnsi="Arial" w:cs="Arial"/>
                <w:lang w:val="en-GB"/>
              </w:rPr>
            </w:pPr>
            <w:r w:rsidRPr="00787717">
              <w:rPr>
                <w:rFonts w:ascii="Arial" w:hAnsi="Arial" w:cs="Arial"/>
                <w:lang w:val="en-GB"/>
              </w:rPr>
              <w:t>Irrigation</w:t>
            </w:r>
          </w:p>
        </w:tc>
      </w:tr>
      <w:tr w:rsidR="00B47FC2" w:rsidRPr="00B47FC2" w:rsidTr="002076E1">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Milking machinery</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Lighting</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Ventilation</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Irrigation</w:t>
            </w:r>
          </w:p>
        </w:tc>
        <w:tc>
          <w:tcPr>
            <w:tcW w:w="1804" w:type="dxa"/>
          </w:tcPr>
          <w:p w:rsidR="00B47FC2" w:rsidRPr="00787717" w:rsidRDefault="00B47FC2" w:rsidP="00B47FC2">
            <w:pPr>
              <w:jc w:val="both"/>
              <w:rPr>
                <w:rFonts w:ascii="Arial" w:hAnsi="Arial" w:cs="Arial"/>
                <w:lang w:val="en-GB"/>
              </w:rPr>
            </w:pPr>
            <w:r w:rsidRPr="00787717">
              <w:rPr>
                <w:rFonts w:ascii="Arial" w:hAnsi="Arial" w:cs="Arial"/>
                <w:lang w:val="en-GB"/>
              </w:rPr>
              <w:t>Ventilation</w:t>
            </w:r>
          </w:p>
        </w:tc>
      </w:tr>
      <w:tr w:rsidR="00B47FC2" w:rsidRPr="00B47FC2" w:rsidTr="002076E1">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Feeding machinery</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Feeding machinery</w:t>
            </w:r>
          </w:p>
        </w:tc>
        <w:tc>
          <w:tcPr>
            <w:tcW w:w="1803" w:type="dxa"/>
          </w:tcPr>
          <w:p w:rsidR="00B47FC2" w:rsidRPr="00787717" w:rsidRDefault="00B47FC2" w:rsidP="00B47FC2">
            <w:pPr>
              <w:jc w:val="both"/>
              <w:rPr>
                <w:rFonts w:ascii="Arial" w:hAnsi="Arial" w:cs="Arial"/>
                <w:lang w:val="en-GB"/>
              </w:rPr>
            </w:pPr>
            <w:r w:rsidRPr="00787717">
              <w:rPr>
                <w:rFonts w:ascii="Arial" w:hAnsi="Arial" w:cs="Arial"/>
                <w:lang w:val="en-GB"/>
              </w:rPr>
              <w:t>Heating</w:t>
            </w:r>
          </w:p>
        </w:tc>
        <w:tc>
          <w:tcPr>
            <w:tcW w:w="1803" w:type="dxa"/>
          </w:tcPr>
          <w:p w:rsidR="00B47FC2" w:rsidRPr="00787717" w:rsidRDefault="00B47FC2" w:rsidP="00B47FC2">
            <w:pPr>
              <w:jc w:val="both"/>
              <w:rPr>
                <w:rFonts w:ascii="Arial" w:hAnsi="Arial" w:cs="Arial"/>
                <w:lang w:val="en-GB"/>
              </w:rPr>
            </w:pPr>
          </w:p>
        </w:tc>
        <w:tc>
          <w:tcPr>
            <w:tcW w:w="1804" w:type="dxa"/>
          </w:tcPr>
          <w:p w:rsidR="00B47FC2" w:rsidRPr="00787717" w:rsidRDefault="00B47FC2" w:rsidP="00B47FC2">
            <w:pPr>
              <w:jc w:val="both"/>
              <w:rPr>
                <w:rFonts w:ascii="Arial" w:hAnsi="Arial" w:cs="Arial"/>
                <w:lang w:val="en-GB"/>
              </w:rPr>
            </w:pPr>
            <w:r w:rsidRPr="00787717">
              <w:rPr>
                <w:rFonts w:ascii="Arial" w:hAnsi="Arial" w:cs="Arial"/>
                <w:lang w:val="en-GB"/>
              </w:rPr>
              <w:t>Lighting</w:t>
            </w:r>
          </w:p>
        </w:tc>
      </w:tr>
    </w:tbl>
    <w:p w:rsidR="00B47FC2" w:rsidRPr="00787717" w:rsidRDefault="00B47FC2" w:rsidP="002076E1">
      <w:pPr>
        <w:spacing w:line="240" w:lineRule="auto"/>
        <w:ind w:firstLine="720"/>
        <w:jc w:val="both"/>
        <w:rPr>
          <w:rFonts w:ascii="Arial" w:hAnsi="Arial" w:cs="Arial"/>
          <w:b/>
          <w:i/>
          <w:sz w:val="20"/>
          <w:szCs w:val="20"/>
          <w:lang w:val="en-GB"/>
        </w:rPr>
      </w:pPr>
      <w:r w:rsidRPr="00787717">
        <w:rPr>
          <w:rFonts w:ascii="Arial" w:hAnsi="Arial" w:cs="Arial"/>
          <w:b/>
          <w:i/>
          <w:sz w:val="20"/>
          <w:szCs w:val="20"/>
          <w:lang w:val="en-GB"/>
        </w:rPr>
        <w:t xml:space="preserve">NB: the list is not exhaustive </w:t>
      </w:r>
    </w:p>
    <w:p w:rsidR="00B47FC2" w:rsidRPr="002076E1" w:rsidRDefault="002076E1" w:rsidP="002076E1">
      <w:pPr>
        <w:pStyle w:val="ListParagraph"/>
        <w:numPr>
          <w:ilvl w:val="0"/>
          <w:numId w:val="29"/>
        </w:numPr>
        <w:spacing w:line="240" w:lineRule="auto"/>
        <w:jc w:val="both"/>
        <w:rPr>
          <w:rFonts w:ascii="Arial" w:hAnsi="Arial" w:cs="Arial"/>
          <w:bCs/>
          <w:sz w:val="24"/>
          <w:szCs w:val="24"/>
          <w:lang w:val="en-GB"/>
        </w:rPr>
      </w:pPr>
      <w:r>
        <w:rPr>
          <w:rFonts w:ascii="Arial" w:hAnsi="Arial" w:cs="Arial"/>
          <w:bCs/>
          <w:sz w:val="24"/>
          <w:szCs w:val="24"/>
          <w:lang w:val="en-GB"/>
        </w:rPr>
        <w:t xml:space="preserve">DALRRD </w:t>
      </w:r>
      <w:r w:rsidR="006C32C3" w:rsidRPr="002076E1">
        <w:rPr>
          <w:rFonts w:ascii="Arial" w:hAnsi="Arial" w:cs="Arial"/>
          <w:bCs/>
          <w:sz w:val="24"/>
          <w:szCs w:val="24"/>
          <w:lang w:val="en-GB"/>
        </w:rPr>
        <w:t xml:space="preserve">consulted sector stakeholders and continues to do so. The stakeholders consulted include the CEOs of </w:t>
      </w:r>
      <w:r w:rsidR="00F8058D">
        <w:rPr>
          <w:rFonts w:ascii="Arial" w:hAnsi="Arial" w:cs="Arial"/>
          <w:bCs/>
          <w:sz w:val="24"/>
          <w:szCs w:val="24"/>
          <w:lang w:val="en-GB"/>
        </w:rPr>
        <w:t>i</w:t>
      </w:r>
      <w:r w:rsidR="006C32C3" w:rsidRPr="002076E1">
        <w:rPr>
          <w:rFonts w:ascii="Arial" w:hAnsi="Arial" w:cs="Arial"/>
          <w:bCs/>
          <w:sz w:val="24"/>
          <w:szCs w:val="24"/>
          <w:lang w:val="en-GB"/>
        </w:rPr>
        <w:t>ndustry, commodity organisations, research</w:t>
      </w:r>
      <w:r w:rsidR="00787717" w:rsidRPr="002076E1">
        <w:rPr>
          <w:rFonts w:ascii="Arial" w:hAnsi="Arial" w:cs="Arial"/>
          <w:bCs/>
          <w:sz w:val="24"/>
          <w:szCs w:val="24"/>
          <w:lang w:val="en-GB"/>
        </w:rPr>
        <w:t xml:space="preserve"> fraternity, farmers organisations and government entities including Eskom. </w:t>
      </w:r>
      <w:r w:rsidR="006C32C3" w:rsidRPr="002076E1">
        <w:rPr>
          <w:rFonts w:ascii="Arial" w:hAnsi="Arial" w:cs="Arial"/>
          <w:bCs/>
          <w:sz w:val="24"/>
          <w:szCs w:val="24"/>
          <w:lang w:val="en-GB"/>
        </w:rPr>
        <w:t xml:space="preserve">  </w:t>
      </w:r>
    </w:p>
    <w:p w:rsidR="000B7E81" w:rsidRPr="00B47FC2" w:rsidRDefault="000B7E81" w:rsidP="00B47FC2">
      <w:pPr>
        <w:pStyle w:val="NoSpacing"/>
        <w:tabs>
          <w:tab w:val="left" w:pos="142"/>
        </w:tabs>
        <w:jc w:val="both"/>
        <w:rPr>
          <w:rFonts w:ascii="Arial" w:hAnsi="Arial" w:cs="Arial"/>
          <w:b/>
          <w:sz w:val="24"/>
          <w:szCs w:val="24"/>
        </w:rPr>
      </w:pPr>
    </w:p>
    <w:p w:rsidR="000B7E81" w:rsidRPr="00B47FC2" w:rsidRDefault="000B7E81" w:rsidP="00B47FC2">
      <w:pPr>
        <w:pStyle w:val="NoSpacing"/>
        <w:tabs>
          <w:tab w:val="left" w:pos="142"/>
        </w:tabs>
        <w:jc w:val="both"/>
        <w:rPr>
          <w:rFonts w:ascii="Arial" w:hAnsi="Arial" w:cs="Arial"/>
          <w:b/>
          <w:sz w:val="24"/>
          <w:szCs w:val="24"/>
        </w:rPr>
      </w:pPr>
    </w:p>
    <w:p w:rsidR="000B7E81" w:rsidRPr="00B47FC2" w:rsidRDefault="000B7E81" w:rsidP="00B47FC2">
      <w:pPr>
        <w:pStyle w:val="NoSpacing"/>
        <w:tabs>
          <w:tab w:val="left" w:pos="142"/>
        </w:tabs>
        <w:jc w:val="both"/>
        <w:rPr>
          <w:rFonts w:ascii="Arial" w:hAnsi="Arial" w:cs="Arial"/>
          <w:b/>
          <w:sz w:val="24"/>
          <w:szCs w:val="24"/>
        </w:rPr>
      </w:pPr>
    </w:p>
    <w:p w:rsidR="000B7E81" w:rsidRPr="00B47FC2" w:rsidRDefault="000B7E81" w:rsidP="00B47FC2">
      <w:pPr>
        <w:pStyle w:val="NoSpacing"/>
        <w:tabs>
          <w:tab w:val="left" w:pos="142"/>
        </w:tabs>
        <w:jc w:val="both"/>
        <w:rPr>
          <w:rFonts w:ascii="Arial" w:hAnsi="Arial" w:cs="Arial"/>
          <w:b/>
          <w:sz w:val="24"/>
          <w:szCs w:val="24"/>
        </w:rPr>
      </w:pPr>
    </w:p>
    <w:sectPr w:rsidR="000B7E81" w:rsidRPr="00B47FC2" w:rsidSect="00004681">
      <w:footerReference w:type="default" r:id="rId8"/>
      <w:pgSz w:w="11906" w:h="16838"/>
      <w:pgMar w:top="709"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04E" w:rsidRDefault="0085204E">
      <w:pPr>
        <w:spacing w:after="0" w:line="240" w:lineRule="auto"/>
      </w:pPr>
      <w:r>
        <w:separator/>
      </w:r>
    </w:p>
  </w:endnote>
  <w:endnote w:type="continuationSeparator" w:id="0">
    <w:p w:rsidR="0085204E" w:rsidRDefault="0085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82197"/>
      <w:docPartObj>
        <w:docPartGallery w:val="Page Numbers (Bottom of Page)"/>
        <w:docPartUnique/>
      </w:docPartObj>
    </w:sdtPr>
    <w:sdtEndPr>
      <w:rPr>
        <w:noProof/>
      </w:rPr>
    </w:sdtEndPr>
    <w:sdtContent>
      <w:p w:rsidR="002170F8" w:rsidRDefault="00B7286E">
        <w:pPr>
          <w:pStyle w:val="Footer"/>
          <w:jc w:val="right"/>
        </w:pPr>
        <w:r>
          <w:fldChar w:fldCharType="begin"/>
        </w:r>
        <w:r w:rsidR="00BF1704">
          <w:instrText xml:space="preserve"> PAGE   \* MERGEFORMAT </w:instrText>
        </w:r>
        <w:r>
          <w:fldChar w:fldCharType="separate"/>
        </w:r>
        <w:r w:rsidR="0085204E">
          <w:rPr>
            <w:noProof/>
          </w:rPr>
          <w:t>1</w:t>
        </w:r>
        <w:r>
          <w:rPr>
            <w:noProof/>
          </w:rPr>
          <w:fldChar w:fldCharType="end"/>
        </w:r>
      </w:p>
    </w:sdtContent>
  </w:sdt>
  <w:p w:rsidR="002170F8" w:rsidRDefault="00852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04E" w:rsidRDefault="0085204E">
      <w:pPr>
        <w:spacing w:after="0" w:line="240" w:lineRule="auto"/>
      </w:pPr>
      <w:r>
        <w:separator/>
      </w:r>
    </w:p>
  </w:footnote>
  <w:footnote w:type="continuationSeparator" w:id="0">
    <w:p w:rsidR="0085204E" w:rsidRDefault="00852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9C3"/>
    <w:multiLevelType w:val="hybridMultilevel"/>
    <w:tmpl w:val="EA24040E"/>
    <w:lvl w:ilvl="0" w:tplc="9DD0BD04">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4E151E"/>
    <w:multiLevelType w:val="hybridMultilevel"/>
    <w:tmpl w:val="CAF82D1E"/>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0C48A5"/>
    <w:multiLevelType w:val="hybridMultilevel"/>
    <w:tmpl w:val="67801CFE"/>
    <w:lvl w:ilvl="0" w:tplc="B55AD2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B583424"/>
    <w:multiLevelType w:val="hybridMultilevel"/>
    <w:tmpl w:val="76609C72"/>
    <w:lvl w:ilvl="0" w:tplc="F0DCD2EE">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4">
    <w:nsid w:val="27384C78"/>
    <w:multiLevelType w:val="hybridMultilevel"/>
    <w:tmpl w:val="5DB41EEA"/>
    <w:lvl w:ilvl="0" w:tplc="B7D03E0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AA10F75"/>
    <w:multiLevelType w:val="hybridMultilevel"/>
    <w:tmpl w:val="1FC407CC"/>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E6D44A5"/>
    <w:multiLevelType w:val="hybridMultilevel"/>
    <w:tmpl w:val="FD007C82"/>
    <w:lvl w:ilvl="0" w:tplc="146257A0">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7">
    <w:nsid w:val="315D7451"/>
    <w:multiLevelType w:val="hybridMultilevel"/>
    <w:tmpl w:val="EE2A7B3A"/>
    <w:lvl w:ilvl="0" w:tplc="AD4A7DAE">
      <w:start w:val="1"/>
      <w:numFmt w:val="decimal"/>
      <w:lvlText w:val="(%1)"/>
      <w:lvlJc w:val="left"/>
      <w:pPr>
        <w:ind w:left="1418" w:hanging="675"/>
      </w:pPr>
      <w:rPr>
        <w:rFonts w:hint="default"/>
        <w:color w:val="auto"/>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8">
    <w:nsid w:val="338B2B88"/>
    <w:multiLevelType w:val="hybridMultilevel"/>
    <w:tmpl w:val="41BAEE1C"/>
    <w:lvl w:ilvl="0" w:tplc="2B20DE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EE608B"/>
    <w:multiLevelType w:val="hybridMultilevel"/>
    <w:tmpl w:val="6FD22D2E"/>
    <w:lvl w:ilvl="0" w:tplc="D58295B2">
      <w:start w:val="1"/>
      <w:numFmt w:val="decimal"/>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A0A1E31"/>
    <w:multiLevelType w:val="hybridMultilevel"/>
    <w:tmpl w:val="7FDA4A4E"/>
    <w:lvl w:ilvl="0" w:tplc="67E657F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AED3B3A"/>
    <w:multiLevelType w:val="hybridMultilevel"/>
    <w:tmpl w:val="A46C442E"/>
    <w:lvl w:ilvl="0" w:tplc="B7D03E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7936DA"/>
    <w:multiLevelType w:val="hybridMultilevel"/>
    <w:tmpl w:val="13169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20391C"/>
    <w:multiLevelType w:val="hybridMultilevel"/>
    <w:tmpl w:val="6B8E9314"/>
    <w:lvl w:ilvl="0" w:tplc="0942AE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BD0438"/>
    <w:multiLevelType w:val="hybridMultilevel"/>
    <w:tmpl w:val="7F705C46"/>
    <w:lvl w:ilvl="0" w:tplc="02A0080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35410DE"/>
    <w:multiLevelType w:val="hybridMultilevel"/>
    <w:tmpl w:val="6E0E761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5EC7426"/>
    <w:multiLevelType w:val="hybridMultilevel"/>
    <w:tmpl w:val="203E3316"/>
    <w:lvl w:ilvl="0" w:tplc="F0BE474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6B80BD3"/>
    <w:multiLevelType w:val="hybridMultilevel"/>
    <w:tmpl w:val="7AFECC80"/>
    <w:lvl w:ilvl="0" w:tplc="2970234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BBA3E1C"/>
    <w:multiLevelType w:val="hybridMultilevel"/>
    <w:tmpl w:val="169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A3E7D"/>
    <w:multiLevelType w:val="hybridMultilevel"/>
    <w:tmpl w:val="93ACC572"/>
    <w:lvl w:ilvl="0" w:tplc="A3DA4E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DA559D3"/>
    <w:multiLevelType w:val="hybridMultilevel"/>
    <w:tmpl w:val="72A25254"/>
    <w:lvl w:ilvl="0" w:tplc="E1C28B1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EE96BD8"/>
    <w:multiLevelType w:val="hybridMultilevel"/>
    <w:tmpl w:val="27EAB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97D67"/>
    <w:multiLevelType w:val="hybridMultilevel"/>
    <w:tmpl w:val="50D43810"/>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FAF1532"/>
    <w:multiLevelType w:val="hybridMultilevel"/>
    <w:tmpl w:val="06A0AA3C"/>
    <w:lvl w:ilvl="0" w:tplc="0B7E2796">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5">
    <w:nsid w:val="68000BBA"/>
    <w:multiLevelType w:val="hybridMultilevel"/>
    <w:tmpl w:val="AC54C4B2"/>
    <w:lvl w:ilvl="0" w:tplc="0B283C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AC259B4"/>
    <w:multiLevelType w:val="hybridMultilevel"/>
    <w:tmpl w:val="E004BEB4"/>
    <w:lvl w:ilvl="0" w:tplc="AD647A64">
      <w:start w:val="1"/>
      <w:numFmt w:val="decimal"/>
      <w:lvlText w:val="(%1)"/>
      <w:lvlJc w:val="left"/>
      <w:pPr>
        <w:ind w:left="1418" w:hanging="675"/>
      </w:pPr>
      <w:rPr>
        <w:rFonts w:hint="default"/>
      </w:rPr>
    </w:lvl>
    <w:lvl w:ilvl="1" w:tplc="1C090019" w:tentative="1">
      <w:start w:val="1"/>
      <w:numFmt w:val="lowerLetter"/>
      <w:lvlText w:val="%2."/>
      <w:lvlJc w:val="left"/>
      <w:pPr>
        <w:ind w:left="1823" w:hanging="360"/>
      </w:pPr>
    </w:lvl>
    <w:lvl w:ilvl="2" w:tplc="1C09001B" w:tentative="1">
      <w:start w:val="1"/>
      <w:numFmt w:val="lowerRoman"/>
      <w:lvlText w:val="%3."/>
      <w:lvlJc w:val="right"/>
      <w:pPr>
        <w:ind w:left="2543" w:hanging="180"/>
      </w:pPr>
    </w:lvl>
    <w:lvl w:ilvl="3" w:tplc="1C09000F" w:tentative="1">
      <w:start w:val="1"/>
      <w:numFmt w:val="decimal"/>
      <w:lvlText w:val="%4."/>
      <w:lvlJc w:val="left"/>
      <w:pPr>
        <w:ind w:left="3263" w:hanging="360"/>
      </w:pPr>
    </w:lvl>
    <w:lvl w:ilvl="4" w:tplc="1C090019" w:tentative="1">
      <w:start w:val="1"/>
      <w:numFmt w:val="lowerLetter"/>
      <w:lvlText w:val="%5."/>
      <w:lvlJc w:val="left"/>
      <w:pPr>
        <w:ind w:left="3983" w:hanging="360"/>
      </w:pPr>
    </w:lvl>
    <w:lvl w:ilvl="5" w:tplc="1C09001B" w:tentative="1">
      <w:start w:val="1"/>
      <w:numFmt w:val="lowerRoman"/>
      <w:lvlText w:val="%6."/>
      <w:lvlJc w:val="right"/>
      <w:pPr>
        <w:ind w:left="4703" w:hanging="180"/>
      </w:pPr>
    </w:lvl>
    <w:lvl w:ilvl="6" w:tplc="1C09000F" w:tentative="1">
      <w:start w:val="1"/>
      <w:numFmt w:val="decimal"/>
      <w:lvlText w:val="%7."/>
      <w:lvlJc w:val="left"/>
      <w:pPr>
        <w:ind w:left="5423" w:hanging="360"/>
      </w:pPr>
    </w:lvl>
    <w:lvl w:ilvl="7" w:tplc="1C090019" w:tentative="1">
      <w:start w:val="1"/>
      <w:numFmt w:val="lowerLetter"/>
      <w:lvlText w:val="%8."/>
      <w:lvlJc w:val="left"/>
      <w:pPr>
        <w:ind w:left="6143" w:hanging="360"/>
      </w:pPr>
    </w:lvl>
    <w:lvl w:ilvl="8" w:tplc="1C09001B" w:tentative="1">
      <w:start w:val="1"/>
      <w:numFmt w:val="lowerRoman"/>
      <w:lvlText w:val="%9."/>
      <w:lvlJc w:val="right"/>
      <w:pPr>
        <w:ind w:left="6863" w:hanging="180"/>
      </w:pPr>
    </w:lvl>
  </w:abstractNum>
  <w:abstractNum w:abstractNumId="27">
    <w:nsid w:val="6B3D4DC2"/>
    <w:multiLevelType w:val="hybridMultilevel"/>
    <w:tmpl w:val="1302957E"/>
    <w:lvl w:ilvl="0" w:tplc="24564980">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F15429E"/>
    <w:multiLevelType w:val="hybridMultilevel"/>
    <w:tmpl w:val="ECD6876C"/>
    <w:lvl w:ilvl="0" w:tplc="B7D03E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254801"/>
    <w:multiLevelType w:val="hybridMultilevel"/>
    <w:tmpl w:val="849A9EAA"/>
    <w:lvl w:ilvl="0" w:tplc="7CB842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7C871E64"/>
    <w:multiLevelType w:val="hybridMultilevel"/>
    <w:tmpl w:val="F5F8B132"/>
    <w:lvl w:ilvl="0" w:tplc="9A8A397E">
      <w:start w:val="1"/>
      <w:numFmt w:val="decimal"/>
      <w:lvlText w:val="(%1)"/>
      <w:lvlJc w:val="left"/>
      <w:pPr>
        <w:ind w:left="1440" w:hanging="72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25"/>
  </w:num>
  <w:num w:numId="3">
    <w:abstractNumId w:val="17"/>
  </w:num>
  <w:num w:numId="4">
    <w:abstractNumId w:val="20"/>
  </w:num>
  <w:num w:numId="5">
    <w:abstractNumId w:val="2"/>
  </w:num>
  <w:num w:numId="6">
    <w:abstractNumId w:val="21"/>
  </w:num>
  <w:num w:numId="7">
    <w:abstractNumId w:val="18"/>
  </w:num>
  <w:num w:numId="8">
    <w:abstractNumId w:val="29"/>
  </w:num>
  <w:num w:numId="9">
    <w:abstractNumId w:val="30"/>
  </w:num>
  <w:num w:numId="10">
    <w:abstractNumId w:val="27"/>
  </w:num>
  <w:num w:numId="11">
    <w:abstractNumId w:val="15"/>
  </w:num>
  <w:num w:numId="12">
    <w:abstractNumId w:val="7"/>
  </w:num>
  <w:num w:numId="13">
    <w:abstractNumId w:val="26"/>
  </w:num>
  <w:num w:numId="14">
    <w:abstractNumId w:val="24"/>
  </w:num>
  <w:num w:numId="15">
    <w:abstractNumId w:val="6"/>
  </w:num>
  <w:num w:numId="16">
    <w:abstractNumId w:val="3"/>
  </w:num>
  <w:num w:numId="17">
    <w:abstractNumId w:val="9"/>
  </w:num>
  <w:num w:numId="18">
    <w:abstractNumId w:val="14"/>
  </w:num>
  <w:num w:numId="19">
    <w:abstractNumId w:val="5"/>
  </w:num>
  <w:num w:numId="20">
    <w:abstractNumId w:val="19"/>
  </w:num>
  <w:num w:numId="21">
    <w:abstractNumId w:val="16"/>
  </w:num>
  <w:num w:numId="22">
    <w:abstractNumId w:val="1"/>
  </w:num>
  <w:num w:numId="23">
    <w:abstractNumId w:val="23"/>
  </w:num>
  <w:num w:numId="24">
    <w:abstractNumId w:val="4"/>
  </w:num>
  <w:num w:numId="25">
    <w:abstractNumId w:val="28"/>
  </w:num>
  <w:num w:numId="26">
    <w:abstractNumId w:val="12"/>
  </w:num>
  <w:num w:numId="27">
    <w:abstractNumId w:val="22"/>
  </w:num>
  <w:num w:numId="28">
    <w:abstractNumId w:val="13"/>
  </w:num>
  <w:num w:numId="29">
    <w:abstractNumId w:val="11"/>
  </w:num>
  <w:num w:numId="30">
    <w:abstractNumId w:val="0"/>
  </w:num>
  <w:num w:numId="3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433A8"/>
    <w:rsid w:val="000015F5"/>
    <w:rsid w:val="00004681"/>
    <w:rsid w:val="00005B4C"/>
    <w:rsid w:val="00010DF9"/>
    <w:rsid w:val="000126A4"/>
    <w:rsid w:val="00021AD1"/>
    <w:rsid w:val="00030CD2"/>
    <w:rsid w:val="00031BA9"/>
    <w:rsid w:val="00032651"/>
    <w:rsid w:val="000368F2"/>
    <w:rsid w:val="0006729B"/>
    <w:rsid w:val="000768E6"/>
    <w:rsid w:val="00076CD1"/>
    <w:rsid w:val="0009330F"/>
    <w:rsid w:val="000950D1"/>
    <w:rsid w:val="000A2F1C"/>
    <w:rsid w:val="000A3D83"/>
    <w:rsid w:val="000A7018"/>
    <w:rsid w:val="000B09DE"/>
    <w:rsid w:val="000B0A91"/>
    <w:rsid w:val="000B57DE"/>
    <w:rsid w:val="000B7E81"/>
    <w:rsid w:val="000E1870"/>
    <w:rsid w:val="000F0921"/>
    <w:rsid w:val="00101158"/>
    <w:rsid w:val="00103B8A"/>
    <w:rsid w:val="00106536"/>
    <w:rsid w:val="00112595"/>
    <w:rsid w:val="001168CA"/>
    <w:rsid w:val="00122668"/>
    <w:rsid w:val="001304CF"/>
    <w:rsid w:val="00137772"/>
    <w:rsid w:val="00141744"/>
    <w:rsid w:val="00143147"/>
    <w:rsid w:val="0015243C"/>
    <w:rsid w:val="00152647"/>
    <w:rsid w:val="00154941"/>
    <w:rsid w:val="001653A5"/>
    <w:rsid w:val="00167BF0"/>
    <w:rsid w:val="00173910"/>
    <w:rsid w:val="001A7290"/>
    <w:rsid w:val="001B7997"/>
    <w:rsid w:val="001D3245"/>
    <w:rsid w:val="001D3373"/>
    <w:rsid w:val="001D52A3"/>
    <w:rsid w:val="001D76F9"/>
    <w:rsid w:val="001E1CEE"/>
    <w:rsid w:val="001E7DD3"/>
    <w:rsid w:val="001F4174"/>
    <w:rsid w:val="001F5771"/>
    <w:rsid w:val="002076E1"/>
    <w:rsid w:val="002146A3"/>
    <w:rsid w:val="0021572E"/>
    <w:rsid w:val="0022655D"/>
    <w:rsid w:val="002355A7"/>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53209"/>
    <w:rsid w:val="003578DD"/>
    <w:rsid w:val="003604A7"/>
    <w:rsid w:val="00360917"/>
    <w:rsid w:val="003744D0"/>
    <w:rsid w:val="0037725D"/>
    <w:rsid w:val="00381D44"/>
    <w:rsid w:val="00385406"/>
    <w:rsid w:val="003867A6"/>
    <w:rsid w:val="00393ED4"/>
    <w:rsid w:val="003A0A36"/>
    <w:rsid w:val="003A1F7A"/>
    <w:rsid w:val="003A3A32"/>
    <w:rsid w:val="003C11E4"/>
    <w:rsid w:val="003C3355"/>
    <w:rsid w:val="003D1330"/>
    <w:rsid w:val="003D548B"/>
    <w:rsid w:val="003E29F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5623F"/>
    <w:rsid w:val="00471F71"/>
    <w:rsid w:val="00473A47"/>
    <w:rsid w:val="00475929"/>
    <w:rsid w:val="00477086"/>
    <w:rsid w:val="0048204C"/>
    <w:rsid w:val="004835D2"/>
    <w:rsid w:val="00485314"/>
    <w:rsid w:val="004877BD"/>
    <w:rsid w:val="004A38A0"/>
    <w:rsid w:val="004A6DEA"/>
    <w:rsid w:val="004B23D6"/>
    <w:rsid w:val="004B6CE7"/>
    <w:rsid w:val="004C2EBF"/>
    <w:rsid w:val="004C4BDE"/>
    <w:rsid w:val="004C5DCF"/>
    <w:rsid w:val="004C721E"/>
    <w:rsid w:val="004F05E9"/>
    <w:rsid w:val="004F1EED"/>
    <w:rsid w:val="004F25D4"/>
    <w:rsid w:val="004F33BF"/>
    <w:rsid w:val="004F452F"/>
    <w:rsid w:val="004F4F02"/>
    <w:rsid w:val="005057D6"/>
    <w:rsid w:val="005102FC"/>
    <w:rsid w:val="00511BE9"/>
    <w:rsid w:val="00512497"/>
    <w:rsid w:val="005352FB"/>
    <w:rsid w:val="00554B5D"/>
    <w:rsid w:val="00556504"/>
    <w:rsid w:val="0056490D"/>
    <w:rsid w:val="00567BDA"/>
    <w:rsid w:val="0058378C"/>
    <w:rsid w:val="00593B26"/>
    <w:rsid w:val="005A2413"/>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56293"/>
    <w:rsid w:val="0065665B"/>
    <w:rsid w:val="00661A1E"/>
    <w:rsid w:val="00665264"/>
    <w:rsid w:val="00667C44"/>
    <w:rsid w:val="00667CFA"/>
    <w:rsid w:val="00677FBF"/>
    <w:rsid w:val="00687C52"/>
    <w:rsid w:val="00695C3D"/>
    <w:rsid w:val="006A0159"/>
    <w:rsid w:val="006A2F95"/>
    <w:rsid w:val="006B1C73"/>
    <w:rsid w:val="006B2D09"/>
    <w:rsid w:val="006B47E2"/>
    <w:rsid w:val="006C0FDA"/>
    <w:rsid w:val="006C197F"/>
    <w:rsid w:val="006C2653"/>
    <w:rsid w:val="006C32C3"/>
    <w:rsid w:val="006D28DF"/>
    <w:rsid w:val="006D413B"/>
    <w:rsid w:val="006D49DA"/>
    <w:rsid w:val="006E4AE6"/>
    <w:rsid w:val="006F07E2"/>
    <w:rsid w:val="006F2B6D"/>
    <w:rsid w:val="006F44A2"/>
    <w:rsid w:val="006F5F37"/>
    <w:rsid w:val="00710414"/>
    <w:rsid w:val="00715981"/>
    <w:rsid w:val="00720A4A"/>
    <w:rsid w:val="00726E7F"/>
    <w:rsid w:val="00730EBE"/>
    <w:rsid w:val="007457D6"/>
    <w:rsid w:val="00747EB8"/>
    <w:rsid w:val="00751CFE"/>
    <w:rsid w:val="00787717"/>
    <w:rsid w:val="00794459"/>
    <w:rsid w:val="007A557F"/>
    <w:rsid w:val="007C43AC"/>
    <w:rsid w:val="007C5DF5"/>
    <w:rsid w:val="007E51A6"/>
    <w:rsid w:val="007E626A"/>
    <w:rsid w:val="007F7664"/>
    <w:rsid w:val="007F7926"/>
    <w:rsid w:val="008006F8"/>
    <w:rsid w:val="0080321D"/>
    <w:rsid w:val="008058C7"/>
    <w:rsid w:val="0080788F"/>
    <w:rsid w:val="00807D64"/>
    <w:rsid w:val="00810041"/>
    <w:rsid w:val="00815B3B"/>
    <w:rsid w:val="00820FBB"/>
    <w:rsid w:val="0082253A"/>
    <w:rsid w:val="00827468"/>
    <w:rsid w:val="008317A9"/>
    <w:rsid w:val="008328A6"/>
    <w:rsid w:val="00850CE7"/>
    <w:rsid w:val="0085204E"/>
    <w:rsid w:val="00854733"/>
    <w:rsid w:val="00877601"/>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12B74"/>
    <w:rsid w:val="00921103"/>
    <w:rsid w:val="00924313"/>
    <w:rsid w:val="00933828"/>
    <w:rsid w:val="00933D88"/>
    <w:rsid w:val="009457EF"/>
    <w:rsid w:val="00956AE7"/>
    <w:rsid w:val="009621BB"/>
    <w:rsid w:val="00965E27"/>
    <w:rsid w:val="0097678F"/>
    <w:rsid w:val="009823D6"/>
    <w:rsid w:val="00995E51"/>
    <w:rsid w:val="009B00AA"/>
    <w:rsid w:val="009C01DF"/>
    <w:rsid w:val="009C1DC2"/>
    <w:rsid w:val="009C2943"/>
    <w:rsid w:val="009C2EAD"/>
    <w:rsid w:val="009D5720"/>
    <w:rsid w:val="009E7F7A"/>
    <w:rsid w:val="009F0324"/>
    <w:rsid w:val="009F69BF"/>
    <w:rsid w:val="00A061B1"/>
    <w:rsid w:val="00A11407"/>
    <w:rsid w:val="00A11E1B"/>
    <w:rsid w:val="00A12546"/>
    <w:rsid w:val="00A170D1"/>
    <w:rsid w:val="00A320C5"/>
    <w:rsid w:val="00A358D3"/>
    <w:rsid w:val="00A5099E"/>
    <w:rsid w:val="00A5760D"/>
    <w:rsid w:val="00A644F7"/>
    <w:rsid w:val="00A757DA"/>
    <w:rsid w:val="00A811CD"/>
    <w:rsid w:val="00A92E8F"/>
    <w:rsid w:val="00AA440F"/>
    <w:rsid w:val="00AA7F90"/>
    <w:rsid w:val="00AB204B"/>
    <w:rsid w:val="00AC01E8"/>
    <w:rsid w:val="00AD68C7"/>
    <w:rsid w:val="00AE0E15"/>
    <w:rsid w:val="00AE3B9A"/>
    <w:rsid w:val="00AE4FD6"/>
    <w:rsid w:val="00AF1A99"/>
    <w:rsid w:val="00AF5D3E"/>
    <w:rsid w:val="00B119D1"/>
    <w:rsid w:val="00B125DB"/>
    <w:rsid w:val="00B23562"/>
    <w:rsid w:val="00B27A1B"/>
    <w:rsid w:val="00B35E24"/>
    <w:rsid w:val="00B47FC2"/>
    <w:rsid w:val="00B61C37"/>
    <w:rsid w:val="00B71E7C"/>
    <w:rsid w:val="00B72514"/>
    <w:rsid w:val="00B7286E"/>
    <w:rsid w:val="00B8102D"/>
    <w:rsid w:val="00B8633E"/>
    <w:rsid w:val="00B97E5C"/>
    <w:rsid w:val="00BB0024"/>
    <w:rsid w:val="00BB0E8D"/>
    <w:rsid w:val="00BB2068"/>
    <w:rsid w:val="00BB2FDE"/>
    <w:rsid w:val="00BC2F11"/>
    <w:rsid w:val="00BC55EF"/>
    <w:rsid w:val="00BE52C9"/>
    <w:rsid w:val="00BF1704"/>
    <w:rsid w:val="00C02862"/>
    <w:rsid w:val="00C120FE"/>
    <w:rsid w:val="00C123AE"/>
    <w:rsid w:val="00C14220"/>
    <w:rsid w:val="00C14953"/>
    <w:rsid w:val="00C22E5A"/>
    <w:rsid w:val="00C358F6"/>
    <w:rsid w:val="00C366DC"/>
    <w:rsid w:val="00C45DA7"/>
    <w:rsid w:val="00C47238"/>
    <w:rsid w:val="00C63DFF"/>
    <w:rsid w:val="00C83915"/>
    <w:rsid w:val="00C848C3"/>
    <w:rsid w:val="00C94A47"/>
    <w:rsid w:val="00CA1537"/>
    <w:rsid w:val="00CA3FC5"/>
    <w:rsid w:val="00CA5B30"/>
    <w:rsid w:val="00CA73BE"/>
    <w:rsid w:val="00CB0BEC"/>
    <w:rsid w:val="00CB4052"/>
    <w:rsid w:val="00CB63AE"/>
    <w:rsid w:val="00CC11F8"/>
    <w:rsid w:val="00CC38F1"/>
    <w:rsid w:val="00CC46D4"/>
    <w:rsid w:val="00CE037B"/>
    <w:rsid w:val="00CE17B0"/>
    <w:rsid w:val="00CE5507"/>
    <w:rsid w:val="00CF0BA2"/>
    <w:rsid w:val="00CF7215"/>
    <w:rsid w:val="00D0368D"/>
    <w:rsid w:val="00D03AAF"/>
    <w:rsid w:val="00D06AF3"/>
    <w:rsid w:val="00D1005A"/>
    <w:rsid w:val="00D17A5F"/>
    <w:rsid w:val="00D4758D"/>
    <w:rsid w:val="00D57256"/>
    <w:rsid w:val="00D60C9F"/>
    <w:rsid w:val="00D6309B"/>
    <w:rsid w:val="00D66976"/>
    <w:rsid w:val="00D67FFE"/>
    <w:rsid w:val="00D75855"/>
    <w:rsid w:val="00D767A4"/>
    <w:rsid w:val="00D850B2"/>
    <w:rsid w:val="00D86E2C"/>
    <w:rsid w:val="00D87A79"/>
    <w:rsid w:val="00D97EFF"/>
    <w:rsid w:val="00DB64EE"/>
    <w:rsid w:val="00DC48AF"/>
    <w:rsid w:val="00DD0909"/>
    <w:rsid w:val="00DD3420"/>
    <w:rsid w:val="00DD380D"/>
    <w:rsid w:val="00DE3398"/>
    <w:rsid w:val="00DE34D6"/>
    <w:rsid w:val="00DE3A3F"/>
    <w:rsid w:val="00DE4549"/>
    <w:rsid w:val="00DF08C3"/>
    <w:rsid w:val="00DF6833"/>
    <w:rsid w:val="00DF79A4"/>
    <w:rsid w:val="00E00592"/>
    <w:rsid w:val="00E0338F"/>
    <w:rsid w:val="00E129D5"/>
    <w:rsid w:val="00E136D1"/>
    <w:rsid w:val="00E1432C"/>
    <w:rsid w:val="00E159FD"/>
    <w:rsid w:val="00E36039"/>
    <w:rsid w:val="00E3774C"/>
    <w:rsid w:val="00E4020A"/>
    <w:rsid w:val="00E433A8"/>
    <w:rsid w:val="00E53F82"/>
    <w:rsid w:val="00E55957"/>
    <w:rsid w:val="00E648A4"/>
    <w:rsid w:val="00E82455"/>
    <w:rsid w:val="00E94873"/>
    <w:rsid w:val="00E96F22"/>
    <w:rsid w:val="00EB298B"/>
    <w:rsid w:val="00EC6216"/>
    <w:rsid w:val="00EE4543"/>
    <w:rsid w:val="00EE5BAE"/>
    <w:rsid w:val="00EF1D88"/>
    <w:rsid w:val="00EF468C"/>
    <w:rsid w:val="00EF4DD8"/>
    <w:rsid w:val="00F0635D"/>
    <w:rsid w:val="00F10306"/>
    <w:rsid w:val="00F24EA3"/>
    <w:rsid w:val="00F26E6C"/>
    <w:rsid w:val="00F33DE3"/>
    <w:rsid w:val="00F35A64"/>
    <w:rsid w:val="00F41D98"/>
    <w:rsid w:val="00F448C5"/>
    <w:rsid w:val="00F515CF"/>
    <w:rsid w:val="00F6615B"/>
    <w:rsid w:val="00F8058D"/>
    <w:rsid w:val="00F8320C"/>
    <w:rsid w:val="00F832DB"/>
    <w:rsid w:val="00F83BBF"/>
    <w:rsid w:val="00F8776C"/>
    <w:rsid w:val="00F87BF1"/>
    <w:rsid w:val="00F973DE"/>
    <w:rsid w:val="00FA2B35"/>
    <w:rsid w:val="00FA4F67"/>
    <w:rsid w:val="00FA5553"/>
    <w:rsid w:val="00FB08ED"/>
    <w:rsid w:val="00FB0C30"/>
    <w:rsid w:val="00FC2EFF"/>
    <w:rsid w:val="00FC54FF"/>
    <w:rsid w:val="00FC653F"/>
    <w:rsid w:val="00FD068D"/>
    <w:rsid w:val="00FD7F03"/>
    <w:rsid w:val="00FE1997"/>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odyText">
    <w:name w:val="Body Text"/>
    <w:basedOn w:val="Normal"/>
    <w:link w:val="BodyTextChar"/>
    <w:uiPriority w:val="99"/>
    <w:semiHidden/>
    <w:unhideWhenUsed/>
    <w:rsid w:val="00A644F7"/>
    <w:pPr>
      <w:spacing w:after="120"/>
    </w:pPr>
  </w:style>
  <w:style w:type="character" w:customStyle="1" w:styleId="BodyTextChar">
    <w:name w:val="Body Text Char"/>
    <w:basedOn w:val="DefaultParagraphFont"/>
    <w:link w:val="BodyText"/>
    <w:uiPriority w:val="99"/>
    <w:semiHidden/>
    <w:rsid w:val="00A644F7"/>
  </w:style>
  <w:style w:type="table" w:styleId="TableGrid">
    <w:name w:val="Table Grid"/>
    <w:basedOn w:val="TableNormal"/>
    <w:uiPriority w:val="39"/>
    <w:rsid w:val="00B47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7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C2"/>
  </w:style>
  <w:style w:type="character" w:styleId="Hyperlink">
    <w:name w:val="Hyperlink"/>
    <w:basedOn w:val="DefaultParagraphFont"/>
    <w:uiPriority w:val="99"/>
    <w:unhideWhenUsed/>
    <w:rsid w:val="00B47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C7FD-E82B-4D41-BA52-C3152F10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2023-06-09T10:58:00Z</dcterms:created>
  <dcterms:modified xsi:type="dcterms:W3CDTF">2023-06-09T10:58:00Z</dcterms:modified>
</cp:coreProperties>
</file>